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D3" w:rsidRDefault="009169C7">
      <w:pPr>
        <w:spacing w:after="0" w:line="259" w:lineRule="auto"/>
        <w:ind w:firstLine="0"/>
        <w:jc w:val="left"/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16"/>
        </w:rPr>
        <w:t xml:space="preserve"> </w:t>
      </w:r>
    </w:p>
    <w:p w:rsidR="00E114D3" w:rsidRDefault="009169C7">
      <w:pPr>
        <w:ind w:left="-15" w:right="-3" w:firstLine="0"/>
      </w:pPr>
      <w:r>
        <w:rPr>
          <w:i/>
          <w:sz w:val="18"/>
        </w:rPr>
        <w:t xml:space="preserve">                                 </w:t>
      </w:r>
      <w:r>
        <w:t xml:space="preserve">Территориальные сметные расценки на эксплуатацию строительных машин и автотранспортных средств  </w:t>
      </w:r>
    </w:p>
    <w:p w:rsidR="00E114D3" w:rsidRDefault="009169C7">
      <w:pPr>
        <w:spacing w:after="180" w:line="240" w:lineRule="auto"/>
        <w:ind w:firstLine="0"/>
        <w:jc w:val="left"/>
      </w:pPr>
      <w:r>
        <w:rPr>
          <w:u w:val="single" w:color="000000"/>
        </w:rPr>
        <w:t xml:space="preserve">                                                                                                                                                  ТСЭМ 81-01-2001. Республика Крым</w:t>
      </w:r>
      <w:r>
        <w:t xml:space="preserve">  </w:t>
      </w:r>
    </w:p>
    <w:p w:rsidR="00E114D3" w:rsidRDefault="009169C7">
      <w:pPr>
        <w:tabs>
          <w:tab w:val="center" w:pos="2537"/>
          <w:tab w:val="center" w:pos="7611"/>
        </w:tabs>
        <w:spacing w:after="11" w:line="250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 Unicode MS" w:eastAsia="Arial Unicode MS" w:hAnsi="Arial Unicode MS" w:cs="Arial Unicode MS"/>
          <w:sz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</w:rPr>
        <w:tab/>
      </w:r>
      <w:r>
        <w:rPr>
          <w:sz w:val="28"/>
        </w:rPr>
        <w:t xml:space="preserve">Приложение </w:t>
      </w:r>
    </w:p>
    <w:p w:rsidR="00E114D3" w:rsidRDefault="009169C7">
      <w:pPr>
        <w:spacing w:after="11" w:line="250" w:lineRule="auto"/>
        <w:ind w:left="2532" w:right="308" w:hanging="10"/>
        <w:jc w:val="left"/>
      </w:pPr>
      <w:r>
        <w:rPr>
          <w:rFonts w:ascii="Arial Unicode MS" w:eastAsia="Arial Unicode MS" w:hAnsi="Arial Unicode MS" w:cs="Arial Unicode MS"/>
          <w:sz w:val="28"/>
        </w:rPr>
        <w:t xml:space="preserve"> </w:t>
      </w:r>
      <w:r>
        <w:rPr>
          <w:sz w:val="28"/>
        </w:rPr>
        <w:t xml:space="preserve">к приказу Министерства строительства </w:t>
      </w:r>
      <w:r>
        <w:rPr>
          <w:rFonts w:ascii="Arial Unicode MS" w:eastAsia="Arial Unicode MS" w:hAnsi="Arial Unicode MS" w:cs="Arial Unicode MS"/>
          <w:sz w:val="28"/>
        </w:rPr>
        <w:t xml:space="preserve"> </w:t>
      </w:r>
      <w:r>
        <w:rPr>
          <w:sz w:val="28"/>
        </w:rPr>
        <w:t>и жилищно-коммунально</w:t>
      </w:r>
      <w:r>
        <w:rPr>
          <w:sz w:val="28"/>
        </w:rPr>
        <w:t xml:space="preserve">го хозяйства </w:t>
      </w:r>
    </w:p>
    <w:p w:rsidR="00E114D3" w:rsidRDefault="009169C7">
      <w:pPr>
        <w:tabs>
          <w:tab w:val="center" w:pos="2537"/>
          <w:tab w:val="center" w:pos="7611"/>
        </w:tabs>
        <w:spacing w:after="11" w:line="250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 Unicode MS" w:eastAsia="Arial Unicode MS" w:hAnsi="Arial Unicode MS" w:cs="Arial Unicode MS"/>
          <w:sz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</w:rPr>
        <w:tab/>
      </w:r>
      <w:r>
        <w:rPr>
          <w:sz w:val="28"/>
        </w:rPr>
        <w:t xml:space="preserve">Российской Федерации </w:t>
      </w:r>
    </w:p>
    <w:p w:rsidR="00E114D3" w:rsidRDefault="009169C7">
      <w:pPr>
        <w:tabs>
          <w:tab w:val="center" w:pos="2537"/>
          <w:tab w:val="center" w:pos="7611"/>
        </w:tabs>
        <w:spacing w:after="11" w:line="250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 Unicode MS" w:eastAsia="Arial Unicode MS" w:hAnsi="Arial Unicode MS" w:cs="Arial Unicode MS"/>
          <w:sz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</w:rPr>
        <w:tab/>
      </w:r>
      <w:r>
        <w:rPr>
          <w:sz w:val="28"/>
        </w:rPr>
        <w:t xml:space="preserve">от «28» сентября 2017 г. № 1297/пр </w:t>
      </w:r>
    </w:p>
    <w:p w:rsidR="00E114D3" w:rsidRDefault="009169C7">
      <w:pPr>
        <w:spacing w:after="0" w:line="259" w:lineRule="auto"/>
        <w:ind w:right="255" w:firstLine="0"/>
        <w:jc w:val="center"/>
      </w:pPr>
      <w:r>
        <w:rPr>
          <w:rFonts w:ascii="Arial Unicode MS" w:eastAsia="Arial Unicode MS" w:hAnsi="Arial Unicode MS" w:cs="Arial Unicode MS"/>
          <w:sz w:val="32"/>
        </w:rPr>
        <w:t xml:space="preserve"> </w:t>
      </w:r>
    </w:p>
    <w:p w:rsidR="00E114D3" w:rsidRDefault="009169C7">
      <w:pPr>
        <w:spacing w:after="0" w:line="259" w:lineRule="auto"/>
        <w:ind w:right="255" w:firstLine="0"/>
        <w:jc w:val="center"/>
      </w:pPr>
      <w:r>
        <w:rPr>
          <w:rFonts w:ascii="Arial Unicode MS" w:eastAsia="Arial Unicode MS" w:hAnsi="Arial Unicode MS" w:cs="Arial Unicode MS"/>
          <w:sz w:val="32"/>
        </w:rPr>
        <w:t xml:space="preserve"> </w:t>
      </w:r>
    </w:p>
    <w:p w:rsidR="00E114D3" w:rsidRDefault="009169C7">
      <w:pPr>
        <w:spacing w:after="467" w:line="259" w:lineRule="auto"/>
        <w:ind w:left="82" w:firstLine="0"/>
        <w:jc w:val="center"/>
      </w:pPr>
      <w:r>
        <w:rPr>
          <w:b/>
          <w:sz w:val="32"/>
        </w:rPr>
        <w:t xml:space="preserve"> </w:t>
      </w:r>
    </w:p>
    <w:p w:rsidR="00E114D3" w:rsidRDefault="009169C7">
      <w:pPr>
        <w:spacing w:after="179" w:line="357" w:lineRule="auto"/>
        <w:ind w:left="1656" w:hanging="182"/>
        <w:jc w:val="left"/>
      </w:pPr>
      <w:r>
        <w:rPr>
          <w:b/>
          <w:sz w:val="32"/>
        </w:rPr>
        <w:t xml:space="preserve">ТЕРРИТОРИАЛЬНЫЕ СМЕТНЫЕ НОРМАТИВЫ ТЕРРИТОРИАЛЬНЫЕ СМЕТНЫЕ РАСЦЕНКИ </w:t>
      </w:r>
    </w:p>
    <w:p w:rsidR="00E114D3" w:rsidRDefault="009169C7">
      <w:pPr>
        <w:spacing w:after="21" w:line="265" w:lineRule="auto"/>
        <w:ind w:left="15" w:right="4" w:hanging="10"/>
        <w:jc w:val="center"/>
      </w:pPr>
      <w:r>
        <w:rPr>
          <w:b/>
          <w:sz w:val="28"/>
        </w:rPr>
        <w:t xml:space="preserve">ТЕРРИТОРИАЛЬНЫЕ СМЕТНЫЕ РАСЦЕНКИ </w:t>
      </w:r>
    </w:p>
    <w:p w:rsidR="00E114D3" w:rsidRDefault="009169C7">
      <w:pPr>
        <w:spacing w:after="21" w:line="265" w:lineRule="auto"/>
        <w:ind w:left="15" w:right="5" w:hanging="10"/>
        <w:jc w:val="center"/>
      </w:pPr>
      <w:r>
        <w:rPr>
          <w:b/>
          <w:sz w:val="28"/>
        </w:rPr>
        <w:t xml:space="preserve">НА ЭКСПЛУАТАЦИЮ СТРОИТЕЛЬНЫХ МАШИН И </w:t>
      </w:r>
    </w:p>
    <w:p w:rsidR="00E114D3" w:rsidRDefault="009169C7">
      <w:pPr>
        <w:spacing w:after="339" w:line="265" w:lineRule="auto"/>
        <w:ind w:left="15" w:right="3" w:hanging="10"/>
        <w:jc w:val="center"/>
      </w:pPr>
      <w:r>
        <w:rPr>
          <w:b/>
          <w:sz w:val="28"/>
        </w:rPr>
        <w:t xml:space="preserve">АВТОТРАНСПОРТНЫХ СРЕДСТВ </w:t>
      </w:r>
    </w:p>
    <w:p w:rsidR="00E114D3" w:rsidRDefault="009169C7">
      <w:pPr>
        <w:spacing w:after="28" w:line="259" w:lineRule="auto"/>
        <w:ind w:left="-29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1028" cy="27432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028" cy="27432"/>
                          <a:chOff x="0" y="0"/>
                          <a:chExt cx="6701028" cy="27432"/>
                        </a:xfrm>
                      </wpg:grpSpPr>
                      <wps:wsp>
                        <wps:cNvPr id="908" name="Shape 908"/>
                        <wps:cNvSpPr/>
                        <wps:spPr>
                          <a:xfrm>
                            <a:off x="0" y="0"/>
                            <a:ext cx="67010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028" h="9144">
                                <a:moveTo>
                                  <a:pt x="0" y="0"/>
                                </a:moveTo>
                                <a:lnTo>
                                  <a:pt x="6701028" y="0"/>
                                </a:lnTo>
                                <a:lnTo>
                                  <a:pt x="67010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0" y="18288"/>
                            <a:ext cx="67010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028" h="9144">
                                <a:moveTo>
                                  <a:pt x="0" y="0"/>
                                </a:moveTo>
                                <a:lnTo>
                                  <a:pt x="6701028" y="0"/>
                                </a:lnTo>
                                <a:lnTo>
                                  <a:pt x="67010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" style="width:527.64pt;height:2.16pt;mso-position-horizontal-relative:char;mso-position-vertical-relative:line" coordsize="67010,274">
                <v:shape id="Shape 910" style="position:absolute;width:67010;height:91;left:0;top:0;" coordsize="6701028,9144" path="m0,0l6701028,0l6701028,9144l0,9144l0,0">
                  <v:stroke weight="0pt" endcap="flat" joinstyle="miter" miterlimit="10" on="false" color="#000000" opacity="0"/>
                  <v:fill on="true" color="#000000"/>
                </v:shape>
                <v:shape id="Shape 911" style="position:absolute;width:67010;height:91;left:0;top:182;" coordsize="6701028,9144" path="m0,0l6701028,0l67010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114D3" w:rsidRDefault="009169C7">
      <w:pPr>
        <w:spacing w:after="0" w:line="259" w:lineRule="auto"/>
        <w:ind w:left="1" w:firstLine="0"/>
        <w:jc w:val="center"/>
      </w:pPr>
      <w:r>
        <w:rPr>
          <w:sz w:val="28"/>
        </w:rPr>
        <w:t xml:space="preserve">ТСЭМ 81-01-2001 </w:t>
      </w:r>
    </w:p>
    <w:p w:rsidR="00E114D3" w:rsidRDefault="009169C7">
      <w:pPr>
        <w:spacing w:after="363" w:line="259" w:lineRule="auto"/>
        <w:ind w:left="-29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1028" cy="27432"/>
                <wp:effectExtent l="0" t="0" r="0" b="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028" cy="27432"/>
                          <a:chOff x="0" y="0"/>
                          <a:chExt cx="6701028" cy="27432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18288"/>
                            <a:ext cx="67010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028" h="9144">
                                <a:moveTo>
                                  <a:pt x="0" y="0"/>
                                </a:moveTo>
                                <a:lnTo>
                                  <a:pt x="6701028" y="0"/>
                                </a:lnTo>
                                <a:lnTo>
                                  <a:pt x="67010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0"/>
                            <a:ext cx="67010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028" h="9144">
                                <a:moveTo>
                                  <a:pt x="0" y="0"/>
                                </a:moveTo>
                                <a:lnTo>
                                  <a:pt x="6701028" y="0"/>
                                </a:lnTo>
                                <a:lnTo>
                                  <a:pt x="67010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" style="width:527.64pt;height:2.16pt;mso-position-horizontal-relative:char;mso-position-vertical-relative:line" coordsize="67010,274">
                <v:shape id="Shape 914" style="position:absolute;width:67010;height:91;left:0;top:182;" coordsize="6701028,9144" path="m0,0l6701028,0l6701028,9144l0,9144l0,0">
                  <v:stroke weight="0pt" endcap="flat" joinstyle="miter" miterlimit="10" on="false" color="#000000" opacity="0"/>
                  <v:fill on="true" color="#000000"/>
                </v:shape>
                <v:shape id="Shape 915" style="position:absolute;width:67010;height:91;left:0;top:0;" coordsize="6701028,9144" path="m0,0l6701028,0l67010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114D3" w:rsidRDefault="009169C7">
      <w:pPr>
        <w:spacing w:after="244" w:line="265" w:lineRule="auto"/>
        <w:ind w:left="15" w:hanging="10"/>
        <w:jc w:val="center"/>
      </w:pPr>
      <w:r>
        <w:rPr>
          <w:b/>
          <w:sz w:val="28"/>
        </w:rPr>
        <w:t xml:space="preserve">I. ОБЩИЕ ПОЛОЖЕНИЯ </w:t>
      </w:r>
    </w:p>
    <w:p w:rsidR="00E114D3" w:rsidRDefault="009169C7">
      <w:pPr>
        <w:numPr>
          <w:ilvl w:val="0"/>
          <w:numId w:val="1"/>
        </w:numPr>
        <w:ind w:right="-3"/>
      </w:pPr>
      <w:r>
        <w:t>Территориальные сметные нормативы «Территориальные сметные расценки на эксплуатацию строительных машин и автотранспортных средств» разработаны в базисном уровне цен по состоянию на 1 января 2000 года и предназначены д</w:t>
      </w:r>
      <w:r>
        <w:t>ля определения сметной стоимости строительства, реконструкции и капитального ремонта объектов капитального строительства, финансируемых с привлечением средств бюджетов бюджетной системы Российской Федерации, средств юридических лиц, созданных Российской Фе</w:t>
      </w:r>
      <w:r>
        <w:t xml:space="preserve">дерацией, субъектами Российской Федерации, муниципальными образованиями, юридических лиц, доля 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процентов, а также </w:t>
      </w:r>
      <w:r>
        <w:t>сметной стоимости капитального ремонта многоквартирного дома, осуществляемого полностью или частично за счет средств регионального оператора, товарищества собственников жилья, жилищного, жилищно-строительного кооператива или иного специализированного потре</w:t>
      </w:r>
      <w:r>
        <w:t xml:space="preserve">бительского кооператива либо средств собственников помещений в многоквартирном доме, а также для разработки единичных расценок, включенных в сборники ТЕР-2001. </w:t>
      </w:r>
    </w:p>
    <w:p w:rsidR="00E114D3" w:rsidRDefault="009169C7">
      <w:pPr>
        <w:numPr>
          <w:ilvl w:val="0"/>
          <w:numId w:val="1"/>
        </w:numPr>
        <w:ind w:right="-3"/>
      </w:pPr>
      <w:r>
        <w:t>Сметные расценки определены с учетом положений соответствующих методических документов, включен</w:t>
      </w:r>
      <w:r>
        <w:t xml:space="preserve">ных в Федеральный реестр сметных нормативов. </w:t>
      </w:r>
    </w:p>
    <w:p w:rsidR="00E114D3" w:rsidRDefault="009169C7">
      <w:pPr>
        <w:numPr>
          <w:ilvl w:val="0"/>
          <w:numId w:val="1"/>
        </w:numPr>
        <w:ind w:right="-3"/>
      </w:pPr>
      <w:r>
        <w:t xml:space="preserve">Сметные расценки на плавучие земснаряды, станции перекачки, гидромониторно-насосно-землесосные установки и станции, на замораживающие станции являются комплексными и учитывают затраты по всему комплексу машин, </w:t>
      </w:r>
      <w:r>
        <w:t xml:space="preserve">входящих в состав соответствующего технологического комплекса. </w:t>
      </w:r>
    </w:p>
    <w:sectPr w:rsidR="00E114D3">
      <w:pgSz w:w="11899" w:h="16841"/>
      <w:pgMar w:top="1440" w:right="705" w:bottom="1440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C1821"/>
    <w:multiLevelType w:val="hybridMultilevel"/>
    <w:tmpl w:val="AFE68F64"/>
    <w:lvl w:ilvl="0" w:tplc="75DA902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EC3B8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72E9A6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509952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70DCB6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9A31A6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83D84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BCB9A2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084D0E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3"/>
    <w:rsid w:val="009169C7"/>
    <w:rsid w:val="00E1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9A141-133F-42C0-95DC-6554EA96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3" w:line="253" w:lineRule="auto"/>
      <w:ind w:firstLine="30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2018-09-26T11:20:00Z</dcterms:created>
  <dcterms:modified xsi:type="dcterms:W3CDTF">2018-09-26T11:20:00Z</dcterms:modified>
</cp:coreProperties>
</file>