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SD-WAN</w:t>
      </w:r>
    </w:p>
    <w:p>
      <w:pPr>
        <w:pStyle w:val="Heading2"/>
      </w:pPr>
      <w:r>
        <w:t>Solution Overview</w:t>
      </w:r>
    </w:p>
    <w:p>
      <w:r>
        <w:t>The DeviceX/SDX SD-WAN delivers comprehensive networking capabilities to empower branch agility and resilience. Intelligent traffic load balancing optimizes performance by dynamically routing traffic across multiple WAN links. Automated connection failover ensures business continuity with seamless failover, while granular traffic shaping prioritizes mission-critical applications. These features create a reliable, high-performance, and adaptable wide-area network for branch locations.</w:t>
      </w:r>
    </w:p>
    <w:p>
      <w:pPr>
        <w:pStyle w:val="Heading2"/>
      </w:pPr>
      <w:r>
        <w:t>Key Capabilities</w:t>
      </w:r>
    </w:p>
    <w:p>
      <w:pPr>
        <w:pStyle w:val="ListBullet"/>
      </w:pPr>
      <w:r>
        <w:t>Intelligent traffic load balancing across multiple WAN links</w:t>
      </w:r>
    </w:p>
    <w:p>
      <w:pPr>
        <w:pStyle w:val="ListBullet"/>
      </w:pPr>
      <w:r>
        <w:t>Automated connection failover with seamless continuity</w:t>
      </w:r>
    </w:p>
    <w:p>
      <w:pPr>
        <w:pStyle w:val="ListBullet"/>
      </w:pPr>
      <w:r>
        <w:t>Granular traffic shaping to prioritize mission-critical applications</w:t>
      </w:r>
    </w:p>
    <w:p>
      <w:pPr>
        <w:pStyle w:val="ListBullet"/>
      </w:pPr>
      <w:r>
        <w:t>Application-aware intelligent routing</w:t>
      </w:r>
    </w:p>
    <w:p>
      <w:pPr>
        <w:pStyle w:val="ListBullet"/>
      </w:pPr>
      <w:r>
        <w:t>Multi-WAN load balancing and failover</w:t>
      </w:r>
    </w:p>
    <w:p>
      <w:pPr>
        <w:pStyle w:val="ListBullet"/>
      </w:pPr>
      <w:r>
        <w:t>IPSec and SSL VPN encryption for secure tunnels</w:t>
      </w:r>
    </w:p>
    <w:p>
      <w:pPr>
        <w:pStyle w:val="ListBullet"/>
      </w:pPr>
      <w:r>
        <w:t>Quality of Service (QoS) optimization</w:t>
      </w:r>
    </w:p>
    <w:p>
      <w:pPr>
        <w:pStyle w:val="ListBullet"/>
      </w:pPr>
      <w:r>
        <w:t>Centralized policy management</w:t>
      </w:r>
    </w:p>
    <w:p>
      <w:pPr>
        <w:pStyle w:val="ListBullet"/>
      </w:pPr>
      <w:r>
        <w:t>Real-time network monitoring and analytics</w:t>
      </w:r>
    </w:p>
    <w:p>
      <w:pPr>
        <w:pStyle w:val="ListBullet"/>
      </w:pPr>
      <w:r>
        <w:t>Cloud and on-premises connectivity</w:t>
      </w:r>
    </w:p>
    <w:p>
      <w:pPr>
        <w:pStyle w:val="ListBullet"/>
      </w:pPr>
      <w:r>
        <w:t>Bandwidth optimization and compression</w:t>
      </w:r>
    </w:p>
    <w:p>
      <w:pPr>
        <w:pStyle w:val="Heading2"/>
      </w:pPr>
      <w:r>
        <w:t>Path Diversity &amp; Quality-Based Steering</w:t>
      </w:r>
    </w:p>
    <w:p>
      <w:r>
        <w:t>Multi-path bonding aggregates diverse underlays — fiber, DSL, cellular and satellite where required — into a single encrypted overlay. The platform is transport-agnostic: it requires access services to meet certain characteristics, not any particular carrier or technology, so the customer retains full commercial freedom to select or change access providers at each location without redesigning the network or renegotiating the engagement.</w:t>
      </w:r>
    </w:p>
    <w:p>
      <w:r>
        <w:t>Live quality measurement runs continuously per path (one-way latency, jitter and packet loss under load), not on link state alone. Secondary paths are kept measured and warm, so a path that becomes the best alternative is already proven and ready. The overlay steers priority traffic on live quality measurement, protecting the sessions that matter most rather than treating all traffic identically.</w:t>
      </w:r>
    </w:p>
    <w:p>
      <w:pPr>
        <w:pStyle w:val="Heading3"/>
      </w:pPr>
      <w:r>
        <w:t>Steering Behaviour</w:t>
      </w:r>
    </w:p>
    <w:tbl>
      <w:tblPr>
        <w:tblStyle w:val="TableGrid"/>
        <w:tblW w:type="auto" w:w="0"/>
        <w:tblLook w:firstColumn="1" w:firstRow="1" w:lastColumn="0" w:lastRow="0" w:noHBand="0" w:noVBand="1" w:val="04A0"/>
      </w:tblPr>
      <w:tblGrid>
        <w:gridCol w:w="4320"/>
        <w:gridCol w:w="4320"/>
      </w:tblGrid>
      <w:tr>
        <w:tc>
          <w:tcPr>
            <w:tcW w:type="dxa" w:w="4320"/>
          </w:tcPr>
          <w:p>
            <w:r>
              <w:rPr>
                <w:b/>
              </w:rPr>
              <w:t>Condition</w:t>
            </w:r>
          </w:p>
        </w:tc>
        <w:tc>
          <w:tcPr>
            <w:tcW w:type="dxa" w:w="4320"/>
          </w:tcPr>
          <w:p>
            <w:r>
              <w:rPr>
                <w:b/>
              </w:rPr>
              <w:t>System Response</w:t>
            </w:r>
          </w:p>
        </w:tc>
      </w:tr>
      <w:tr>
        <w:tc>
          <w:tcPr>
            <w:tcW w:type="dxa" w:w="4320"/>
          </w:tcPr>
          <w:p>
            <w:r>
              <w:t>-----------</w:t>
            </w:r>
          </w:p>
        </w:tc>
        <w:tc>
          <w:tcPr>
            <w:tcW w:type="dxa" w:w="4320"/>
          </w:tcPr>
          <w:p>
            <w:r>
              <w:t>-----------------</w:t>
            </w:r>
          </w:p>
        </w:tc>
      </w:tr>
      <w:tr>
        <w:tc>
          <w:tcPr>
            <w:tcW w:type="dxa" w:w="4320"/>
          </w:tcPr>
          <w:p>
            <w:r>
              <w:t>All paths healthy</w:t>
            </w:r>
          </w:p>
        </w:tc>
        <w:tc>
          <w:tcPr>
            <w:tcW w:type="dxa" w:w="4320"/>
          </w:tcPr>
          <w:p>
            <w:r>
              <w:t>Priority media pinned to the lowest-latency, lowest-jitter path. Secondary paths remain measured and warm.</w:t>
            </w:r>
          </w:p>
        </w:tc>
      </w:tr>
      <w:tr>
        <w:tc>
          <w:tcPr>
            <w:tcW w:type="dxa" w:w="4320"/>
          </w:tcPr>
          <w:p>
            <w:r>
              <w:t>Primary path degrades</w:t>
            </w:r>
          </w:p>
        </w:tc>
        <w:tc>
          <w:tcPr>
            <w:tcW w:type="dxa" w:w="4320"/>
          </w:tcPr>
          <w:p>
            <w:r>
              <w:t>Quality thresholds breached on jitter or loss trigger steering of live priority media to the best alternative path without dropping the session.</w:t>
            </w:r>
          </w:p>
        </w:tc>
      </w:tr>
      <w:tr>
        <w:tc>
          <w:tcPr>
            <w:tcW w:type="dxa" w:w="4320"/>
          </w:tcPr>
          <w:p>
            <w:r>
              <w:t>Primary path fails</w:t>
            </w:r>
          </w:p>
        </w:tc>
        <w:tc>
          <w:tcPr>
            <w:tcW w:type="dxa" w:w="4320"/>
          </w:tcPr>
          <w:p>
            <w:r>
              <w:t>Sub-second failover to the standby underlay. Active sessions continue; users experience a brief quality dip rather than a disconnection.</w:t>
            </w:r>
          </w:p>
        </w:tc>
      </w:tr>
      <w:tr>
        <w:tc>
          <w:tcPr>
            <w:tcW w:type="dxa" w:w="4320"/>
          </w:tcPr>
          <w:p>
            <w:r>
              <w:t>All paths impaired</w:t>
            </w:r>
          </w:p>
        </w:tc>
        <w:tc>
          <w:tcPr>
            <w:tcW w:type="dxa" w:w="4320"/>
          </w:tcPr>
          <w:p>
            <w:r>
              <w:t>Bandwidth is reclaimed by throttling general, management and bulk traffic so priority media retains capacity. Optional graceful degradation from media to audio-only preserves the conversation.</w:t>
            </w:r>
          </w:p>
        </w:tc>
      </w:tr>
      <w:tr>
        <w:tc>
          <w:tcPr>
            <w:tcW w:type="dxa" w:w="4320"/>
          </w:tcPr>
          <w:p>
            <w:r>
              <w:t>Total outage</w:t>
            </w:r>
          </w:p>
        </w:tc>
        <w:tc>
          <w:tcPr>
            <w:tcW w:type="dxa" w:w="4320"/>
          </w:tcPr>
          <w:p>
            <w:r>
              <w:t>Site continues on local services — internal voice, local recording, cached workloads. Queued data and recordings synchronise automatically on restoration.</w:t>
            </w:r>
          </w:p>
        </w:tc>
      </w:tr>
    </w:tbl>
    <w:p>
      <w:pPr>
        <w:pStyle w:val="Heading3"/>
      </w:pPr>
      <w:r>
        <w:t>Service Quality Targets (reference — confirm per bid)</w:t>
      </w:r>
    </w:p>
    <w:p>
      <w:r>
        <w:t>The following targets are representative reference values for prioritised real-time media and are used to validate overlay design and to configure quality-based steering. They are confirmed per engagement against the customer's traffic profile and access services, and are not a warranty of end-to-end performance, which also depends on the customer-provided underlay.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Representative Target</w:t>
            </w:r>
          </w:p>
        </w:tc>
        <w:tc>
          <w:tcPr>
            <w:tcW w:type="dxa" w:w="2880"/>
          </w:tcPr>
          <w:p>
            <w:r>
              <w:rPr>
                <w:b/>
              </w:rPr>
              <w:t>Purpose</w:t>
            </w:r>
          </w:p>
        </w:tc>
      </w:tr>
      <w:tr>
        <w:tc>
          <w:tcPr>
            <w:tcW w:type="dxa" w:w="2880"/>
          </w:tcPr>
          <w:p>
            <w:r>
              <w:t>--------</w:t>
            </w:r>
          </w:p>
        </w:tc>
        <w:tc>
          <w:tcPr>
            <w:tcW w:type="dxa" w:w="2880"/>
          </w:tcPr>
          <w:p>
            <w:r>
              <w:t>----------------------</w:t>
            </w:r>
          </w:p>
        </w:tc>
        <w:tc>
          <w:tcPr>
            <w:tcW w:type="dxa" w:w="2880"/>
          </w:tcPr>
          <w:p>
            <w:r>
              <w:t>---------</w:t>
            </w:r>
          </w:p>
        </w:tc>
      </w:tr>
      <w:tr>
        <w:tc>
          <w:tcPr>
            <w:tcW w:type="dxa" w:w="2880"/>
          </w:tcPr>
          <w:p>
            <w:r>
              <w:t>One-way latency</w:t>
            </w:r>
          </w:p>
        </w:tc>
        <w:tc>
          <w:tcPr>
            <w:tcW w:type="dxa" w:w="2880"/>
          </w:tcPr>
          <w:p>
            <w:r>
              <w:t>≤ {{ola_latency_target}}</w:t>
            </w:r>
          </w:p>
        </w:tc>
        <w:tc>
          <w:tcPr>
            <w:tcW w:type="dxa" w:w="2880"/>
          </w:tcPr>
          <w:p>
            <w:r>
              <w:t>Preserves natural turn-taking during real-time interaction.</w:t>
            </w:r>
          </w:p>
        </w:tc>
      </w:tr>
      <w:tr>
        <w:tc>
          <w:tcPr>
            <w:tcW w:type="dxa" w:w="2880"/>
          </w:tcPr>
          <w:p>
            <w:r>
              <w:t>Jitter</w:t>
            </w:r>
          </w:p>
        </w:tc>
        <w:tc>
          <w:tcPr>
            <w:tcW w:type="dxa" w:w="2880"/>
          </w:tcPr>
          <w:p>
            <w:r>
              <w:t>≤ {{ola_jitter_target}}</w:t>
            </w:r>
          </w:p>
        </w:tc>
        <w:tc>
          <w:tcPr>
            <w:tcW w:type="dxa" w:w="2880"/>
          </w:tcPr>
          <w:p>
            <w:r>
              <w:t>Keeps de-jitter buffering within limits that avoid audible and visible artefacts.</w:t>
            </w:r>
          </w:p>
        </w:tc>
      </w:tr>
      <w:tr>
        <w:tc>
          <w:tcPr>
            <w:tcW w:type="dxa" w:w="2880"/>
          </w:tcPr>
          <w:p>
            <w:r>
              <w:t>Packet loss (priority media)</w:t>
            </w:r>
          </w:p>
        </w:tc>
        <w:tc>
          <w:tcPr>
            <w:tcW w:type="dxa" w:w="2880"/>
          </w:tcPr>
          <w:p>
            <w:r>
              <w:t>≤ {{ola_loss_target}}</w:t>
            </w:r>
          </w:p>
        </w:tc>
        <w:tc>
          <w:tcPr>
            <w:tcW w:type="dxa" w:w="2880"/>
          </w:tcPr>
          <w:p>
            <w:r>
              <w:t>Below the threshold at which loss concealment becomes noticeable.</w:t>
            </w:r>
          </w:p>
        </w:tc>
      </w:tr>
      <w:tr>
        <w:tc>
          <w:tcPr>
            <w:tcW w:type="dxa" w:w="2880"/>
          </w:tcPr>
          <w:p>
            <w:r>
              <w:t>Voice quality</w:t>
            </w:r>
          </w:p>
        </w:tc>
        <w:tc>
          <w:tcPr>
            <w:tcW w:type="dxa" w:w="2880"/>
          </w:tcPr>
          <w:p>
            <w:r>
              <w:t>MOS ≥ {{ola_mos_target}}</w:t>
            </w:r>
          </w:p>
        </w:tc>
        <w:tc>
          <w:tcPr>
            <w:tcW w:type="dxa" w:w="2880"/>
          </w:tcPr>
          <w:p>
            <w:r>
              <w:t>Sustains clear dialogue without repetition.</w:t>
            </w:r>
          </w:p>
        </w:tc>
      </w:tr>
      <w:tr>
        <w:tc>
          <w:tcPr>
            <w:tcW w:type="dxa" w:w="2880"/>
          </w:tcPr>
          <w:p>
            <w:r>
              <w:t>Session video</w:t>
            </w:r>
          </w:p>
        </w:tc>
        <w:tc>
          <w:tcPr>
            <w:tcW w:type="dxa" w:w="2880"/>
          </w:tcPr>
          <w:p>
            <w:r>
              <w:t>{{ola_video_target}}</w:t>
            </w:r>
          </w:p>
        </w:tc>
        <w:tc>
          <w:tcPr>
            <w:tcW w:type="dxa" w:w="2880"/>
          </w:tcPr>
          <w:p>
            <w:r>
              <w:t>Sufficient fidelity for visual assessment at the primary session camera.</w:t>
            </w:r>
          </w:p>
        </w:tc>
      </w:tr>
      <w:tr>
        <w:tc>
          <w:tcPr>
            <w:tcW w:type="dxa" w:w="2880"/>
          </w:tcPr>
          <w:p>
            <w:r>
              <w:t>Overlay failover</w:t>
            </w:r>
          </w:p>
        </w:tc>
        <w:tc>
          <w:tcPr>
            <w:tcW w:type="dxa" w:w="2880"/>
          </w:tcPr>
          <w:p>
            <w:r>
              <w:t>&lt; {{ola_failover_target}}</w:t>
            </w:r>
          </w:p>
        </w:tc>
        <w:tc>
          <w:tcPr>
            <w:tcW w:type="dxa" w:w="2880"/>
          </w:tcPr>
          <w:p>
            <w:r>
              <w:t>A path change is perceived as a brief quality dip, not a dropped session.</w:t>
            </w:r>
          </w:p>
        </w:tc>
      </w:tr>
      <w:tr>
        <w:tc>
          <w:tcPr>
            <w:tcW w:type="dxa" w:w="2880"/>
          </w:tcPr>
          <w:p>
            <w:r>
              <w:t>Site bring-up (zero-touch)</w:t>
            </w:r>
          </w:p>
        </w:tc>
        <w:tc>
          <w:tcPr>
            <w:tcW w:type="dxa" w:w="2880"/>
          </w:tcPr>
          <w:p>
            <w:r>
              <w:t>≤ {{ola_bringup_target}}</w:t>
            </w:r>
          </w:p>
        </w:tc>
        <w:tc>
          <w:tcPr>
            <w:tcW w:type="dxa" w:w="2880"/>
          </w:tcPr>
          <w:p>
            <w:r>
              <w:t>From power-on to adopted, policy-compliant and in service.</w:t>
            </w:r>
          </w:p>
        </w:tc>
      </w:tr>
    </w:tbl>
    <w:p>
      <w:pPr>
        <w:pStyle w:val="Heading2"/>
      </w:pPr>
      <w:r>
        <w:t>Figure — SD-WAN Architecture (Hub-and-Spoke / Mesh Overlay)</w:t>
      </w:r>
    </w:p>
    <w:p>
      <w:r>
        <w:t>&lt;!-- IMAGE PLACEMENT GUIDANCE — insert approved generic image here --&gt;</w:t>
        <w:br/>
        <w:t>&lt;!-- Recommended image: a generic SD-WAN topology showing a central hub (or dual hubs) with multiple remote/branch sites connected over an encrypted overlay, with diverse underlays (fiber, DSL, cellular) converging at each site. Transport-agnostic — no carrier branding, no customer site names, no customer-specific IP addressing. --&gt;</w:t>
        <w:br/>
        <w:t>&lt;!-- Suggested source: Telemedicine proposal §3.1 / §3.2 (architecture tiers + SD-WAN architecture) — reuse only the generic topology/fabric shape; strip any "clinic", "Dubai", or site-name labels before use. --&gt;</w:t>
        <w:br/>
        <w:t>&lt;!-- Alternative: a path-diversity / quality-based steering decision diagram showing primary path, standby underlay, and steering logic (latency/jitter/loss thresholds).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SD-WAN architecture / path-diversity diagram here. See image-placement guidance notes.]*</w:t>
      </w:r>
    </w:p>
    <w:p>
      <w:r>
        <w:t>*Replace the `{{ola_*_target}}` values with the figures agreed for the current engagement, or remove the table where the customer has not specified quality targets.*</w:t>
      </w:r>
    </w:p>
    <w:p>
      <w:pPr>
        <w:pStyle w:val="Heading2"/>
      </w:pPr>
      <w:r>
        <w:t>Zero-Touch Provisioning (ZTP)</w:t>
      </w:r>
    </w:p>
    <w:p>
      <w:r>
        <w:t>DeviceX enables instant onboarding and rapid site bring-up for branches. Through the cloud orchestration plane and StackX, new configurations, updates, and policies can be pushed instantly to thousands of DeviceX units. The Branch-in-a-Box model allows for full remote management and updates, eliminating the need for on-site IT staff for provisioning.</w:t>
      </w:r>
    </w:p>
    <w:p>
      <w:pPr>
        <w:pStyle w:val="Heading2"/>
      </w:pPr>
      <w:r>
        <w:t>Link Aggregation Resilience</w:t>
      </w:r>
    </w:p>
    <w:p>
      <w:r>
        <w:t>DeviceX utilizes Link Aggregation, allowing the customer to combine fiber, 4G/5G, and even satellite links. If one connection fails, traffic fails over instantly without dropping a single packet of surveillance footage or transaction data.</w:t>
      </w:r>
    </w:p>
    <w:p>
      <w:pPr>
        <w:pStyle w:val="Heading2"/>
      </w:pPr>
      <w:r>
        <w:t>Traffic Prioritization</w:t>
      </w:r>
    </w:p>
    <w:p>
      <w:r>
        <w:t>DeviceX recognizes the importance of mission-critical applications. It ensures that critical traffic — such as vault sensors, ERP updates, or exam-platform traffic — is always prioritized over routine background data, even during peak congestion.</w:t>
      </w:r>
    </w:p>
    <w:p>
      <w:pPr>
        <w:pStyle w:val="Heading2"/>
      </w:pPr>
      <w:r>
        <w:t>Deployment Architecture Options</w:t>
      </w:r>
    </w:p>
    <w:p>
      <w:r>
        <w:t>Select one or more architecture patterns as applicable:</w:t>
      </w:r>
    </w:p>
    <w:p>
      <w:pPr>
        <w:pStyle w:val="ListBullet"/>
      </w:pPr>
      <w:r>
        <w:t>Point-to-Point</w:t>
      </w:r>
    </w:p>
    <w:p>
      <w:pPr>
        <w:pStyle w:val="ListBullet"/>
      </w:pPr>
      <w:r>
        <w:t>Hub &amp; Spoke</w:t>
      </w:r>
    </w:p>
    <w:p>
      <w:pPr>
        <w:pStyle w:val="ListBullet"/>
      </w:pPr>
      <w:r>
        <w:t>Site-to-Site VPN</w:t>
      </w:r>
    </w:p>
    <w:p>
      <w:pPr>
        <w:pStyle w:val="Heading2"/>
      </w:pPr>
      <w:r>
        <w:t>Security Integration with Firewall</w:t>
      </w:r>
    </w:p>
    <w:p>
      <w:r>
        <w:t>The SD-WAN tunnels integrate with the branch firewall to provide layered security, where encrypted transport-level tunnels are complemented by policy-based traffic inspection at the edge. Firewall policy enforcement and SD-WAN traffic steering work together to ensure that traffic reaching the branch is both routed optimally and filtered according to security policy.</w:t>
      </w:r>
    </w:p>
    <w:p>
      <w:pPr>
        <w:pStyle w:val="Heading2"/>
      </w:pPr>
      <w:r>
        <w:t>Out-of-Scope (explicitly)</w:t>
      </w:r>
    </w:p>
    <w:p>
      <w:pPr>
        <w:pStyle w:val="ListBullet"/>
      </w:pPr>
      <w:r>
        <w:t>Any communication with the telco operators</w:t>
      </w:r>
    </w:p>
    <w:p>
      <w:pPr>
        <w:pStyle w:val="ListBullet"/>
      </w:pPr>
      <w:r>
        <w:t>Procurement and infrastructure readiness (including hardware, network, storage, cabling, security firewalls, load balancers, commercial certificates, virtualization platforms, operating systems, antivirus, backup) — unless explicitly in scope</w:t>
      </w:r>
    </w:p>
    <w:p>
      <w:pPr>
        <w:pStyle w:val="ListBullet"/>
      </w:pPr>
      <w:r>
        <w:t>Any rework for the centralized management infrastructure related to hardware availability/hardware failure issues, network connectivity issues, electricity instability or electricity outages</w:t>
      </w:r>
    </w:p>
    <w:p>
      <w:pPr>
        <w:pStyle w:val="ListBullet"/>
      </w:pPr>
      <w:r>
        <w:t>The availability, throughput, latency or quality of customer-provided access services, and any service credit arising from their failure</w:t>
      </w:r>
    </w:p>
    <w:p>
      <w:pPr>
        <w:pStyle w:val="ListBullet"/>
      </w:pPr>
      <w:r>
        <w:t>Design, survey, installation or upgrade of last-mile access, including satellite terminal installation, alignment and commissioning</w:t>
      </w:r>
    </w:p>
    <w:p>
      <w:pPr>
        <w:pStyle w:val="ListBullet"/>
      </w:pPr>
      <w:r>
        <w:t>Any communication, negotiation, fault escalation or SLA management with ISPs, carriers or satellite operators on the customer's behalf</w:t>
      </w:r>
    </w:p>
    <w:p>
      <w:r>
        <w:t>*This module is a reusable building block. Validate scope, architecture options, performance framing, and quality targets against the current customer's RFP/ITB before issuing.*</w:t>
      </w:r>
    </w:p>
    <w:p/>
    <w:p>
      <w:pPr>
        <w:pStyle w:val="Heading1"/>
      </w:pPr>
      <w:r>
        <w:t>Firewall</w:t>
      </w:r>
    </w:p>
    <w:p>
      <w:pPr>
        <w:pStyle w:val="Heading2"/>
      </w:pPr>
      <w:r>
        <w:t>Solution Overview</w:t>
      </w:r>
    </w:p>
    <w:p>
      <w:r>
        <w:t>The DeviceX/SDX firewall delivers a stateful packet inspection engine that monitors and maintains context-aware sessions, ensuring seamless tracking of TCP/UDP connections. The flexible port-based access control lists allow administrators to permit or deny traffic based on well-known service ports, enabling fine-grained regulation of network access. Additionally, the firewall's protocol-aware filtering capabilities can identify and selectively handle traffic from specific network protocols, to enforce granular tailored security policies.</w:t>
      </w:r>
    </w:p>
    <w:p>
      <w:pPr>
        <w:pStyle w:val="Heading2"/>
      </w:pPr>
      <w:r>
        <w:t>Core Capabilities (Base — Stateful Firewall)</w:t>
      </w:r>
    </w:p>
    <w:p>
      <w:pPr>
        <w:pStyle w:val="ListBullet"/>
      </w:pPr>
      <w:r>
        <w:t>Stateful packet inspection engine with context-aware session tracking (TCP/UDP)</w:t>
      </w:r>
    </w:p>
    <w:p>
      <w:pPr>
        <w:pStyle w:val="ListBullet"/>
      </w:pPr>
      <w:r>
        <w:t>Flexible port-based access control lists — permit/deny by well-known service ports</w:t>
      </w:r>
    </w:p>
    <w:p>
      <w:pPr>
        <w:pStyle w:val="ListBullet"/>
      </w:pPr>
      <w:r>
        <w:t>Protocol-aware filtering — identify and selectively handle traffic from specific network protocols</w:t>
      </w:r>
    </w:p>
    <w:p>
      <w:pPr>
        <w:pStyle w:val="ListBullet"/>
      </w:pPr>
      <w:r>
        <w:t>NAT, policy-based routing, and traffic shaping</w:t>
      </w:r>
    </w:p>
    <w:p>
      <w:pPr>
        <w:pStyle w:val="ListBullet"/>
      </w:pPr>
      <w:r>
        <w:t>Zone-based firewall policies</w:t>
      </w:r>
    </w:p>
    <w:p>
      <w:pPr>
        <w:pStyle w:val="Heading2"/>
      </w:pPr>
      <w:r>
        <w:t>Next-Generation Firewall (NGFW) — Optional Enhancement</w:t>
      </w:r>
    </w:p>
    <w:p>
      <w:r>
        <w:t>When the Enhanced NGFW variant is selected, the firewall platform additionally provides:</w:t>
      </w:r>
    </w:p>
    <w:p>
      <w:pPr>
        <w:pStyle w:val="ListBullet"/>
      </w:pPr>
      <w:r>
        <w:t>Application identification using Deep Packet Inspection (DPI)</w:t>
      </w:r>
    </w:p>
    <w:p>
      <w:pPr>
        <w:pStyle w:val="ListBullet"/>
      </w:pPr>
      <w:r>
        <w:t>Control and block applications such as:</w:t>
      </w:r>
    </w:p>
    <w:p>
      <w:pPr>
        <w:pStyle w:val="ListBullet"/>
      </w:pPr>
      <w:r>
        <w:t>Social media</w:t>
      </w:r>
    </w:p>
    <w:p>
      <w:pPr>
        <w:pStyle w:val="ListBullet"/>
      </w:pPr>
      <w:r>
        <w:t>Streaming platforms</w:t>
      </w:r>
    </w:p>
    <w:p>
      <w:pPr>
        <w:pStyle w:val="ListBullet"/>
      </w:pPr>
      <w:r>
        <w:t>P2P and file sharing</w:t>
      </w:r>
    </w:p>
    <w:p>
      <w:pPr>
        <w:pStyle w:val="ListBullet"/>
      </w:pPr>
      <w:r>
        <w:t>Remote access tools</w:t>
      </w:r>
    </w:p>
    <w:p>
      <w:pPr>
        <w:pStyle w:val="ListBullet"/>
      </w:pPr>
      <w:r>
        <w:t>Per-user, per-group, or per-network policies</w:t>
      </w:r>
    </w:p>
    <w:p>
      <w:pPr>
        <w:pStyle w:val="ListBullet"/>
      </w:pPr>
      <w:r>
        <w:t>Works even when applications use non-standard ports</w:t>
      </w:r>
    </w:p>
    <w:p>
      <w:pPr>
        <w:pStyle w:val="ListBullet"/>
      </w:pPr>
      <w:r>
        <w:t>Category-based URL filtering (education, social media, gambling, malware, etc.)</w:t>
      </w:r>
    </w:p>
    <w:p>
      <w:pPr>
        <w:pStyle w:val="ListBullet"/>
      </w:pPr>
      <w:r>
        <w:t>Domain and URL blacklists / whitelists</w:t>
      </w:r>
    </w:p>
    <w:p>
      <w:pPr>
        <w:pStyle w:val="ListBullet"/>
      </w:pPr>
      <w:r>
        <w:t>SafeSearch and DNS-based filtering</w:t>
      </w:r>
    </w:p>
    <w:p>
      <w:pPr>
        <w:pStyle w:val="ListBullet"/>
      </w:pPr>
      <w:r>
        <w:t>Time-based browsing policies</w:t>
      </w:r>
    </w:p>
    <w:p>
      <w:pPr>
        <w:pStyle w:val="ListBullet"/>
      </w:pPr>
      <w:r>
        <w:t>Integrated Suricata IDS/IPS</w:t>
      </w:r>
    </w:p>
    <w:p>
      <w:pPr>
        <w:pStyle w:val="ListBullet"/>
      </w:pPr>
      <w:r>
        <w:t>Real-time attack detection and blocking</w:t>
      </w:r>
    </w:p>
    <w:p>
      <w:pPr>
        <w:pStyle w:val="ListBullet"/>
      </w:pPr>
      <w:r>
        <w:t>Signature-based and anomaly-based inspection</w:t>
      </w:r>
    </w:p>
    <w:p>
      <w:pPr>
        <w:pStyle w:val="ListBullet"/>
      </w:pPr>
      <w:r>
        <w:t>GeoIP-based blocking</w:t>
      </w:r>
    </w:p>
    <w:p>
      <w:pPr>
        <w:pStyle w:val="ListBullet"/>
      </w:pPr>
      <w:r>
        <w:t>DNS security and sinkholing</w:t>
      </w:r>
    </w:p>
    <w:p>
      <w:pPr>
        <w:pStyle w:val="ListBullet"/>
      </w:pPr>
      <w:r>
        <w:t>VPN inspection and policy enforcement</w:t>
      </w:r>
    </w:p>
    <w:p>
      <w:pPr>
        <w:pStyle w:val="ListBullet"/>
      </w:pPr>
      <w:r>
        <w:t>Encrypted traffic visibility (TLS inspection — optional)</w:t>
      </w:r>
    </w:p>
    <w:p>
      <w:pPr>
        <w:pStyle w:val="Heading2"/>
      </w:pPr>
      <w:r>
        <w:t>Figure — Firewall Security Zones / In-Site Micro-Segmentation</w:t>
      </w:r>
    </w:p>
    <w:p>
      <w:r>
        <w:t>&lt;!-- IMAGE PLACEMENT GUIDANCE — insert approved generic image here --&gt;</w:t>
        <w:br/>
        <w:t>&lt;!-- Recommended image: a generic in-site micro-segmentation diagram showing distinct security zones (e.g. untrusted/guest, user/application, peripheral/device, surveillance/camera, voice, management) with explicit allow-list boundaries and no unwanted egress between zones. No customer-specific device names, no customer site names, no customer IP addressing. --&gt;</w:t>
        <w:br/>
        <w:t>&lt;!-- Suggested source: Telemedicine proposal §4.3.3 (in-clinic micro-segmentation, 6 segments) — reuse only the generic zone model; strip any "telemedicine room", "consultation station", "medical device", "examination camera" labels before use. --&gt;</w:t>
        <w:br/>
        <w:t>&lt;!-- Alternative: a network-perimeter firewall policy / zone-based firewall diagram (e.g.Guest Wi-Fi vs Corporate Core) — EGYCash-style zone-based firewall concept, genericised.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firewall / micro-segmentation diagram here. See image-placement guidance notes.]*</w:t>
      </w:r>
    </w:p>
    <w:p>
      <w:pPr>
        <w:pStyle w:val="Heading2"/>
      </w:pPr>
      <w:r>
        <w:t>Firewall Template Deployment</w:t>
      </w:r>
    </w:p>
    <w:p>
      <w:pPr>
        <w:pStyle w:val="ListBullet"/>
      </w:pPr>
      <w:r>
        <w:t>Define and allocate resources for the firewall control and data plane</w:t>
      </w:r>
    </w:p>
    <w:p>
      <w:pPr>
        <w:pStyle w:val="ListBullet"/>
      </w:pPr>
      <w:r>
        <w:t>Create Template Firewall Policy to be installed on remote branches</w:t>
      </w:r>
    </w:p>
    <w:p>
      <w:pPr>
        <w:pStyle w:val="ListBullet"/>
      </w:pPr>
      <w:r>
        <w:t>Deploy Firewall Template on remote branches</w:t>
      </w:r>
    </w:p>
    <w:p>
      <w:pPr>
        <w:pStyle w:val="Heading2"/>
      </w:pPr>
      <w:r>
        <w:t>In-Site Micro-Segmentation</w:t>
      </w:r>
    </w:p>
    <w:p>
      <w:r>
        <w:t>Security at each site depends on isolation. Each traffic type is placed on its own segment, and all traffic between segments is forced through the device firewall so that lateral movement is blocked rather than merely observed.</w:t>
      </w:r>
    </w:p>
    <w:p>
      <w:r>
        <w:t>A typical per-site segmentation model separates the following traffic classes. The exact segments and policy baseline are defined per engagement against the customer's traffic profile:</w:t>
      </w:r>
    </w:p>
    <w:p>
      <w:pPr>
        <w:pStyle w:val="ListBullet"/>
      </w:pPr>
      <w:r>
        <w:t>Primary application / user segment</w:t>
      </w:r>
    </w:p>
    <w:p>
      <w:pPr>
        <w:pStyle w:val="ListBullet"/>
      </w:pPr>
      <w:r>
        <w:t>Connected peripheral / device segment — explicit allow-list, no direct internet egress</w:t>
      </w:r>
    </w:p>
    <w:p>
      <w:pPr>
        <w:pStyle w:val="ListBullet"/>
      </w:pPr>
      <w:r>
        <w:t>Surveillance / camera segment — isolated from all application traffic</w:t>
      </w:r>
    </w:p>
    <w:p>
      <w:pPr>
        <w:pStyle w:val="ListBullet"/>
      </w:pPr>
      <w:r>
        <w:t>Voice segment for telephony endpoints</w:t>
      </w:r>
    </w:p>
    <w:p>
      <w:pPr>
        <w:pStyle w:val="ListBullet"/>
      </w:pPr>
      <w:r>
        <w:t>Management segment — reachable only from the central management platform</w:t>
      </w:r>
    </w:p>
    <w:p>
      <w:pPr>
        <w:pStyle w:val="ListBullet"/>
      </w:pPr>
      <w:r>
        <w:t>Administrative / guest segment — no route to any application resource</w:t>
      </w:r>
    </w:p>
    <w:p>
      <w:r>
        <w:t>This matters in practice: the least-trusted device type on a site is often the most common initial foothold. Under this model, a compromised peripheral or camera can reach neither the application segment, the sensitive devices, nor the hub.</w:t>
      </w:r>
    </w:p>
    <w:p>
      <w:pPr>
        <w:pStyle w:val="Heading2"/>
      </w:pPr>
      <w:r>
        <w:t>Out-of-Scope (explicitly)</w:t>
      </w:r>
    </w:p>
    <w:p>
      <w:pPr>
        <w:pStyle w:val="ListBullet"/>
      </w:pPr>
      <w:r>
        <w:t>Any security penetration testing, vulnerability assessments, code reviews, and forensic activities</w:t>
      </w:r>
    </w:p>
    <w:p>
      <w:pPr>
        <w:pStyle w:val="ListBullet"/>
      </w:pPr>
      <w:r>
        <w:t>Any backup, network, and security activities not explicitly in scope</w:t>
      </w:r>
    </w:p>
    <w:p>
      <w:pPr>
        <w:pStyle w:val="ListBullet"/>
      </w:pPr>
      <w:r>
        <w:t>Acquisition of any necessary commercial certificates (unless explicitly in scope)</w:t>
      </w:r>
    </w:p>
    <w:p>
      <w:pPr>
        <w:pStyle w:val="ListBullet"/>
      </w:pPr>
      <w:r>
        <w:t>Any integration with components that don't support standard protocols used by DeviceX</w:t>
      </w:r>
    </w:p>
    <w:p>
      <w:pPr>
        <w:pStyle w:val="ListBullet"/>
      </w:pPr>
      <w:r>
        <w:t>Any design changes to the existing environment</w:t>
      </w:r>
    </w:p>
    <w:p>
      <w:pPr>
        <w:pStyle w:val="ListBullet"/>
      </w:pPr>
      <w:r>
        <w:t>Any change to existing customer devices or configurations (switches, routers, existing firewalls, and similar)</w:t>
      </w:r>
    </w:p>
    <w:p>
      <w:r>
        <w:t>*This module is a reusable building block. Decide whether the customer requires the base stateful firewall or the enhanced NGFW variant (with IDS/IPS, URL filtering, DPI, TLS inspection), and define the per-site segmentation model against the current RFP/ITB. Do not assert certifications or compliance claims not validated for the current engagement.*</w:t>
      </w:r>
    </w:p>
    <w:p/>
    <w:p>
      <w:pPr>
        <w:pStyle w:val="Heading1"/>
      </w:pPr>
      <w:r>
        <w:t>NVR / Video Surveillance</w:t>
      </w:r>
    </w:p>
    <w:p>
      <w:pPr>
        <w:pStyle w:val="Heading2"/>
      </w:pPr>
      <w:r>
        <w:t>Solution Overview</w:t>
      </w:r>
    </w:p>
    <w:p>
      <w:r>
        <w:t>Providing robust surveillance capabilities over IP networks. The value lies in offering remote access, scalability, and advanced analytics, which enhance security and operational efficiency for organizations.</w:t>
      </w:r>
    </w:p>
    <w:p>
      <w:pPr>
        <w:pStyle w:val="Heading2"/>
      </w:pPr>
      <w:r>
        <w:t>Two NVR Sub-Options</w:t>
      </w:r>
    </w:p>
    <w:p>
      <w:r>
        <w:t>This module has two variants. Select the variant that matches the current customer's requirements. Do not assume one or the other without validating against the RFP/ITB.</w:t>
      </w:r>
    </w:p>
    <w:p>
      <w:pPr>
        <w:pStyle w:val="Heading3"/>
      </w:pPr>
      <w:r>
        <w:t>Variant A — NVR Without AI</w:t>
      </w:r>
    </w:p>
    <w:p>
      <w:pPr>
        <w:pStyle w:val="ListBullet"/>
      </w:pPr>
      <w:r>
        <w:t>Configure and deploy the NVR system without AI capabilities as per the design</w:t>
      </w:r>
    </w:p>
    <w:p>
      <w:pPr>
        <w:pStyle w:val="ListBullet"/>
      </w:pPr>
      <w:r>
        <w:t>Set up video recording parameters including resolution, frame rate, and bitrate as per the design</w:t>
      </w:r>
    </w:p>
    <w:p>
      <w:pPr>
        <w:pStyle w:val="ListBullet"/>
      </w:pPr>
      <w:r>
        <w:t>Camera-based retention policies</w:t>
      </w:r>
    </w:p>
    <w:p>
      <w:pPr>
        <w:pStyle w:val="ListBullet"/>
      </w:pPr>
      <w:r>
        <w:t>Centralized archiving with WAN optimization</w:t>
      </w:r>
    </w:p>
    <w:p>
      <w:pPr>
        <w:pStyle w:val="ListBullet"/>
      </w:pPr>
      <w:r>
        <w:t>Remote access and management</w:t>
      </w:r>
    </w:p>
    <w:p>
      <w:pPr>
        <w:pStyle w:val="Heading3"/>
      </w:pPr>
      <w:r>
        <w:t>Variant B — NVR with Edge Analytics</w:t>
      </w:r>
    </w:p>
    <w:p>
      <w:pPr>
        <w:pStyle w:val="ListBullet"/>
      </w:pPr>
      <w:r>
        <w:t>AI-powered surveillance with edge analytics</w:t>
      </w:r>
    </w:p>
    <w:p>
      <w:pPr>
        <w:pStyle w:val="ListBullet"/>
      </w:pPr>
      <w:r>
        <w:t>ONVIF-compliant camera integration</w:t>
      </w:r>
    </w:p>
    <w:p>
      <w:pPr>
        <w:pStyle w:val="ListBullet"/>
      </w:pPr>
      <w:r>
        <w:t>AI-powered object detection and recognition</w:t>
      </w:r>
    </w:p>
    <w:p>
      <w:pPr>
        <w:pStyle w:val="ListBullet"/>
      </w:pPr>
      <w:r>
        <w:t>Motion detection and behavioral analytics</w:t>
      </w:r>
    </w:p>
    <w:p>
      <w:pPr>
        <w:pStyle w:val="ListBullet"/>
      </w:pPr>
      <w:r>
        <w:t>Facial recognition and people counting</w:t>
      </w:r>
    </w:p>
    <w:p>
      <w:pPr>
        <w:pStyle w:val="ListBullet"/>
      </w:pPr>
      <w:r>
        <w:t>License plate recognition (LPR)</w:t>
      </w:r>
    </w:p>
    <w:p>
      <w:pPr>
        <w:pStyle w:val="ListBullet"/>
      </w:pPr>
      <w:r>
        <w:t>Real-time alerts and notifications</w:t>
      </w:r>
    </w:p>
    <w:p>
      <w:pPr>
        <w:pStyle w:val="ListBullet"/>
      </w:pPr>
      <w:r>
        <w:t>Video recording and playback</w:t>
      </w:r>
    </w:p>
    <w:p>
      <w:pPr>
        <w:pStyle w:val="ListBullet"/>
      </w:pPr>
      <w:r>
        <w:t>Remote access and mobile viewing</w:t>
      </w:r>
    </w:p>
    <w:p>
      <w:pPr>
        <w:pStyle w:val="ListBullet"/>
      </w:pPr>
      <w:r>
        <w:t>Integration with access control systems</w:t>
      </w:r>
    </w:p>
    <w:p>
      <w:pPr>
        <w:pStyle w:val="ListBullet"/>
      </w:pPr>
      <w:r>
        <w:t>Forensic search and investigation tools</w:t>
      </w:r>
    </w:p>
    <w:p>
      <w:pPr>
        <w:pStyle w:val="Heading2"/>
      </w:pPr>
      <w:r>
        <w:t>Operating Pattern</w:t>
      </w:r>
    </w:p>
    <w:p>
      <w:pPr>
        <w:pStyle w:val="Heading3"/>
      </w:pPr>
      <w:r>
        <w:t>Local recording and retention (default)</w:t>
      </w:r>
    </w:p>
    <w:p>
      <w:pPr>
        <w:pStyle w:val="Heading2"/>
      </w:pPr>
      <w:r>
        <w:t>Figure — NVR Recording &amp; Monitoring Architecture</w:t>
      </w:r>
    </w:p>
    <w:p>
      <w:r>
        <w:t>&lt;!-- IMAGE PLACEMENT GUIDANCE — insert approved generic image here --&gt;</w:t>
        <w:br/>
        <w:t>&lt;!-- Recommended image: a generic NVR architecture diagram showing camera streams recorded locally on the appliance, with only alerts/metadata/thumbnails/operator-requested playback traversing the wide-area link to a central monitoring array. No customer-specific camera names, no site names, no customer-specific retention figures. --&gt;</w:t>
        <w:br/>
        <w:t>&lt;!-- Suggested source: Telemedicine proposal NVR section (local recording as default, centralised monitoring array as design input, NVR bandwidth consideration) — genericise the diagram. --&gt;</w:t>
        <w:br/>
        <w:t>&lt;!-- Alternative: a camera layout / per-site camera-count diagram (generic — show N cameras per site as a variable, not a fixed customer number).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NVR architecture / camera-layout diagram here. See image-placement guidance notes.]*</w:t>
      </w:r>
    </w:p>
    <w:p>
      <w:r>
        <w:t>Surveillance is recorded locally at the edge, with retention policy and alert forwarding configured to the central platform. Recording locally means surveillance does not compete with priority wide-area traffic for the link — a key property for deployments where the wide-area link also carries sensitive real-time traffic.</w:t>
      </w:r>
    </w:p>
    <w:p>
      <w:pPr>
        <w:pStyle w:val="Heading3"/>
      </w:pPr>
      <w:r>
        <w:t>Centralised monitoring array (optional, where required)</w:t>
      </w:r>
    </w:p>
    <w:p>
      <w:r>
        <w:t>Where the customer requires a centralised monitoring array, the platform can be configured with a high-capacity monitoring arrangement — for example, multiple display outputs, each featuring a camera grid plus a dedicated active-focus window. The configuration is optimised for a reference resolution and requires a recommended minimum backbone bandwidth at the monitoring location to maintain high-quality real-time streaming. Sizing is confirmed at design stage against the camera count, resolution and site count; it is presented here as a design-time planning input, not as a fixed product specification.</w:t>
      </w:r>
    </w:p>
    <w:p>
      <w:pPr>
        <w:pStyle w:val="Heading3"/>
      </w:pPr>
      <w:r>
        <w:t>NVR bandwidth consideration (planning input)</w:t>
      </w:r>
    </w:p>
    <w:p>
      <w:pPr>
        <w:pStyle w:val="ListBullet"/>
      </w:pPr>
      <w:r>
        <w:t>Surveillance recorded locally is not a continuous consumer of the wide-area link.</w:t>
      </w:r>
    </w:p>
    <w:p>
      <w:pPr>
        <w:pStyle w:val="ListBullet"/>
      </w:pPr>
      <w:r>
        <w:t>Where central archive synchronisation is required, it is scheduled outside critical hours and rate-limited so it can never contend with live priority traffic.</w:t>
      </w:r>
    </w:p>
    <w:p>
      <w:pPr>
        <w:pStyle w:val="ListBullet"/>
      </w:pPr>
      <w:r>
        <w:t>The monitoring-location backbone bandwidth is sized against the agreed camera count, resolution and display configuration, and confirmed during design.</w:t>
      </w:r>
    </w:p>
    <w:p>
      <w:pPr>
        <w:pStyle w:val="Heading2"/>
      </w:pPr>
      <w:r>
        <w:t>Camera Support</w:t>
      </w:r>
    </w:p>
    <w:p>
      <w:pPr>
        <w:pStyle w:val="ListBullet"/>
      </w:pPr>
      <w:r>
        <w:t>IP cameras are supported by default.</w:t>
      </w:r>
    </w:p>
    <w:p>
      <w:pPr>
        <w:pStyle w:val="ListBullet"/>
      </w:pPr>
      <w:r>
        <w:t>Analogue camera support, if required, is a per-engagement decision and is confirmed against the customer's existing camera estate during design. (Do not assume analogue support without validating.)</w:t>
      </w:r>
    </w:p>
    <w:p>
      <w:pPr>
        <w:pStyle w:val="Heading2"/>
      </w:pPr>
      <w:r>
        <w:t>Reference Parameters (optional — confirm per bid)</w:t>
      </w:r>
    </w:p>
    <w:p>
      <w:r>
        <w:t>The following parameters are provided as generic reference values only. Do not carry them into a new proposal without validating against the current design and customer requirements:</w:t>
      </w:r>
    </w:p>
    <w:p>
      <w:pPr>
        <w:pStyle w:val="ListBullet"/>
      </w:pPr>
      <w:r>
        <w:t>Video retention period — confirm per design</w:t>
      </w:r>
    </w:p>
    <w:p>
      <w:pPr>
        <w:pStyle w:val="ListBullet"/>
      </w:pPr>
      <w:r>
        <w:t>Camera recording resolution — confirm per design</w:t>
      </w:r>
    </w:p>
    <w:p>
      <w:pPr>
        <w:pStyle w:val="ListBullet"/>
      </w:pPr>
      <w:r>
        <w:t>Video frame rate — confirm per design</w:t>
      </w:r>
    </w:p>
    <w:p>
      <w:pPr>
        <w:pStyle w:val="ListBullet"/>
      </w:pPr>
      <w:r>
        <w:t>Average video bitrate per stream — confirm per design</w:t>
      </w:r>
    </w:p>
    <w:p>
      <w:pPr>
        <w:pStyle w:val="ListBullet"/>
      </w:pPr>
      <w:r>
        <w:t>Central monitoring array sizing (display outputs, camera grid, backbone bandwidth) — confirm per design</w:t>
      </w:r>
    </w:p>
    <w:p>
      <w:pPr>
        <w:pStyle w:val="ListBullet"/>
      </w:pPr>
      <w:r>
        <w:t>Archive synchronisation schedule and rate limiting — confirm per design</w:t>
      </w:r>
    </w:p>
    <w:p>
      <w:pPr>
        <w:pStyle w:val="Heading2"/>
      </w:pPr>
      <w:r>
        <w:t>Out-of-Scope (explicitly)</w:t>
      </w:r>
    </w:p>
    <w:p>
      <w:pPr>
        <w:pStyle w:val="ListBullet"/>
      </w:pPr>
      <w:r>
        <w:t>Any video recordings or screenshots</w:t>
      </w:r>
    </w:p>
    <w:p>
      <w:pPr>
        <w:pStyle w:val="ListBullet"/>
      </w:pPr>
      <w:r>
        <w:t>Adding any NVR or DVR to the platform-NVR</w:t>
      </w:r>
    </w:p>
    <w:p>
      <w:pPr>
        <w:pStyle w:val="ListBullet"/>
      </w:pPr>
      <w:r>
        <w:t>Adding any analogue cameras to the platform-NVR, unless confirmed per design</w:t>
      </w:r>
    </w:p>
    <w:p>
      <w:pPr>
        <w:pStyle w:val="ListBullet"/>
      </w:pPr>
      <w:r>
        <w:t>On-site or field operations</w:t>
      </w:r>
    </w:p>
    <w:p>
      <w:r>
        <w:t>*This module is a reusable building block. Validate scope, camera support, retention and monitoring-array sizing against the current customer's RFP/ITB before issuing.*</w:t>
      </w:r>
    </w:p>
    <w:p/>
    <w:p>
      <w:pPr>
        <w:pStyle w:val="Heading1"/>
      </w:pPr>
      <w:r>
        <w:t>IP-PBX / Unified Communications</w:t>
      </w:r>
    </w:p>
    <w:p>
      <w:pPr>
        <w:pStyle w:val="Heading2"/>
      </w:pPr>
      <w:r>
        <w:t>Solution Overview</w:t>
      </w:r>
    </w:p>
    <w:p>
      <w:r>
        <w:t>Enabling efficient call handling and management. The DeviceX IP-PBX delivers enterprise communications with local processing, reducing telephony costs, enhancing collaboration through unified communications, and offering scalable solutions to meet evolving business needs.</w:t>
      </w:r>
    </w:p>
    <w:p>
      <w:pPr>
        <w:pStyle w:val="Heading2"/>
      </w:pPr>
      <w:r>
        <w:t>Core Capabilities</w:t>
      </w:r>
    </w:p>
    <w:p>
      <w:pPr>
        <w:pStyle w:val="ListBullet"/>
      </w:pPr>
      <w:r>
        <w:t>SIP and IAX2 protocol support</w:t>
      </w:r>
    </w:p>
    <w:p>
      <w:pPr>
        <w:pStyle w:val="ListBullet"/>
      </w:pPr>
      <w:r>
        <w:t>Advanced call routing and queuing</w:t>
      </w:r>
    </w:p>
    <w:p>
      <w:pPr>
        <w:pStyle w:val="ListBullet"/>
      </w:pPr>
      <w:r>
        <w:t>Voicemail-to-email integration</w:t>
      </w:r>
    </w:p>
    <w:p>
      <w:pPr>
        <w:pStyle w:val="ListBullet"/>
      </w:pPr>
      <w:r>
        <w:t>Call recording and monitoring</w:t>
      </w:r>
    </w:p>
    <w:p>
      <w:pPr>
        <w:pStyle w:val="ListBullet"/>
      </w:pPr>
      <w:r>
        <w:t>Conference calling and collaboration</w:t>
      </w:r>
    </w:p>
    <w:p>
      <w:pPr>
        <w:pStyle w:val="ListBullet"/>
      </w:pPr>
      <w:r>
        <w:t>Mobile app integration</w:t>
      </w:r>
    </w:p>
    <w:p>
      <w:pPr>
        <w:pStyle w:val="ListBullet"/>
      </w:pPr>
      <w:r>
        <w:t>Interactive Voice Response (IVR)</w:t>
      </w:r>
    </w:p>
    <w:p>
      <w:pPr>
        <w:pStyle w:val="ListBullet"/>
      </w:pPr>
      <w:r>
        <w:t>Call center features and reporting</w:t>
      </w:r>
    </w:p>
    <w:p>
      <w:pPr>
        <w:pStyle w:val="ListBullet"/>
      </w:pPr>
      <w:r>
        <w:t>Integration with CRM systems</w:t>
      </w:r>
    </w:p>
    <w:p>
      <w:pPr>
        <w:pStyle w:val="ListBullet"/>
      </w:pPr>
      <w:r>
        <w:t>Unified communications platform</w:t>
      </w:r>
    </w:p>
    <w:p>
      <w:pPr>
        <w:pStyle w:val="Heading2"/>
      </w:pPr>
      <w:r>
        <w:t>Call Flows (generic — define per engagement)</w:t>
      </w:r>
    </w:p>
    <w:p>
      <w:r>
        <w:t>The following call-flow patterns illustrate the kinds of behaviour the platform PBX can implement. They are shown as a reusable template; the exact flows, queues, IVR structure and routing are designed per engagement against the customer's operating model.</w:t>
      </w:r>
    </w:p>
    <w:p>
      <w:pPr>
        <w:pStyle w:val="Heading3"/>
      </w:pPr>
      <w:r>
        <w:t>Scheduled Session</w:t>
      </w:r>
    </w:p>
    <w:tbl>
      <w:tblPr>
        <w:tblStyle w:val="TableGrid"/>
        <w:tblW w:type="auto" w:w="0"/>
        <w:tblLook w:firstColumn="1" w:firstRow="1" w:lastColumn="0" w:lastRow="0" w:noHBand="0" w:noVBand="1" w:val="04A0"/>
      </w:tblPr>
      <w:tblGrid>
        <w:gridCol w:w="4320"/>
        <w:gridCol w:w="4320"/>
      </w:tblGrid>
      <w:tr>
        <w:tc>
          <w:tcPr>
            <w:tcW w:type="dxa" w:w="4320"/>
          </w:tcPr>
          <w:p>
            <w:r>
              <w:rPr>
                <w:b/>
              </w:rPr>
              <w:t>Trigger</w:t>
            </w:r>
          </w:p>
        </w:tc>
        <w:tc>
          <w:tcPr>
            <w:tcW w:type="dxa" w:w="4320"/>
          </w:tcPr>
          <w:p>
            <w:r>
              <w:rPr>
                <w:b/>
              </w:rPr>
              <w:t>Behaviour</w:t>
            </w:r>
          </w:p>
        </w:tc>
      </w:tr>
      <w:tr>
        <w:tc>
          <w:tcPr>
            <w:tcW w:type="dxa" w:w="4320"/>
          </w:tcPr>
          <w:p>
            <w:r>
              <w:t>---------</w:t>
            </w:r>
          </w:p>
        </w:tc>
        <w:tc>
          <w:tcPr>
            <w:tcW w:type="dxa" w:w="4320"/>
          </w:tcPr>
          <w:p>
            <w:r>
              <w:t>-----------</w:t>
            </w:r>
          </w:p>
        </w:tc>
      </w:tr>
      <w:tr>
        <w:tc>
          <w:tcPr>
            <w:tcW w:type="dxa" w:w="4320"/>
          </w:tcPr>
          <w:p>
            <w:r>
              <w:t>Booked appointment</w:t>
            </w:r>
          </w:p>
        </w:tc>
        <w:tc>
          <w:tcPr>
            <w:tcW w:type="dxa" w:w="4320"/>
          </w:tcPr>
          <w:p>
            <w:r>
              <w:t>The originating endpoint dials the remote extension or session bridge directly. Presence confirms availability before connection. Media is classified and prioritised end to end. The session may be recorded locally and archived centrally under the agreed retention policy.</w:t>
            </w:r>
          </w:p>
        </w:tc>
      </w:tr>
    </w:tbl>
    <w:p>
      <w:pPr>
        <w:pStyle w:val="Heading3"/>
      </w:pPr>
      <w:r>
        <w:t>On-Demand Remote Expert Request</w:t>
      </w:r>
    </w:p>
    <w:tbl>
      <w:tblPr>
        <w:tblStyle w:val="TableGrid"/>
        <w:tblW w:type="auto" w:w="0"/>
        <w:tblLook w:firstColumn="1" w:firstRow="1" w:lastColumn="0" w:lastRow="0" w:noHBand="0" w:noVBand="1" w:val="04A0"/>
      </w:tblPr>
      <w:tblGrid>
        <w:gridCol w:w="4320"/>
        <w:gridCol w:w="4320"/>
      </w:tblGrid>
      <w:tr>
        <w:tc>
          <w:tcPr>
            <w:tcW w:type="dxa" w:w="4320"/>
          </w:tcPr>
          <w:p>
            <w:r>
              <w:rPr>
                <w:b/>
              </w:rPr>
              <w:t>Trigger</w:t>
            </w:r>
          </w:p>
        </w:tc>
        <w:tc>
          <w:tcPr>
            <w:tcW w:type="dxa" w:w="4320"/>
          </w:tcPr>
          <w:p>
            <w:r>
              <w:rPr>
                <w:b/>
              </w:rPr>
              <w:t>Behaviour</w:t>
            </w:r>
          </w:p>
        </w:tc>
      </w:tr>
      <w:tr>
        <w:tc>
          <w:tcPr>
            <w:tcW w:type="dxa" w:w="4320"/>
          </w:tcPr>
          <w:p>
            <w:r>
              <w:t>---------</w:t>
            </w:r>
          </w:p>
        </w:tc>
        <w:tc>
          <w:tcPr>
            <w:tcW w:type="dxa" w:w="4320"/>
          </w:tcPr>
          <w:p>
            <w:r>
              <w:t>-----------</w:t>
            </w:r>
          </w:p>
        </w:tc>
      </w:tr>
      <w:tr>
        <w:tc>
          <w:tcPr>
            <w:tcW w:type="dxa" w:w="4320"/>
          </w:tcPr>
          <w:p>
            <w:r>
              <w:t>A user needs an opinion</w:t>
            </w:r>
          </w:p>
        </w:tc>
        <w:tc>
          <w:tcPr>
            <w:tcW w:type="dxa" w:w="4320"/>
          </w:tcPr>
          <w:p>
            <w:r>
              <w:t>A single soft-key or IVR selection routes the call to the relevant queue at the remote site. The call presents with site identity so the responder has context on answer. It overflows to a secondary responder or on-call group if unanswered.</w:t>
            </w:r>
          </w:p>
        </w:tc>
      </w:tr>
    </w:tbl>
    <w:p>
      <w:pPr>
        <w:pStyle w:val="Heading2"/>
      </w:pPr>
      <w:r>
        <w:t>Figure — IP-PBX Call Flows / Telephony Topology</w:t>
      </w:r>
    </w:p>
    <w:p>
      <w:r>
        <w:t>&lt;!-- IMAGE PLACEMENT GUIDANCE — insert approved generic image here --&gt;</w:t>
        <w:br/>
        <w:t>&lt;!-- Recommended image: a generic IP-PBX call-flow diagram showing the four standard flows (scheduled / on-demand / urgent / inter-site) and local survivability (site continues on local services when the wide-area link is down). No customer-specific extension numbers, no customer site names, no customer-specific telephony licensing/numbering details. --&gt;</w:t>
        <w:br/>
        <w:t>&lt;!-- Suggested source: Telemedicine proposal §3.4 (Clinical Communication Flows, 4 flows) — genericise the diagram and labels. --&gt;</w:t>
        <w:br/>
        <w:t>&lt;!-- Alternative: a PBX topology diagram showing endpoints, trunks, voicemail, and survivability path.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IP-PBX call-flow / topology diagram here. See image-placement guidance notes.]*</w:t>
      </w:r>
    </w:p>
    <w:p>
      <w:pPr>
        <w:pStyle w:val="Heading3"/>
      </w:pPr>
      <w:r>
        <w:t>Urgent Escalation</w:t>
      </w:r>
    </w:p>
    <w:tbl>
      <w:tblPr>
        <w:tblStyle w:val="TableGrid"/>
        <w:tblW w:type="auto" w:w="0"/>
        <w:tblLook w:firstColumn="1" w:firstRow="1" w:lastColumn="0" w:lastRow="0" w:noHBand="0" w:noVBand="1" w:val="04A0"/>
      </w:tblPr>
      <w:tblGrid>
        <w:gridCol w:w="4320"/>
        <w:gridCol w:w="4320"/>
      </w:tblGrid>
      <w:tr>
        <w:tc>
          <w:tcPr>
            <w:tcW w:type="dxa" w:w="4320"/>
          </w:tcPr>
          <w:p>
            <w:r>
              <w:rPr>
                <w:b/>
              </w:rPr>
              <w:t>Trigger</w:t>
            </w:r>
          </w:p>
        </w:tc>
        <w:tc>
          <w:tcPr>
            <w:tcW w:type="dxa" w:w="4320"/>
          </w:tcPr>
          <w:p>
            <w:r>
              <w:rPr>
                <w:b/>
              </w:rPr>
              <w:t>Behaviour</w:t>
            </w:r>
          </w:p>
        </w:tc>
      </w:tr>
      <w:tr>
        <w:tc>
          <w:tcPr>
            <w:tcW w:type="dxa" w:w="4320"/>
          </w:tcPr>
          <w:p>
            <w:r>
              <w:t>---------</w:t>
            </w:r>
          </w:p>
        </w:tc>
        <w:tc>
          <w:tcPr>
            <w:tcW w:type="dxa" w:w="4320"/>
          </w:tcPr>
          <w:p>
            <w:r>
              <w:t>-----------</w:t>
            </w:r>
          </w:p>
        </w:tc>
      </w:tr>
      <w:tr>
        <w:tc>
          <w:tcPr>
            <w:tcW w:type="dxa" w:w="4320"/>
          </w:tcPr>
          <w:p>
            <w:r>
              <w:t>Time-critical case</w:t>
            </w:r>
          </w:p>
        </w:tc>
        <w:tc>
          <w:tcPr>
            <w:tcW w:type="dxa" w:w="4320"/>
          </w:tcPr>
          <w:p>
            <w:r>
              <w:t>A priority code bypasses standard queueing, rings the on-call group simultaneously, and raises the session to the top traffic class so it is protected even under contention.</w:t>
            </w:r>
          </w:p>
        </w:tc>
      </w:tr>
    </w:tbl>
    <w:p>
      <w:pPr>
        <w:pStyle w:val="Heading3"/>
      </w:pPr>
      <w:r>
        <w:t>Inter-Site and Administrative</w:t>
      </w:r>
    </w:p>
    <w:tbl>
      <w:tblPr>
        <w:tblStyle w:val="TableGrid"/>
        <w:tblW w:type="auto" w:w="0"/>
        <w:tblLook w:firstColumn="1" w:firstRow="1" w:lastColumn="0" w:lastRow="0" w:noHBand="0" w:noVBand="1" w:val="04A0"/>
      </w:tblPr>
      <w:tblGrid>
        <w:gridCol w:w="4320"/>
        <w:gridCol w:w="4320"/>
      </w:tblGrid>
      <w:tr>
        <w:tc>
          <w:tcPr>
            <w:tcW w:type="dxa" w:w="4320"/>
          </w:tcPr>
          <w:p>
            <w:r>
              <w:rPr>
                <w:b/>
              </w:rPr>
              <w:t>Trigger</w:t>
            </w:r>
          </w:p>
        </w:tc>
        <w:tc>
          <w:tcPr>
            <w:tcW w:type="dxa" w:w="4320"/>
          </w:tcPr>
          <w:p>
            <w:r>
              <w:rPr>
                <w:b/>
              </w:rPr>
              <w:t>Behaviour</w:t>
            </w:r>
          </w:p>
        </w:tc>
      </w:tr>
      <w:tr>
        <w:tc>
          <w:tcPr>
            <w:tcW w:type="dxa" w:w="4320"/>
          </w:tcPr>
          <w:p>
            <w:r>
              <w:t>---------</w:t>
            </w:r>
          </w:p>
        </w:tc>
        <w:tc>
          <w:tcPr>
            <w:tcW w:type="dxa" w:w="4320"/>
          </w:tcPr>
          <w:p>
            <w:r>
              <w:t>-----------</w:t>
            </w:r>
          </w:p>
        </w:tc>
      </w:tr>
      <w:tr>
        <w:tc>
          <w:tcPr>
            <w:tcW w:type="dxa" w:w="4320"/>
          </w:tcPr>
          <w:p>
            <w:r>
              <w:t>Operational coordination</w:t>
            </w:r>
          </w:p>
        </w:tc>
        <w:tc>
          <w:tcPr>
            <w:tcW w:type="dxa" w:w="4320"/>
          </w:tcPr>
          <w:p>
            <w:r>
              <w:t>Extension-to-extension dialing across all sites, plus voicemail-to-email, IVR-based reception, and optional local breakout to the in-country / public network where regulation permits.</w:t>
            </w:r>
          </w:p>
        </w:tc>
      </w:tr>
    </w:tbl>
    <w:p>
      <w:pPr>
        <w:pStyle w:val="Heading2"/>
      </w:pPr>
      <w:r>
        <w:t>Value to Distributed Sites</w:t>
      </w:r>
    </w:p>
    <w:p>
      <w:pPr>
        <w:pStyle w:val="ListBullet"/>
      </w:pPr>
      <w:r>
        <w:t>High-quality, effortless voice connectivity between the central site and all branches</w:t>
      </w:r>
    </w:p>
    <w:p>
      <w:pPr>
        <w:pStyle w:val="ListBullet"/>
      </w:pPr>
      <w:r>
        <w:t>Protects all voice traffic with strong encryption for privacy</w:t>
      </w:r>
    </w:p>
    <w:p>
      <w:pPr>
        <w:pStyle w:val="ListBullet"/>
      </w:pPr>
      <w:r>
        <w:t>Establishes a secure and consolidated voice communication platform</w:t>
      </w:r>
    </w:p>
    <w:p>
      <w:pPr>
        <w:pStyle w:val="ListBullet"/>
      </w:pPr>
      <w:r>
        <w:t>Reduces telephony costs across the distributed footprint</w:t>
      </w:r>
    </w:p>
    <w:p>
      <w:pPr>
        <w:pStyle w:val="Heading2"/>
      </w:pPr>
      <w:r>
        <w:t>Local Survivability</w:t>
      </w:r>
    </w:p>
    <w:p>
      <w:r>
        <w:t>Internal telephony continues during a wide-area outage. The platform PBX at each site maintains local call handling, extension-to-extension dialing, and voicemail, and can route to the remote queues — including an urgent escalation path — when the overlay is restored. Remote extensions are created for the remote sites. Call recording and retention policy are configurable per engagement.</w:t>
      </w:r>
    </w:p>
    <w:p>
      <w:pPr>
        <w:pStyle w:val="Heading2"/>
      </w:pPr>
      <w:r>
        <w:t>Out-of-Scope (explicitly)</w:t>
      </w:r>
    </w:p>
    <w:p>
      <w:pPr>
        <w:pStyle w:val="ListBullet"/>
      </w:pPr>
      <w:r>
        <w:t>Any communication with the telco operators</w:t>
      </w:r>
    </w:p>
    <w:p>
      <w:pPr>
        <w:pStyle w:val="ListBullet"/>
      </w:pPr>
      <w:r>
        <w:t>Any configuration/troubleshooting in the Business Virtual Machines hosted on DeviceX</w:t>
      </w:r>
    </w:p>
    <w:p>
      <w:pPr>
        <w:pStyle w:val="ListBullet"/>
      </w:pPr>
      <w:r>
        <w:t>Any migration activities</w:t>
      </w:r>
    </w:p>
    <w:p>
      <w:pPr>
        <w:pStyle w:val="ListBullet"/>
      </w:pPr>
      <w:r>
        <w:t>Any deployment or configuration of third-party systems not included in the proposal scope</w:t>
      </w:r>
    </w:p>
    <w:p>
      <w:pPr>
        <w:pStyle w:val="ListBullet"/>
      </w:pPr>
      <w:r>
        <w:t>Supplying and mounting hardware, network equipment, and storage devices, along with the necessary cabling other than DeviceX</w:t>
      </w:r>
    </w:p>
    <w:p>
      <w:pPr>
        <w:pStyle w:val="ListBullet"/>
      </w:pPr>
      <w:r>
        <w:t>Procurement of any telephony numbering, VoIP or data-service licenses and regulatory permits</w:t>
      </w:r>
    </w:p>
    <w:p>
      <w:r>
        <w:t>*This module is a reusable building block. Include when branch voice / unified communications is in scope for the current engagement. Define the call flows, queues, IVR structure and routing against the current RFP/ITB; do not assert telephony licensing or numbering positions not validated for the current engagement.*</w:t>
      </w:r>
    </w:p>
    <w:p/>
    <w:p>
      <w:pPr>
        <w:pStyle w:val="Heading1"/>
      </w:pPr>
      <w:r>
        <w:t>SASE / Zero Trust Access</w:t>
      </w:r>
    </w:p>
    <w:p>
      <w:pPr>
        <w:pStyle w:val="Heading2"/>
      </w:pPr>
      <w:r>
        <w:t>Solution Overview</w:t>
      </w:r>
    </w:p>
    <w:p>
      <w:r>
        <w:t>DeviceX SASE empowers total control over branch network access. Robust device visibility and profiling enable policy-driven access management. The solution implements Zero-Trust measures with on-prem edge technology, LAN/WAN conditional secure access, device health assessment, user authentication against common technologies, and protection of internal assets.</w:t>
      </w:r>
    </w:p>
    <w:p>
      <w:pPr>
        <w:pStyle w:val="Heading2"/>
      </w:pPr>
      <w:r>
        <w:t>Key Capabilities</w:t>
      </w:r>
    </w:p>
    <w:p>
      <w:pPr>
        <w:pStyle w:val="ListBullet"/>
      </w:pPr>
      <w:r>
        <w:t>Robust device visibility and profiling — policy-driven access management</w:t>
      </w:r>
    </w:p>
    <w:p>
      <w:pPr>
        <w:pStyle w:val="ListBullet"/>
      </w:pPr>
      <w:r>
        <w:t>Implementation of Zero-Trust measures</w:t>
      </w:r>
    </w:p>
    <w:p>
      <w:pPr>
        <w:pStyle w:val="ListBullet"/>
      </w:pPr>
      <w:r>
        <w:t>On-Prem Edge Technology</w:t>
      </w:r>
    </w:p>
    <w:p>
      <w:pPr>
        <w:pStyle w:val="ListBullet"/>
      </w:pPr>
      <w:r>
        <w:t>LAN/WAN Conditional Secure Access</w:t>
      </w:r>
    </w:p>
    <w:p>
      <w:pPr>
        <w:pStyle w:val="ListBullet"/>
      </w:pPr>
      <w:r>
        <w:t>Assess Device Health</w:t>
      </w:r>
    </w:p>
    <w:p>
      <w:pPr>
        <w:pStyle w:val="ListBullet"/>
      </w:pPr>
      <w:r>
        <w:t>Authenticate users against common technologies</w:t>
      </w:r>
    </w:p>
    <w:p>
      <w:pPr>
        <w:pStyle w:val="ListBullet"/>
      </w:pPr>
      <w:r>
        <w:t>Protect Internal Assets</w:t>
      </w:r>
    </w:p>
    <w:p>
      <w:pPr>
        <w:pStyle w:val="Heading2"/>
      </w:pPr>
      <w:r>
        <w:t>Figure — SASE Architecture (Cloud + Edge Secure Access)</w:t>
      </w:r>
    </w:p>
    <w:p>
      <w:r>
        <w:t>&lt;!-- IMAGE PLACEMENT GUIDANCE — insert approved generic image here --&gt;</w:t>
        <w:br/>
        <w:t>&lt;!-- Recommended image: a generic SASE architecture diagram showing edge nodes (branches/sites) and remote users connected to cloud-delivered security services (SWG, CASB, ZTNA, FWaaS, secure web/Internet access) over a unified overlay. No customer-specific site names, no customer-specific identity provider names, no customer-specific policy labels. --&gt;</w:t>
        <w:br/>
        <w:t>&lt;!-- Suggested source: generic SASE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SASE architecture diagram here. See image-placement guidance notes.]*</w:t>
      </w:r>
    </w:p>
    <w:p>
      <w:pPr>
        <w:pStyle w:val="Heading2"/>
      </w:pPr>
      <w:r>
        <w:t>How It Fits</w:t>
      </w:r>
    </w:p>
    <w:p>
      <w:r>
        <w:t>SASE extends the security posture of the DeviceX branch edge into a comprehensive secure-access model. Combined with the firewall (NGFW variant) and SD-WAN, it delivers a Zero Trust–aligned branch architecture in which every access request is verified regardless of user or device location.</w:t>
      </w:r>
    </w:p>
    <w:p>
      <w:pPr>
        <w:pStyle w:val="Heading2"/>
      </w:pPr>
      <w:r>
        <w:t>Out-of-Scope (explicitly)</w:t>
      </w:r>
    </w:p>
    <w:p>
      <w:pPr>
        <w:pStyle w:val="ListBullet"/>
      </w:pPr>
      <w:r>
        <w:t>Any security penetration testing, vulnerability assessments, code reviews, and forensic activities</w:t>
      </w:r>
    </w:p>
    <w:p>
      <w:pPr>
        <w:pStyle w:val="ListBullet"/>
      </w:pPr>
      <w:r>
        <w:t>Any backup, network, and security activities not explicitly in scope</w:t>
      </w:r>
    </w:p>
    <w:p>
      <w:pPr>
        <w:pStyle w:val="ListBullet"/>
      </w:pPr>
      <w:r>
        <w:t>Any integration with components that don't support standard protocols used by DeviceX</w:t>
      </w:r>
    </w:p>
    <w:p>
      <w:pPr>
        <w:pStyle w:val="ListBullet"/>
      </w:pPr>
      <w:r>
        <w:t>Acquisition of any necessary commercial certificates (unless explicitly in scope)</w:t>
      </w:r>
    </w:p>
    <w:p>
      <w:pPr>
        <w:pStyle w:val="ListBullet"/>
      </w:pPr>
      <w:r>
        <w:t>Any design changes to the existing environment</w:t>
      </w:r>
    </w:p>
    <w:p>
      <w:r>
        <w:t>*This module is a reusable building block. Include when SASE / Zero Trust edge access is in scope for the current engagement. Confirm with the customer.*</w:t>
      </w:r>
    </w:p>
    <w:p/>
    <w:p>
      <w:pPr>
        <w:pStyle w:val="Heading1"/>
      </w:pPr>
      <w:r>
        <w:t>Network Services (DNS / DHCP / LDAP / RADIUS)</w:t>
      </w:r>
    </w:p>
    <w:p>
      <w:pPr>
        <w:pStyle w:val="Heading2"/>
      </w:pPr>
      <w:r>
        <w:t>Solution Overview</w:t>
      </w:r>
    </w:p>
    <w:p>
      <w:r>
        <w:t>The DeviceX On-Demand Services encompass an ever-growing catalog of essential branch services, for a more efficient value delivery and cost optimization. Get all your network needs without adding layers of complexity and additional license cost.</w:t>
      </w:r>
    </w:p>
    <w:p>
      <w:pPr>
        <w:pStyle w:val="Heading2"/>
      </w:pPr>
      <w:r>
        <w:t>Services in Scope</w:t>
      </w:r>
    </w:p>
    <w:p>
      <w:pPr>
        <w:pStyle w:val="ListBullet"/>
      </w:pPr>
      <w:r>
        <w:t>DNS — Domain Name System services for branch resolution</w:t>
      </w:r>
    </w:p>
    <w:p>
      <w:pPr>
        <w:pStyle w:val="ListBullet"/>
      </w:pPr>
      <w:r>
        <w:t>DHCP — Dynamic Host Configuration Protocol for IP address management</w:t>
      </w:r>
    </w:p>
    <w:p>
      <w:pPr>
        <w:pStyle w:val="ListBullet"/>
      </w:pPr>
      <w:r>
        <w:t>LDAP — Lightweight Directory Access Protocol for directory services</w:t>
      </w:r>
    </w:p>
    <w:p>
      <w:pPr>
        <w:pStyle w:val="ListBullet"/>
      </w:pPr>
      <w:r>
        <w:t>RADIUS — Remote Authentication Dial-In User Service for network access control</w:t>
      </w:r>
    </w:p>
    <w:p>
      <w:pPr>
        <w:pStyle w:val="Heading2"/>
      </w:pPr>
      <w:r>
        <w:t>Figure — Network Services Topology (DNS / NTP / DHCP / Edge Services)</w:t>
      </w:r>
    </w:p>
    <w:p>
      <w:r>
        <w:t>&lt;!-- IMAGE PLACEMENT GUIDANCE — insert approved generic image here --&gt;</w:t>
        <w:br/>
        <w:t>&lt;!-- Recommended image: a generic network-services topology diagram showing DNS, NTP, DHCP, and other edge/network services distributed across sites with central authority where required. No customer-specific server names, no customer site names, no customer-specific IP addressing. --&gt;</w:t>
        <w:br/>
        <w:t>&lt;!-- Suggested source: generic network-services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network-services topology diagram here. See image-placement guidance notes.]*</w:t>
      </w:r>
    </w:p>
    <w:p>
      <w:pPr>
        <w:pStyle w:val="Heading2"/>
      </w:pPr>
      <w:r>
        <w:t>Value</w:t>
      </w:r>
    </w:p>
    <w:p>
      <w:r>
        <w:t>These core network services are delivered as on-demand modules on the DeviceX branch platform, reducing the need for separate appliances and simplifying branch infrastructure.</w:t>
      </w:r>
    </w:p>
    <w:p>
      <w:pPr>
        <w:pStyle w:val="Heading2"/>
      </w:pPr>
      <w:r>
        <w:t>Out-of-Scope (explicitly)</w:t>
      </w:r>
    </w:p>
    <w:p>
      <w:pPr>
        <w:pStyle w:val="ListBullet"/>
      </w:pPr>
      <w:r>
        <w:t>Any implementation of third-party systems not included in the proposal scope</w:t>
      </w:r>
    </w:p>
    <w:p>
      <w:pPr>
        <w:pStyle w:val="ListBullet"/>
      </w:pPr>
      <w:r>
        <w:t>Any configuration/troubleshooting in the Business Virtual Machines hosted on DeviceX</w:t>
      </w:r>
    </w:p>
    <w:p>
      <w:pPr>
        <w:pStyle w:val="ListBullet"/>
      </w:pPr>
      <w:r>
        <w:t>Any migration activities</w:t>
      </w:r>
    </w:p>
    <w:p>
      <w:pPr>
        <w:pStyle w:val="ListBullet"/>
      </w:pPr>
      <w:r>
        <w:t>Supplying and mounting hardware, network equipment, and storage devices, along with the necessary cabling other than DeviceX</w:t>
      </w:r>
    </w:p>
    <w:p>
      <w:pPr>
        <w:pStyle w:val="ListBullet"/>
      </w:pPr>
      <w:r>
        <w:t>Any civil or electrical work or resolving any power connectivity availability from UPS to proceed in implementation</w:t>
      </w:r>
    </w:p>
    <w:p>
      <w:r>
        <w:t>*This module is a reusable building block. Include when on-demand branch network services (DNS/DHCP/LDAP/RADIUS) are in scope for the current engagement. Confirm with the customer.*</w:t>
      </w:r>
    </w:p>
    <w:p/>
    <w:p>
      <w:pPr>
        <w:pStyle w:val="Heading1"/>
      </w:pPr>
      <w:r>
        <w:t>Virtualization / Container Platform</w:t>
      </w:r>
    </w:p>
    <w:p>
      <w:pPr>
        <w:pStyle w:val="Heading2"/>
      </w:pPr>
      <w:r>
        <w:t>Solution Overview</w:t>
      </w:r>
    </w:p>
    <w:p>
      <w:r>
        <w:t>The DeviceX Virtualization/Container Platform provides a secure, reliable, and high-performance environment for running containerized and virtualized workloads at the branch edge. With enterprise-grade infrastructure, advanced monitoring, and seamless scalability, this platform ensures workload isolation, availability, and performance — enabling distributed enterprises to consolidate multiple environments onto a single branch appliance without the overhead of separate compute hardware.</w:t>
      </w:r>
    </w:p>
    <w:p>
      <w:pPr>
        <w:pStyle w:val="Heading2"/>
      </w:pPr>
      <w:r>
        <w:t>Platform Capabilities</w:t>
      </w:r>
    </w:p>
    <w:p>
      <w:pPr>
        <w:pStyle w:val="ListBullet"/>
      </w:pPr>
      <w:r>
        <w:t>Run any business workload on virtual environments</w:t>
      </w:r>
    </w:p>
    <w:p>
      <w:pPr>
        <w:pStyle w:val="ListBullet"/>
      </w:pPr>
      <w:r>
        <w:t>KVM-based virtual machine hosting</w:t>
      </w:r>
    </w:p>
    <w:p>
      <w:pPr>
        <w:pStyle w:val="ListBullet"/>
      </w:pPr>
      <w:r>
        <w:t>Docker container deployment and management</w:t>
      </w:r>
    </w:p>
    <w:p>
      <w:pPr>
        <w:pStyle w:val="ListBullet"/>
      </w:pPr>
      <w:r>
        <w:t>Kubernetes orchestration platform</w:t>
      </w:r>
    </w:p>
    <w:p>
      <w:pPr>
        <w:pStyle w:val="ListBullet"/>
      </w:pPr>
      <w:r>
        <w:t>Multi-tenant workload isolation</w:t>
      </w:r>
    </w:p>
    <w:p>
      <w:pPr>
        <w:pStyle w:val="ListBullet"/>
      </w:pPr>
      <w:r>
        <w:t>Resource allocation and scaling</w:t>
      </w:r>
    </w:p>
    <w:p>
      <w:pPr>
        <w:pStyle w:val="ListBullet"/>
      </w:pPr>
      <w:r>
        <w:t>Application lifecycle management</w:t>
      </w:r>
    </w:p>
    <w:p>
      <w:pPr>
        <w:pStyle w:val="ListBullet"/>
      </w:pPr>
      <w:r>
        <w:t>Load balancing and service discovery</w:t>
      </w:r>
    </w:p>
    <w:p>
      <w:pPr>
        <w:pStyle w:val="ListBullet"/>
      </w:pPr>
      <w:r>
        <w:t>Persistent storage management</w:t>
      </w:r>
    </w:p>
    <w:p>
      <w:pPr>
        <w:pStyle w:val="ListBullet"/>
      </w:pPr>
      <w:r>
        <w:t>Network policy enforcement</w:t>
      </w:r>
    </w:p>
    <w:p>
      <w:pPr>
        <w:pStyle w:val="ListBullet"/>
      </w:pPr>
      <w:r>
        <w:t>Monitoring and logging integration</w:t>
      </w:r>
    </w:p>
    <w:p>
      <w:pPr>
        <w:pStyle w:val="Heading2"/>
      </w:pPr>
      <w:r>
        <w:t>Figure — Virtualization Architecture / Workload Placement</w:t>
      </w:r>
    </w:p>
    <w:p>
      <w:r>
        <w:t>&lt;!-- IMAGE PLACEMENT GUIDANCE — insert approved generic image here --&gt;</w:t>
        <w:br/>
        <w:t>&lt;!-- Recommended image: a generic virtualization architecture diagram showing the hypervisor stack, virtual machines / containers, and per-site workload placement, with a continuity-by-design note (local survivability, workload counts per site as a variable). No customer-specific VM names, no customer-specific application names, no customer site names. --&gt;</w:t>
        <w:br/>
        <w:t>&lt;!-- Suggested source: Telemedicine proposal DeviceX Virtualization section (§3.3.1) — genericise the diagram. --&gt;</w:t>
        <w:br/>
        <w:t>&lt;!-- Alternative: a workload-capacity / per-site workload-count diagram (generic — show N workloads per site as a variable).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virtualization / workload-placement diagram here. See image-placement guidance notes.]*</w:t>
      </w:r>
    </w:p>
    <w:p>
      <w:pPr>
        <w:pStyle w:val="Heading2"/>
      </w:pPr>
      <w:r>
        <w:t>Continuity by Design</w:t>
      </w:r>
    </w:p>
    <w:p>
      <w:r>
        <w:t>The virtualization platform can host cached copies of key workloads — application front-ends, imaging or documentation viewers, directory services, and similar — so that a site remains functional through a wide-area outage. Local workload hosting is therefore part of the continuity story, not just a consolidation benefit. The number of workloads hosted per site is a per-engagement design input; a small site is not charged for capacity it does not use, and capability can be added later without redesign.</w:t>
      </w:r>
    </w:p>
    <w:p>
      <w:pPr>
        <w:pStyle w:val="Heading2"/>
      </w:pPr>
      <w:r>
        <w:t>Value to Branch Locations</w:t>
      </w:r>
    </w:p>
    <w:p>
      <w:r>
        <w:t>The low-power, compact design of DeviceX/SDX means it can be easily installed with minimal space and cooling requirements, making it the ideal solution for space-constrained environments. With its modular architecture, only the required functionalities are deployed — optimizing IT investments while enabling local workload hosting at the branch.</w:t>
      </w:r>
    </w:p>
    <w:p>
      <w:pPr>
        <w:pStyle w:val="Heading2"/>
      </w:pPr>
      <w:r>
        <w:t>Out-of-Scope (explicitly)</w:t>
      </w:r>
    </w:p>
    <w:p>
      <w:pPr>
        <w:pStyle w:val="ListBullet"/>
      </w:pPr>
      <w:r>
        <w:t>Deploying any software on the created Virtual Machines (unless explicitly in scope)</w:t>
      </w:r>
    </w:p>
    <w:p>
      <w:pPr>
        <w:pStyle w:val="ListBullet"/>
      </w:pPr>
      <w:r>
        <w:t>Any configuration/troubleshooting in the Business Virtual Machines hosted on DeviceX</w:t>
      </w:r>
    </w:p>
    <w:p>
      <w:pPr>
        <w:pStyle w:val="ListBullet"/>
      </w:pPr>
      <w:r>
        <w:t>Any deployment or configuration or integration or troubleshooting of any 3rd party systems or applications or any new service or products not mentioned in the in-Scope section</w:t>
      </w:r>
    </w:p>
    <w:p>
      <w:pPr>
        <w:pStyle w:val="ListBullet"/>
      </w:pPr>
      <w:r>
        <w:t>Any migration activities</w:t>
      </w:r>
    </w:p>
    <w:p>
      <w:pPr>
        <w:pStyle w:val="ListBullet"/>
      </w:pPr>
      <w:r>
        <w:t>Operating system or database version upgrades</w:t>
      </w:r>
    </w:p>
    <w:p>
      <w:pPr>
        <w:pStyle w:val="ListBullet"/>
      </w:pPr>
      <w:r>
        <w:t>Application compatibility checks or troubleshooting with operating systems</w:t>
      </w:r>
    </w:p>
    <w:p>
      <w:pPr>
        <w:pStyle w:val="ListBullet"/>
      </w:pPr>
      <w:r>
        <w:t>Supplying and mounting hardware, network equipment, and storage devices, along with the necessary cabling other than DeviceX</w:t>
      </w:r>
    </w:p>
    <w:p>
      <w:r>
        <w:t>*This module is a reusable building block. Include when local virtualization / container hosting at the branch is in scope for the current engagement. Define the workload set, capacity and local-continuity scope against the current RFP/ITB.*</w:t>
      </w:r>
    </w:p>
    <w:p/>
    <w:p>
      <w:pPr>
        <w:pStyle w:val="Heading1"/>
      </w:pPr>
      <w:r>
        <w:t>Business Workloads Hosting Platform</w:t>
      </w:r>
    </w:p>
    <w:p>
      <w:pPr>
        <w:pStyle w:val="Heading2"/>
      </w:pPr>
      <w:r>
        <w:t>Solution Overview</w:t>
      </w:r>
    </w:p>
    <w:p>
      <w:r>
        <w:t>The DeviceX Business Workloads Hosting Platform provides a secure, reliable, and high-performance environment for running mission-critical applications and services. Featuring enterprise-grade infrastructure, advanced monitoring, and seamless scalability, this hosting solution ensures the availability, performance, and protection of essential business workloads — empowering distributed enterprises with the confidence to focus on strategic priorities.</w:t>
      </w:r>
    </w:p>
    <w:p>
      <w:pPr>
        <w:pStyle w:val="Heading2"/>
      </w:pPr>
      <w:r>
        <w:t>Platform Capabilities</w:t>
      </w:r>
    </w:p>
    <w:p>
      <w:pPr>
        <w:pStyle w:val="ListBullet"/>
      </w:pPr>
      <w:r>
        <w:t>Enterprise-grade infrastructure for hosting mission-critical applications</w:t>
      </w:r>
    </w:p>
    <w:p>
      <w:pPr>
        <w:pStyle w:val="ListBullet"/>
      </w:pPr>
      <w:r>
        <w:t>Advanced monitoring and management</w:t>
      </w:r>
    </w:p>
    <w:p>
      <w:pPr>
        <w:pStyle w:val="ListBullet"/>
      </w:pPr>
      <w:r>
        <w:t>Seamless scalability to meet growing demands</w:t>
      </w:r>
    </w:p>
    <w:p>
      <w:pPr>
        <w:pStyle w:val="ListBullet"/>
      </w:pPr>
      <w:r>
        <w:t>High availability and performance assurance</w:t>
      </w:r>
    </w:p>
    <w:p>
      <w:pPr>
        <w:pStyle w:val="ListBullet"/>
      </w:pPr>
      <w:r>
        <w:t>Protection of essential business workloads</w:t>
      </w:r>
    </w:p>
    <w:p>
      <w:pPr>
        <w:pStyle w:val="Heading2"/>
      </w:pPr>
      <w:r>
        <w:t>Value to Distributed Enterprises</w:t>
      </w:r>
    </w:p>
    <w:p>
      <w:pPr>
        <w:pStyle w:val="ListBullet"/>
      </w:pPr>
      <w:r>
        <w:t>Run mission-critical applications and services at the branch edge</w:t>
      </w:r>
    </w:p>
    <w:p>
      <w:pPr>
        <w:pStyle w:val="ListBullet"/>
      </w:pPr>
      <w:r>
        <w:t>Focus on strategic priorities rather than infrastructure concerns</w:t>
      </w:r>
    </w:p>
    <w:p>
      <w:pPr>
        <w:pStyle w:val="ListBullet"/>
      </w:pPr>
      <w:r>
        <w:t>Enterprise-grade reliability at the branch location</w:t>
      </w:r>
    </w:p>
    <w:p>
      <w:pPr>
        <w:pStyle w:val="Heading2"/>
      </w:pPr>
      <w:r>
        <w:t>Figure — Business Workload Architecture / Application Placement</w:t>
      </w:r>
    </w:p>
    <w:p>
      <w:r>
        <w:t>&lt;!-- IMAGE PLACEMENT GUIDANCE — insert approved generic image here --&gt;</w:t>
        <w:br/>
        <w:t>&lt;!-- Recommended image: a generic business-workload architecture diagram showing application tiers, data tiers, and integration points across sites, with workload placement aligned to the customer's deployment goal (to be confirmed per bid). No customer-specific application names, no customer data classifications, no customer site names. --&gt;</w:t>
        <w:br/>
        <w:t>&lt;!-- Suggested source: generic business-workloads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business-workload / application-placement diagram here. See image-placement guidance notes.]*</w:t>
      </w:r>
    </w:p>
    <w:p>
      <w:pPr>
        <w:pStyle w:val="Heading2"/>
      </w:pPr>
      <w:r>
        <w:t>Build Activities</w:t>
      </w:r>
    </w:p>
    <w:p>
      <w:pPr>
        <w:pStyle w:val="ListBullet"/>
      </w:pPr>
      <w:r>
        <w:t>Creating required virtual machines</w:t>
      </w:r>
    </w:p>
    <w:p>
      <w:pPr>
        <w:pStyle w:val="ListBullet"/>
      </w:pPr>
      <w:r>
        <w:t>Implementing all needed monitoring and management configuration in the backend infrastructure</w:t>
      </w:r>
    </w:p>
    <w:p>
      <w:pPr>
        <w:pStyle w:val="Heading2"/>
      </w:pPr>
      <w:r>
        <w:t>Out-of-Scope (explicitly)</w:t>
      </w:r>
    </w:p>
    <w:p>
      <w:pPr>
        <w:pStyle w:val="ListBullet"/>
      </w:pPr>
      <w:r>
        <w:t>Deploying any software on the created Virtual Machines (unless explicitly in scope)</w:t>
      </w:r>
    </w:p>
    <w:p>
      <w:pPr>
        <w:pStyle w:val="ListBullet"/>
      </w:pPr>
      <w:r>
        <w:t>Any configuration/troubleshooting in the Business Virtual Machines hosted on DeviceX</w:t>
      </w:r>
    </w:p>
    <w:p>
      <w:pPr>
        <w:pStyle w:val="ListBullet"/>
      </w:pPr>
      <w:r>
        <w:t>Any deployment or configuration or integration or troubleshooting of any 3rd party systems or applications or any new service or products not mentioned in the in-Scope section</w:t>
      </w:r>
    </w:p>
    <w:p>
      <w:pPr>
        <w:pStyle w:val="ListBullet"/>
      </w:pPr>
      <w:r>
        <w:t>Any migration activities</w:t>
      </w:r>
    </w:p>
    <w:p>
      <w:pPr>
        <w:pStyle w:val="ListBullet"/>
      </w:pPr>
      <w:r>
        <w:t>Operating system or database version upgrades</w:t>
      </w:r>
    </w:p>
    <w:p>
      <w:pPr>
        <w:pStyle w:val="ListBullet"/>
      </w:pPr>
      <w:r>
        <w:t>Application compatibility checks or troubleshooting with operating systems</w:t>
      </w:r>
    </w:p>
    <w:p>
      <w:pPr>
        <w:pStyle w:val="ListBullet"/>
      </w:pPr>
      <w:r>
        <w:t>Supplying and mounting hardware, network equipment, and storage devices, along with the necessary cabling other than DeviceX</w:t>
      </w:r>
    </w:p>
    <w:p>
      <w:r>
        <w:t>*This module is a reusable building block. Include when business workload hosting at the branch/backend is in scope for the current engagement. Confirm with the customer.*</w:t>
      </w:r>
    </w:p>
    <w:p/>
    <w:p>
      <w:pPr>
        <w:pStyle w:val="Heading1"/>
      </w:pPr>
      <w:r>
        <w:t>DeviceX/SDX Centralized Operations (Edge Management)</w:t>
      </w:r>
    </w:p>
    <w:p>
      <w:pPr>
        <w:pStyle w:val="Heading2"/>
      </w:pPr>
      <w:r>
        <w:t>Solution Overview</w:t>
      </w:r>
    </w:p>
    <w:p>
      <w:r>
        <w:t>The SDX Backend Operations function is responsible for the centralized management, configuration, and monitoring of the SD-WAN infrastructure, ensuring stable connectivity, security enforcement, and optimal network performance across all managed devices.</w:t>
      </w:r>
    </w:p>
    <w:p>
      <w:pPr>
        <w:pStyle w:val="Heading2"/>
      </w:pPr>
      <w:r>
        <w:t>Core Operations Activities</w:t>
      </w:r>
    </w:p>
    <w:p>
      <w:pPr>
        <w:pStyle w:val="Heading3"/>
      </w:pPr>
      <w:r>
        <w:t>Device Provisioning and Lifecycle Management</w:t>
      </w:r>
    </w:p>
    <w:p>
      <w:pPr>
        <w:pStyle w:val="ListBullet"/>
      </w:pPr>
      <w:r>
        <w:t>Approval and onboarding of new SD-WAN devices</w:t>
      </w:r>
    </w:p>
    <w:p>
      <w:pPr>
        <w:pStyle w:val="ListBullet"/>
      </w:pPr>
      <w:r>
        <w:t>Initial device provisioning and configuration</w:t>
      </w:r>
    </w:p>
    <w:p>
      <w:pPr>
        <w:pStyle w:val="ListBullet"/>
      </w:pPr>
      <w:r>
        <w:t>Assignment and configuration of WAN and LAN interfaces</w:t>
      </w:r>
    </w:p>
    <w:p>
      <w:pPr>
        <w:pStyle w:val="ListBullet"/>
      </w:pPr>
      <w:r>
        <w:t>Secure decommissioning and removal of devices when required</w:t>
      </w:r>
    </w:p>
    <w:p>
      <w:pPr>
        <w:pStyle w:val="Heading3"/>
      </w:pPr>
      <w:r>
        <w:t>Network Configuration and Routing</w:t>
      </w:r>
    </w:p>
    <w:p>
      <w:pPr>
        <w:pStyle w:val="ListBullet"/>
      </w:pPr>
      <w:r>
        <w:t>Configuration and management of network routing, including static and dynamic routing policies</w:t>
      </w:r>
    </w:p>
    <w:p>
      <w:pPr>
        <w:pStyle w:val="ListBullet"/>
      </w:pPr>
      <w:r>
        <w:t>Creation and management of SD-WAN tunnels between sites</w:t>
      </w:r>
    </w:p>
    <w:p>
      <w:pPr>
        <w:pStyle w:val="Heading3"/>
      </w:pPr>
      <w:r>
        <w:t>Security and Policy Management</w:t>
      </w:r>
    </w:p>
    <w:p>
      <w:pPr>
        <w:pStyle w:val="ListBullet"/>
      </w:pPr>
      <w:r>
        <w:t>Creation, modification, and enforcement of firewall policies</w:t>
      </w:r>
    </w:p>
    <w:p>
      <w:pPr>
        <w:pStyle w:val="ListBullet"/>
      </w:pPr>
      <w:r>
        <w:t>Centralized deployment and push of configuration updates to SD-WAN devices to ensure consistency across the infrastructure</w:t>
      </w:r>
    </w:p>
    <w:p>
      <w:pPr>
        <w:pStyle w:val="Heading3"/>
      </w:pPr>
      <w:r>
        <w:t>Monitoring and Performance Management</w:t>
      </w:r>
    </w:p>
    <w:p>
      <w:pPr>
        <w:pStyle w:val="ListBullet"/>
      </w:pPr>
      <w:r>
        <w:t>Continuous monitoring of device health, operational status, and system performance</w:t>
      </w:r>
    </w:p>
    <w:p>
      <w:pPr>
        <w:pStyle w:val="ListBullet"/>
      </w:pPr>
      <w:r>
        <w:t>Monitoring of SD-WAN agent status and connectivity</w:t>
      </w:r>
    </w:p>
    <w:p>
      <w:pPr>
        <w:pStyle w:val="ListBullet"/>
      </w:pPr>
      <w:r>
        <w:t>Monitoring of tunnel status and stability</w:t>
      </w:r>
    </w:p>
    <w:p>
      <w:pPr>
        <w:pStyle w:val="Heading2"/>
      </w:pPr>
      <w:r>
        <w:t>Zero-Touch Provisioning</w:t>
      </w:r>
    </w:p>
    <w:p>
      <w:r>
        <w:t>Zero-touch provisioning is a deployment advantage only if it does not create a security weakness. Across multiple locations, appliances will be unpacked and connected by staff who are not security-cleared and not technically trained. The provisioning model therefore assumes the person plugging in the device is untrusted, and derives trust from the hardware instead.</w:t>
      </w:r>
    </w:p>
    <w:p>
      <w:r>
        <w:t>The operational result is that a new site is brought into service by a non-technical person connecting power and a network cable, while the security posture is stronger than a manually configured site would achieve.</w:t>
      </w:r>
    </w:p>
    <w:p>
      <w:pPr>
        <w:pStyle w:val="Heading3"/>
      </w:pPr>
      <w:r>
        <w:t>Provisioning Flow</w:t>
      </w:r>
    </w:p>
    <w:p>
      <w:r>
        <w:t>Stage 1 — Pre-Registration</w:t>
      </w:r>
    </w:p>
    <w:p>
      <w:r>
        <w:t>Before shipping, the public portion of each appliance's hardware endorsement key certificate — permanently signed by the silicon manufacturer — is imported into the central inventory as a pre-authorised hardware unit.</w:t>
      </w:r>
    </w:p>
    <w:p>
      <w:r>
        <w:t>Stage 2 — First Boot and Attestation</w:t>
      </w:r>
    </w:p>
    <w:p>
      <w:pPr>
        <w:pStyle w:val="Heading2"/>
      </w:pPr>
      <w:r>
        <w:t>Figure — Zero-Touch Provisioning Flow / Attestation &amp; Credentials</w:t>
      </w:r>
    </w:p>
    <w:p>
      <w:r>
        <w:t>&lt;!-- IMAGE PLACEMENT GUIDANCE — insert approved generic image here --&gt;</w:t>
        <w:br/>
        <w:t>&lt;!-- Recommended image: a generic zero-touch provisioning sequence diagram showing the four stages — pre-registration, first boot &amp; attestation, certificate issuance, mesh join — and an attestation / short-lived-credentials flow showing compromise-response scenarios. No customer-specific registration-service names, no customer-specific CA names, no customer site names. --&gt;</w:t>
        <w:br/>
        <w:t>&lt;!-- Suggested source: Telemedicine proposal §3.6 / §3.6.1 (Centralized Management And Zero-Touch Provisioning, ZTP in a multi-country deployment) — genericise the diagram and labels; strip any country/site names. --&gt;</w:t>
        <w:br/>
        <w:t>&lt;!-- Alternative: a device-adoption / mesh-join diagram showing a new site brought into service by a non-technical person connecting power and a network cable.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ZTP / attestation flow diagram here. See image-placement guidance notes.]*</w:t>
      </w:r>
    </w:p>
    <w:p>
      <w:r>
        <w:t>On power-up the node locates the central registration service and generates an attestation key inside its hardware root of trust. The central service issues a challenge encrypted specifically to that node's endorsement key. Only the genuine hardware can decrypt it, proving physical possession of the registered hardware.</w:t>
      </w:r>
    </w:p>
    <w:p>
      <w:r>
        <w:t>Stage 3 — Certificate Issuance</w:t>
      </w:r>
    </w:p>
    <w:p>
      <w:r>
        <w:t>With identity proven, the node generates its operational private keys inside the hardware root of trust — one pair for management, one for the SD-WAN tunnel — and submits standards-based signing requests over a secure enrolment protocol. The central authority validates them against the attestation result and issues the operational certificates.</w:t>
      </w:r>
    </w:p>
    <w:p>
      <w:r>
        <w:t>Stage 4 — Mesh Join</w:t>
      </w:r>
    </w:p>
    <w:p>
      <w:r>
        <w:t>The node establishes its IPsec tunnels using certificate authentication and enters service under its assigned policy template. The private keys never leave the hardware root of trust at any point — not during generation, not during renewal, not during signing.</w:t>
      </w:r>
    </w:p>
    <w:p>
      <w:pPr>
        <w:pStyle w:val="Heading2"/>
      </w:pPr>
      <w:r>
        <w:t>Attestation and Short-Lived Credentials</w:t>
      </w:r>
    </w:p>
    <w:p>
      <w:r>
        <w:t>Long-lived certificates create a long-lived problem: a credential stolen today may remain valid for years, and containing it depends on someone noticing and acting. The platform inverts this by issuing credentials that expire in hours and are renewed only on proof of continuing integrity.</w:t>
      </w:r>
    </w:p>
    <w:p>
      <w:pPr>
        <w:pStyle w:val="Heading3"/>
      </w:pPr>
      <w:r>
        <w:t>How It Operates</w:t>
      </w:r>
    </w:p>
    <w:p>
      <w:pPr>
        <w:pStyle w:val="ListBullet"/>
      </w:pPr>
      <w:r>
        <w:t>Attestation cycle. On a short recurring cycle, each node requests a single-use challenge from the central service, generates a signed statement of its current platform measurements, and submits it together with a request for a new certificate.</w:t>
      </w:r>
    </w:p>
    <w:p>
      <w:pPr>
        <w:pStyle w:val="ListBullet"/>
      </w:pPr>
      <w:r>
        <w:t>Verification. The central platform validates the hardware identity, verifies the signature and challenge, replays the boot event log to confirm the measurements are internally consistent, and compares the result against the approved baseline for that hardware and software build.</w:t>
      </w:r>
    </w:p>
    <w:p>
      <w:pPr>
        <w:pStyle w:val="ListBullet"/>
      </w:pPr>
      <w:r>
        <w:t>Issuance. Only on success is a new short-lived certificate issued — operational lifetime in hours, configurable — and the cycle repeats automatically in the background.</w:t>
      </w:r>
    </w:p>
    <w:p>
      <w:pPr>
        <w:pStyle w:val="ListBullet"/>
      </w:pPr>
      <w:r>
        <w:t>Baseline registry. The central platform maintains the approved measurement baselines for every hardware platform and software build in the estate, so approved updates are accommodated without weakening the check.</w:t>
      </w:r>
    </w:p>
    <w:p>
      <w:pPr>
        <w:pStyle w:val="Heading3"/>
      </w:pPr>
      <w:r>
        <w:t>Response to Compromise</w:t>
      </w:r>
    </w:p>
    <w:p>
      <w:pPr>
        <w:pStyle w:val="ListBullet"/>
      </w:pPr>
      <w:r>
        <w:t>Node stolen from a site. The node's identity is revoked centrally. Its current credentials expire within hours, removing it from the network. On next connection it receives a command that clears its hardware root of trust, destroying the disk encryption key and rendering the drive permanently unrecoverable.</w:t>
      </w:r>
    </w:p>
    <w:p>
      <w:pPr>
        <w:pStyle w:val="ListBullet"/>
      </w:pPr>
      <w:r>
        <w:t>Bootloader or operating system tampered. Platform measurements no longer match the approved baseline. The hardware root of trust refuses to release the sealed keys and attestation fails, so the node cannot join the network at all.</w:t>
      </w:r>
    </w:p>
    <w:p>
      <w:pPr>
        <w:pStyle w:val="ListBullet"/>
      </w:pPr>
      <w:r>
        <w:t>Attempted interception of provisioning. The enrolment protocol requires validation of the central service against trust anchors held in a read-only layer of the node's operating system, so a substituted server is rejected.</w:t>
      </w:r>
    </w:p>
    <w:p>
      <w:pPr>
        <w:pStyle w:val="ListBullet"/>
      </w:pPr>
      <w:r>
        <w:t>Unexplained configuration drift. Failure is raised immediately as an event in the central operations platform, flagged as possible physical tampering, with the affected site identified.</w:t>
      </w:r>
    </w:p>
    <w:p>
      <w:pPr>
        <w:pStyle w:val="ListBullet"/>
      </w:pPr>
      <w:r>
        <w:t>Diagnostics required before restoring service. Rather than flat refusal, the platform can issue a restricted credential that routes the node only to an isolated remediation segment for investigation.</w:t>
      </w:r>
    </w:p>
    <w:p>
      <w:pPr>
        <w:pStyle w:val="Heading2"/>
      </w:pPr>
      <w:r>
        <w:t>Delivery Model</w:t>
      </w:r>
    </w:p>
    <w:p>
      <w:pPr>
        <w:pStyle w:val="ListBullet"/>
      </w:pPr>
      <w:r>
        <w:t>Provide SDX-Edge Technical Support through Certified NOC Engineers operating from regional / network operations centres</w:t>
      </w:r>
    </w:p>
    <w:p>
      <w:pPr>
        <w:pStyle w:val="ListBullet"/>
      </w:pPr>
      <w:r>
        <w:t>Device provisioning and lifecycle management handled centrally from the management platform</w:t>
      </w:r>
    </w:p>
    <w:p>
      <w:pPr>
        <w:pStyle w:val="Heading2"/>
      </w:pPr>
      <w:r>
        <w:t>Out-of-Scope (explicitly)</w:t>
      </w:r>
    </w:p>
    <w:p>
      <w:pPr>
        <w:pStyle w:val="ListBullet"/>
      </w:pPr>
      <w:r>
        <w:t>Providing/Mounting Hardware, network, and storage devices including cabling</w:t>
      </w:r>
    </w:p>
    <w:p>
      <w:pPr>
        <w:pStyle w:val="ListBullet"/>
      </w:pPr>
      <w:r>
        <w:t>Any field support activities</w:t>
      </w:r>
    </w:p>
    <w:p>
      <w:pPr>
        <w:pStyle w:val="ListBullet"/>
      </w:pPr>
      <w:r>
        <w:t>Any logistical work and direct communication with the end user</w:t>
      </w:r>
    </w:p>
    <w:p>
      <w:pPr>
        <w:pStyle w:val="ListBullet"/>
      </w:pPr>
      <w:r>
        <w:t>Any rework related to hardware availability or hardware failure issues</w:t>
      </w:r>
    </w:p>
    <w:p>
      <w:pPr>
        <w:pStyle w:val="ListBullet"/>
      </w:pPr>
      <w:r>
        <w:t>Any activity in the branches including Delivery and mounting of devices</w:t>
      </w:r>
    </w:p>
    <w:p>
      <w:pPr>
        <w:pStyle w:val="ListBullet"/>
      </w:pPr>
      <w:r>
        <w:t>Any communication with the telco operators</w:t>
      </w:r>
    </w:p>
    <w:p>
      <w:pPr>
        <w:pStyle w:val="ListBullet"/>
      </w:pPr>
      <w:r>
        <w:t>Any migration activities</w:t>
      </w:r>
    </w:p>
    <w:p>
      <w:pPr>
        <w:pStyle w:val="ListBullet"/>
      </w:pPr>
      <w:r>
        <w:t>Integration with any other third-party products except for what is mentioned under scope of work</w:t>
      </w:r>
    </w:p>
    <w:p>
      <w:r>
        <w:t>*This module is a reusable building block. Present in prior proposals for branch operations scope. Confirm with the customer whether centralized SDX / edge operations are in scope for the current engagement. The attestation and short-lived credential model is platform capability framing; validate against the current customer's security requirements before asserting any specific certificate lifetimes or baseline-registry behaviour.*</w:t>
      </w:r>
    </w:p>
    <w:p/>
    <w:p>
      <w:pPr>
        <w:pStyle w:val="Heading1"/>
      </w:pPr>
      <w:r>
        <w:t>StackX Endpoint Management &amp; Analytics</w:t>
      </w:r>
    </w:p>
    <w:p>
      <w:pPr>
        <w:pStyle w:val="Heading2"/>
      </w:pPr>
      <w:r>
        <w:t>Overview</w:t>
      </w:r>
    </w:p>
    <w:p>
      <w:r>
        <w:t>Endpoint Management was built from the ground up with a data-centric and modular architecture which enables continual development, powerful integrations and scalability. It adopts an open database design because different IT teams are always best positioned to tweak it to optimise for their own environments.</w:t>
      </w:r>
    </w:p>
    <w:p>
      <w:r>
        <w:t>Endpoint Management's server packages can be deployed on either virtual machines or on physical servers on premises.</w:t>
      </w:r>
    </w:p>
    <w:p>
      <w:pPr>
        <w:pStyle w:val="Heading2"/>
      </w:pPr>
      <w:r>
        <w:t>Architecture</w:t>
      </w:r>
    </w:p>
    <w:p>
      <w:r>
        <w:t>Endpoint Management makes extensive use of the presence of a local lightweight agent on the endpoint to gather important data and provide the Endpoint Management Platform access and control to endpoints regardless of location or connectivity.</w:t>
      </w:r>
    </w:p>
    <w:p>
      <w:r>
        <w:t>The local Endpoint Management agent supports the different Endpoint Management Platform engines, enabling management reach to endpoints across the enterprise.</w:t>
      </w:r>
    </w:p>
    <w:p>
      <w:pPr>
        <w:pStyle w:val="Heading2"/>
      </w:pPr>
      <w:r>
        <w:t>Data Collection &amp; Monitoring</w:t>
      </w:r>
    </w:p>
    <w:p>
      <w:r>
        <w:t>Endpoint Management's Data Collection module works extensively, making use of system and network tools as well as Endpoint Management agents to discover comprehensive details on endpoints, network nodes and network topology.</w:t>
      </w:r>
    </w:p>
    <w:p>
      <w:r>
        <w:t>This information is kept in an open database to feed all other Endpoint Management modules and features. Such an open database allows IT teams to integrate with their third-party or locally developed tools, enabling them to keep the best of both worlds.</w:t>
      </w:r>
    </w:p>
    <w:p>
      <w:r>
        <w:t>Data collection features include:</w:t>
      </w:r>
    </w:p>
    <w:p>
      <w:pPr>
        <w:pStyle w:val="ListBullet"/>
      </w:pPr>
      <w:r>
        <w:t>End-user analytics</w:t>
      </w:r>
    </w:p>
    <w:p>
      <w:pPr>
        <w:pStyle w:val="ListBullet"/>
      </w:pPr>
      <w:r>
        <w:t>Hardware and software inventory</w:t>
      </w:r>
    </w:p>
    <w:p>
      <w:pPr>
        <w:pStyle w:val="ListBullet"/>
      </w:pPr>
      <w:r>
        <w:t>OS and third-party versions, licenses and update status</w:t>
      </w:r>
    </w:p>
    <w:p>
      <w:pPr>
        <w:pStyle w:val="ListBullet"/>
      </w:pPr>
      <w:r>
        <w:t>Start-up items and services</w:t>
      </w:r>
    </w:p>
    <w:p>
      <w:pPr>
        <w:pStyle w:val="ListBullet"/>
      </w:pPr>
      <w:r>
        <w:t>Endpoint information including but not limited to name, uptime, assigned IP addresses, last seen, last login by, domain name if any</w:t>
      </w:r>
    </w:p>
    <w:p>
      <w:pPr>
        <w:pStyle w:val="ListBullet"/>
      </w:pPr>
      <w:r>
        <w:t>Launched executables' details including name/path per user</w:t>
      </w:r>
    </w:p>
    <w:p>
      <w:pPr>
        <w:pStyle w:val="ListBullet"/>
      </w:pPr>
      <w:r>
        <w:t>Logged errors</w:t>
      </w:r>
    </w:p>
    <w:p>
      <w:r>
        <w:t>Live or on-demand monitoring of the following:</w:t>
      </w:r>
    </w:p>
    <w:p>
      <w:pPr>
        <w:pStyle w:val="ListBullet"/>
      </w:pPr>
      <w:r>
        <w:t>Network device details using SNMP and SNMP traps</w:t>
      </w:r>
    </w:p>
    <w:p>
      <w:pPr>
        <w:pStyle w:val="ListBullet"/>
      </w:pPr>
      <w:r>
        <w:t>Network traffic statistics including major vendor platforms</w:t>
      </w:r>
    </w:p>
    <w:p>
      <w:pPr>
        <w:pStyle w:val="ListBullet"/>
      </w:pPr>
      <w:r>
        <w:t>Print jobs' details including user, filename, page count/size and colour</w:t>
      </w:r>
    </w:p>
    <w:p>
      <w:pPr>
        <w:pStyle w:val="ListBullet"/>
      </w:pPr>
      <w:r>
        <w:t>Resource performance including CPU, memory, storage/activity per process</w:t>
      </w:r>
    </w:p>
    <w:p>
      <w:pPr>
        <w:pStyle w:val="ListBullet"/>
      </w:pPr>
      <w:r>
        <w:t>File operations including creation, modification and deletion</w:t>
      </w:r>
    </w:p>
    <w:p>
      <w:pPr>
        <w:pStyle w:val="Heading2"/>
      </w:pPr>
      <w:r>
        <w:t>Management</w:t>
      </w:r>
    </w:p>
    <w:p>
      <w:r>
        <w:t>Once Endpoint Management populates its database and establishes management reach, its range of management capabilities becomes ready to go. Lightweight agents deployed locally on endpoints allow IT teams to utilise its extensive out-of-the-box management actions even on devices connected over the internet.</w:t>
      </w:r>
    </w:p>
    <w:p>
      <w:r>
        <w:t>Management actions Endpoint Management offers include:</w:t>
      </w:r>
    </w:p>
    <w:p>
      <w:pPr>
        <w:pStyle w:val="ListBullet"/>
      </w:pPr>
      <w:r>
        <w:t>Find endpoints using software/hardware details or user-assigned tags</w:t>
      </w:r>
    </w:p>
    <w:p>
      <w:pPr>
        <w:pStyle w:val="ListBullet"/>
      </w:pPr>
      <w:r>
        <w:t>Create and maintain up-to-date and ready-to-install software packages</w:t>
      </w:r>
    </w:p>
    <w:p>
      <w:pPr>
        <w:pStyle w:val="ListBullet"/>
      </w:pPr>
      <w:r>
        <w:t>Configure endpoints for before and after software installation/uninstallation</w:t>
      </w:r>
    </w:p>
    <w:p>
      <w:pPr>
        <w:pStyle w:val="ListBullet"/>
      </w:pPr>
      <w:r>
        <w:t>Install and uninstall software</w:t>
      </w:r>
    </w:p>
    <w:p>
      <w:pPr>
        <w:pStyle w:val="ListBullet"/>
      </w:pPr>
      <w:r>
        <w:t>Manage OS update cycles to scan, download and install updates</w:t>
      </w:r>
    </w:p>
    <w:p>
      <w:pPr>
        <w:pStyle w:val="ListBullet"/>
      </w:pPr>
      <w:r>
        <w:t>Create, delete and edit registry keys</w:t>
      </w:r>
    </w:p>
    <w:p>
      <w:pPr>
        <w:pStyle w:val="ListBullet"/>
      </w:pPr>
      <w:r>
        <w:t>Stop, start and restart services</w:t>
      </w:r>
    </w:p>
    <w:p>
      <w:pPr>
        <w:pStyle w:val="ListBullet"/>
      </w:pPr>
      <w:r>
        <w:t>Initiate backup including to cloud storage</w:t>
      </w:r>
    </w:p>
    <w:p>
      <w:pPr>
        <w:pStyle w:val="ListBullet"/>
      </w:pPr>
      <w:r>
        <w:t>Run or terminate executables, commands or scripts (PowerShell/VBS/batch)</w:t>
      </w:r>
    </w:p>
    <w:p>
      <w:pPr>
        <w:pStyle w:val="ListBullet"/>
      </w:pPr>
      <w:r>
        <w:t>Transfer files</w:t>
      </w:r>
    </w:p>
    <w:p>
      <w:pPr>
        <w:pStyle w:val="ListBullet"/>
      </w:pPr>
      <w:r>
        <w:t>Remote shutdown or restart</w:t>
      </w:r>
    </w:p>
    <w:p>
      <w:pPr>
        <w:pStyle w:val="ListBullet"/>
      </w:pPr>
      <w:r>
        <w:t>Remotely activate MS Windows or MS Office</w:t>
      </w:r>
    </w:p>
    <w:p>
      <w:pPr>
        <w:pStyle w:val="ListBullet"/>
      </w:pPr>
      <w:r>
        <w:t>Shape bandwidth per process</w:t>
      </w:r>
    </w:p>
    <w:p>
      <w:pPr>
        <w:pStyle w:val="ListBullet"/>
      </w:pPr>
      <w:r>
        <w:t>Apply policies to terminate idle applications after a configurable duration</w:t>
      </w:r>
    </w:p>
    <w:p>
      <w:pPr>
        <w:pStyle w:val="ListBullet"/>
      </w:pPr>
      <w:r>
        <w:t>Remotely access an endpoint's desktop (without additional third-party tools)</w:t>
      </w:r>
    </w:p>
    <w:p>
      <w:pPr>
        <w:pStyle w:val="ListBullet"/>
      </w:pPr>
      <w:r>
        <w:t>Apply policies to control printing per user quota, specific printers or colour/BW options</w:t>
      </w:r>
    </w:p>
    <w:p>
      <w:pPr>
        <w:pStyle w:val="ListBullet"/>
      </w:pPr>
      <w:r>
        <w:t>Define different role-based administrator privileges</w:t>
      </w:r>
    </w:p>
    <w:p>
      <w:pPr>
        <w:pStyle w:val="Heading2"/>
      </w:pPr>
      <w:r>
        <w:t>Figure — Endpoint Management Dashboard / Endpoint Topology</w:t>
      </w:r>
    </w:p>
    <w:p>
      <w:r>
        <w:t>&lt;!-- IMAGE PLACEHOLDER — insert approved generic image here --&gt;</w:t>
        <w:br/>
        <w:t>&lt;!-- Recommended image: a generic endpoint-management dashboard or endpoint-topology diagram showing managed endpoints, device status, policy compliance, and alerting. Vendor names cleaned to "major vendor platforms" in the text already; the image must likewise be generic — no specific vendor product screenshot unless approved for the current bid, no customer-specific endpoint names, no customer site names. --&gt;</w:t>
        <w:br/>
        <w:t>&lt;!-- Suggested source: EGYCash/Telemedicine "Endpoint Management" screenshot references — these are vendor UI screenshots; use only as a composition reference, and produce or source a generic / Verto-Wave-branded equivalent for the final proposal.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endpoint-management dashboard / topology diagram here. See image-placement guidance notes.]*</w:t>
      </w:r>
    </w:p>
    <w:p>
      <w:pPr>
        <w:pStyle w:val="Heading2"/>
      </w:pPr>
      <w:r>
        <w:t>Analytics</w:t>
      </w:r>
    </w:p>
    <w:p>
      <w:r>
        <w:t>Endpoint Management's analytics engine takes collected and monitored information to the next level by analysing and correlating it to provide deep behaviour, performance and cost insights. By providing these insights, this engine not only saves time and resources enabling IT teams to focus on complex issues that require human intuition, but also keeps a record of knowledge that is far more useful than basic utilisation or performance stats.</w:t>
      </w:r>
    </w:p>
    <w:p>
      <w:r>
        <w:t>Analytics are invaluable for technical and financial strategy and planning. License renewal, for instance, can benefit from user behaviour analytics to ensure licenses are purchased or renewed only for users who need them rather than on a flat per-role basis.</w:t>
      </w:r>
    </w:p>
    <w:p>
      <w:r>
        <w:t>Analytics include:</w:t>
      </w:r>
    </w:p>
    <w:p>
      <w:pPr>
        <w:pStyle w:val="ListBullet"/>
      </w:pPr>
      <w:r>
        <w:t>Proactive Performance Analysis</w:t>
      </w:r>
    </w:p>
    <w:p>
      <w:pPr>
        <w:pStyle w:val="ListBullet"/>
      </w:pPr>
      <w:r>
        <w:t>Network Traffic Insights</w:t>
      </w:r>
    </w:p>
    <w:p>
      <w:pPr>
        <w:pStyle w:val="ListBullet"/>
      </w:pPr>
      <w:r>
        <w:t>Endpoint change and crash tracking</w:t>
      </w:r>
    </w:p>
    <w:p>
      <w:pPr>
        <w:pStyle w:val="ListBullet"/>
      </w:pPr>
      <w:r>
        <w:t>User Behavior Analytics (UBA)</w:t>
      </w:r>
    </w:p>
    <w:p>
      <w:pPr>
        <w:pStyle w:val="Heading2"/>
      </w:pPr>
      <w:r>
        <w:t>StackX Print Management (sub-module)</w:t>
      </w:r>
    </w:p>
    <w:p>
      <w:r>
        <w:t>StackX Print Management is a centralized platform that streamlines and optimizes the printing infrastructure within an organization. It provides a comprehensive set of tools and features to manage, monitor and control the printing environment, ensuring efficient utilization of print resources and cost savings.</w:t>
      </w:r>
    </w:p>
    <w:p>
      <w:r>
        <w:t>Capabilities include:</w:t>
      </w:r>
    </w:p>
    <w:p>
      <w:pPr>
        <w:pStyle w:val="ListBullet"/>
      </w:pPr>
      <w:r>
        <w:t>Secure print release</w:t>
      </w:r>
    </w:p>
    <w:p>
      <w:pPr>
        <w:pStyle w:val="ListBullet"/>
      </w:pPr>
      <w:r>
        <w:t>Mobile printing</w:t>
      </w:r>
    </w:p>
    <w:p>
      <w:pPr>
        <w:pStyle w:val="ListBullet"/>
      </w:pPr>
      <w:r>
        <w:t>Print job tracking and reporting</w:t>
      </w:r>
    </w:p>
    <w:p>
      <w:pPr>
        <w:pStyle w:val="ListBullet"/>
      </w:pPr>
      <w:r>
        <w:t>Print quota management and enforcement</w:t>
      </w:r>
    </w:p>
    <w:p>
      <w:pPr>
        <w:pStyle w:val="ListBullet"/>
      </w:pPr>
      <w:r>
        <w:t>Centralized management and control of the entire print infrastructure</w:t>
      </w:r>
    </w:p>
    <w:p>
      <w:pPr>
        <w:pStyle w:val="ListBullet"/>
      </w:pPr>
      <w:r>
        <w:t>Print usage analytics and reporting to identify cost-saving opportunities</w:t>
      </w:r>
    </w:p>
    <w:p>
      <w:pPr>
        <w:pStyle w:val="ListBullet"/>
      </w:pPr>
      <w:r>
        <w:t>Environmental sustainability — enforcing print policies, reducing paper and toner waste, enabling duplex printing</w:t>
      </w:r>
    </w:p>
    <w:p>
      <w:r>
        <w:t>Despite ongoing workplace digitisation, printing still presents significant financial and environmental costs that are challenging to control without affecting productivity. Print Management offers live and historical detailed views of print jobs whether they are on local or network printers. Details include username, printing date/time, document filename/title, description, print queue, colour, paper size and number of pages.</w:t>
      </w:r>
    </w:p>
    <w:p>
      <w:pPr>
        <w:pStyle w:val="Heading2"/>
      </w:pPr>
      <w:r>
        <w:t>Value Proposition</w:t>
      </w:r>
    </w:p>
    <w:p>
      <w:pPr>
        <w:pStyle w:val="ListBullet"/>
      </w:pPr>
      <w:r>
        <w:t>Cost Optimization: Print usage analytics and reporting to identify cost-saving opportunities, such as reducing unnecessary printing and optimizing printer utilization.</w:t>
      </w:r>
    </w:p>
    <w:p>
      <w:pPr>
        <w:pStyle w:val="ListBullet"/>
      </w:pPr>
      <w:r>
        <w:t>Centralized Management and Control: Offers a single, user-friendly interface for IT administrators to manage, monitor and control the entire print infrastructure.</w:t>
      </w:r>
    </w:p>
    <w:p>
      <w:pPr>
        <w:pStyle w:val="ListBullet"/>
      </w:pPr>
      <w:r>
        <w:t>Environmental Sustainability: Promotes eco-friendly printing practices by enforcing print policies, reducing paper and toner waste, and enabling duplex printing.</w:t>
      </w:r>
    </w:p>
    <w:p>
      <w:pPr>
        <w:pStyle w:val="Heading2"/>
      </w:pPr>
      <w:r>
        <w:t>Enterprise Management Context</w:t>
      </w:r>
    </w:p>
    <w:p>
      <w:r>
        <w:t>Endpoint Management is part of the StackX Operations Monitoring &amp; Configuration Management Enterprise Management family and integrates with the broader StackX platform for centralized visibility, ITSM integration and compliance reporting.</w:t>
      </w:r>
    </w:p>
    <w:p>
      <w:pPr>
        <w:pStyle w:val="Heading2"/>
      </w:pPr>
      <w:r>
        <w:t>Out-of-Scope (explicitly)</w:t>
      </w:r>
    </w:p>
    <w:p>
      <w:pPr>
        <w:pStyle w:val="ListBullet"/>
      </w:pPr>
      <w:r>
        <w:t>Managing and supporting systems and devices not allowing ways of integration with StackX Endpoint Management.</w:t>
      </w:r>
    </w:p>
    <w:p>
      <w:pPr>
        <w:pStyle w:val="ListBullet"/>
      </w:pPr>
      <w:r>
        <w:t>Any deployment or configuration of third-party endpoint security products not included in this proposal scope.</w:t>
      </w:r>
    </w:p>
    <w:p>
      <w:pPr>
        <w:pStyle w:val="ListBullet"/>
      </w:pPr>
      <w:r>
        <w:t>Operating 3rd party systems aside from the systems included in this scope.</w:t>
      </w:r>
    </w:p>
    <w:p>
      <w:r>
        <w:t>*This module is a reusable building block, derived from a source material describing StackX Endpoint Management and Analytics. Confirm per bid which sub-capabilities (e.g., Print Management, remote desktop, UBA, bandwidth shaping, idle-application policies) are in scope, whether on-prem vs virtual deployment is the intended model, and whether specific third-party platform names are appropriate for the current customer.*</w:t>
      </w:r>
    </w:p>
    <w:p/>
    <w:p>
      <w:pPr>
        <w:pStyle w:val="Heading1"/>
      </w:pPr>
      <w:r>
        <w:t>StackX Automation &amp; Orchestration</w:t>
      </w:r>
    </w:p>
    <w:p>
      <w:pPr>
        <w:pStyle w:val="Heading2"/>
      </w:pPr>
      <w:r>
        <w:t>Overview</w:t>
      </w:r>
    </w:p>
    <w:p>
      <w:r>
        <w:t>StackX Automation is a powerful data center management solution that enables organizations to streamline their IT infrastructure operations. In today's fast-paced business environment, where agility and efficiency are paramount, StackX Automation provides a comprehensive set of tools and features to automate a wide range of data center processes.</w:t>
      </w:r>
    </w:p>
    <w:p>
      <w:r>
        <w:t>At the core of StackX Automation is the ability to standardize and simplify the deployment, configuration, and management of physical and virtual servers, network devices, and other critical IT assets. By automating routine tasks such as software updates, configuration changes, and resource provisioning, StackX Automation helps organizations reduce the risk of human error, ensure consistency, and free up valuable IT resources to focus on strategic initiatives.</w:t>
      </w:r>
    </w:p>
    <w:p>
      <w:r>
        <w:t>The solution's user-friendly interface and intuitive workflows empower IT administrators to manage their data center environments more effectively, without the need for extensive scripting or specialized expertise. Through centralized control and real-time monitoring, StackX Automation provides organizations with enhanced visibility into their infrastructure, enabling proactive issue detection and rapid troubleshooting.</w:t>
      </w:r>
    </w:p>
    <w:p>
      <w:pPr>
        <w:pStyle w:val="Heading2"/>
      </w:pPr>
      <w:r>
        <w:t>Key Capabilities</w:t>
      </w:r>
    </w:p>
    <w:p>
      <w:pPr>
        <w:pStyle w:val="ListBullet"/>
      </w:pPr>
      <w:r>
        <w:t>Automate any system from CLI, API, or REST calls</w:t>
      </w:r>
    </w:p>
    <w:p>
      <w:pPr>
        <w:pStyle w:val="ListBullet"/>
      </w:pPr>
      <w:r>
        <w:t>Manage and operate any device from a single portal</w:t>
      </w:r>
    </w:p>
    <w:p>
      <w:pPr>
        <w:pStyle w:val="ListBullet"/>
      </w:pPr>
      <w:r>
        <w:t>Create role-based administration even for legacy CLI devices</w:t>
      </w:r>
    </w:p>
    <w:p>
      <w:pPr>
        <w:pStyle w:val="ListBullet"/>
      </w:pPr>
      <w:r>
        <w:t>Central Management Console to manage all devices</w:t>
      </w:r>
    </w:p>
    <w:p>
      <w:pPr>
        <w:pStyle w:val="ListBullet"/>
      </w:pPr>
      <w:r>
        <w:t>Action Logging for SSH/Telnet/API calls</w:t>
      </w:r>
    </w:p>
    <w:p>
      <w:pPr>
        <w:pStyle w:val="ListBullet"/>
      </w:pPr>
      <w:r>
        <w:t>Role-Based Access for Actions/Vendors/Types and Tags</w:t>
      </w:r>
    </w:p>
    <w:p>
      <w:pPr>
        <w:pStyle w:val="ListBullet"/>
      </w:pPr>
      <w:r>
        <w:t>Build Custom Actions with easy UI Builder</w:t>
      </w:r>
    </w:p>
    <w:p>
      <w:pPr>
        <w:pStyle w:val="Heading2"/>
      </w:pPr>
      <w:r>
        <w:t>Key Benefits</w:t>
      </w:r>
    </w:p>
    <w:p>
      <w:pPr>
        <w:pStyle w:val="ListBullet"/>
      </w:pPr>
      <w:r>
        <w:t>Increased IT productivity: Reduced time required to configure multiple devices from multiple vendors by launching activities and tasks that could span multiple vendors.</w:t>
      </w:r>
    </w:p>
    <w:p>
      <w:pPr>
        <w:pStyle w:val="ListBullet"/>
      </w:pPr>
      <w:r>
        <w:t>Zero Code approach: Integrating or adding new vendors doesn't require any coding knowledge, making it very easy to add actions, or vendors.</w:t>
      </w:r>
    </w:p>
    <w:p>
      <w:pPr>
        <w:pStyle w:val="ListBullet"/>
      </w:pPr>
      <w:r>
        <w:t>Enhanced Control: Granular role-based access to specific actions, vendors, group of devices or collection of devices based on their attributes makes the solution ideal for service providers and multi-tenancy approaches, allowing granular control over access to devices.</w:t>
      </w:r>
    </w:p>
    <w:p>
      <w:pPr>
        <w:pStyle w:val="Heading2"/>
      </w:pPr>
      <w:r>
        <w:t>Orchestration</w:t>
      </w:r>
    </w:p>
    <w:p>
      <w:r>
        <w:t>At the heart of StackX Orchestration lies the ability to define, execute, and monitor end-to-end workflows that span across multiple IT domains, including infrastructure, applications, and services. Through a user-friendly visual interface, organizations can easily create and customize workflow templates, ensuring consistent and repeatable processes that adapt to changing business requirements.</w:t>
      </w:r>
    </w:p>
    <w:p>
      <w:pPr>
        <w:pStyle w:val="Heading2"/>
      </w:pPr>
      <w:r>
        <w:t>Figure — Automation &amp; Orchestration Pipeline / Workflow</w:t>
      </w:r>
    </w:p>
    <w:p>
      <w:r>
        <w:t>&lt;!-- IMAGE PLACEMENT GUIDANCE — insert approved generic image here --&gt;</w:t>
        <w:br/>
        <w:t>&lt;!-- Recommended image: a generic automation/orchestration pipeline diagram showing workflow definition, trigger, execution, approval/gating, and reporting — aligned to the "how many workflows" scope-number slot ({{services_workflows}}) in the Professional Services module. No customer-specific workflow names, no customer-specific system names, no customer site names. --&gt;</w:t>
        <w:br/>
        <w:t>&lt;!-- Suggested source: generic automation/orchestration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automation/orchestration pipeline diagram here. See image-placement guidance notes.]*</w:t>
      </w:r>
    </w:p>
    <w:p>
      <w:r>
        <w:t>The solution's robust orchestration engine leverages advanced algorithms and integration capabilities to coordinate the execution of tasks, manage dependencies, and handle error recovery, ensuring the successful completion of complex workflows. This level of orchestration enables organizations to streamline processes, reduce manual interventions, and minimize the risk of human errors, ultimately enhancing overall operational reliability and resilience.</w:t>
      </w:r>
    </w:p>
    <w:p>
      <w:r>
        <w:t>Built from the ground up as a true vendor-agnostic management and operations stack, StackX is shipped with an integration builder console. This agent is designed to allow network and system engineers to add actions, workflows and integrate vendors with ease and without any coding knowledge required, allowing rapid integration and flexible operations.</w:t>
      </w:r>
    </w:p>
    <w:p>
      <w:pPr>
        <w:pStyle w:val="Heading2"/>
      </w:pPr>
      <w:r>
        <w:t>Orchestration Capabilities</w:t>
      </w:r>
    </w:p>
    <w:p>
      <w:pPr>
        <w:pStyle w:val="ListBullet"/>
      </w:pPr>
      <w:r>
        <w:t>Automate operational tasks by single API call</w:t>
      </w:r>
    </w:p>
    <w:p>
      <w:pPr>
        <w:pStyle w:val="ListBullet"/>
      </w:pPr>
      <w:r>
        <w:t>Define unlimited workers to scale out thousands of devices</w:t>
      </w:r>
    </w:p>
    <w:p>
      <w:pPr>
        <w:pStyle w:val="ListBullet"/>
      </w:pPr>
      <w:r>
        <w:t>Streamlined process: provision and orchestrate actions across multiple vendors easily</w:t>
      </w:r>
    </w:p>
    <w:p>
      <w:pPr>
        <w:pStyle w:val="ListBullet"/>
      </w:pPr>
      <w:r>
        <w:t>Workflow Automation: run sophisticated activities across different vendors on-premises or on cloud with ease</w:t>
      </w:r>
    </w:p>
    <w:p>
      <w:pPr>
        <w:pStyle w:val="Heading2"/>
      </w:pPr>
      <w:r>
        <w:t>Key Benefits from StackX Orchestration</w:t>
      </w:r>
    </w:p>
    <w:p>
      <w:pPr>
        <w:pStyle w:val="ListBullet"/>
      </w:pPr>
      <w:r>
        <w:t>Improved compliance and governance: Enforcing compliance by specifying workflows that span different teams and vendors makes configuration and compliance management easy to be enforced.</w:t>
      </w:r>
    </w:p>
    <w:p>
      <w:pPr>
        <w:pStyle w:val="ListBullet"/>
      </w:pPr>
      <w:r>
        <w:t>Strong top-management visibility: Extensive reports, a customizable dashboard and the analytics engine turn loads of collected and analyzed data into knowledge for well-informed decisions.</w:t>
      </w:r>
    </w:p>
    <w:p>
      <w:pPr>
        <w:pStyle w:val="Heading2"/>
      </w:pPr>
      <w:r>
        <w:t>Central Management Stack</w:t>
      </w:r>
    </w:p>
    <w:p>
      <w:r>
        <w:t>The central management stack receives actions from network, security or system operators and translates workflows and actions to native actions on each managed device, with multiple integration methods including CLI, REST API calls and web calls. StackX will be able to orchestrate and perform required actions on managed devices — whether a single device or multiple devices — allowing central configuration management and governance.</w:t>
      </w:r>
    </w:p>
    <w:p>
      <w:pPr>
        <w:pStyle w:val="Heading2"/>
      </w:pPr>
      <w:r>
        <w:t>Enterprise Management Context</w:t>
      </w:r>
    </w:p>
    <w:p>
      <w:r>
        <w:t>StackX Automation and Orchestration is part of the broader StackX platform and integrates with the Observability and APM module for event-driven automation, with ITSM for change/workflow governance, and with the Configuration Management module for compliance-driven configuration enforcement.</w:t>
      </w:r>
    </w:p>
    <w:p>
      <w:pPr>
        <w:pStyle w:val="Heading2"/>
      </w:pPr>
      <w:r>
        <w:t>Out-of-Scope (explicitly)</w:t>
      </w:r>
    </w:p>
    <w:p>
      <w:pPr>
        <w:pStyle w:val="ListBullet"/>
      </w:pPr>
      <w:r>
        <w:t>Any development and debugging activities not explicitly in scope.</w:t>
      </w:r>
    </w:p>
    <w:p>
      <w:pPr>
        <w:pStyle w:val="ListBullet"/>
      </w:pPr>
      <w:r>
        <w:t>Managing and supporting systems and devices not allowing ways of integration.</w:t>
      </w:r>
    </w:p>
    <w:p>
      <w:pPr>
        <w:pStyle w:val="ListBullet"/>
      </w:pPr>
      <w:r>
        <w:t>Operating 3rd party systems aside from the systems included in this scope.</w:t>
      </w:r>
    </w:p>
    <w:p>
      <w:pPr>
        <w:pStyle w:val="ListBullet"/>
      </w:pPr>
      <w:r>
        <w:t>Any implementation activities of new systems or solutions, unless explicitly in scope.</w:t>
      </w:r>
    </w:p>
    <w:p>
      <w:r>
        <w:t>*This module is a reusable building block, derived from the a source material describing StackX Automation and Orchestration. Confirm per bid which orchestration capabilities (CLI/API/REST, no-code workflow builder, multi-vendor scaling) and which vendor integrations are in scope.*</w:t>
      </w:r>
    </w:p>
    <w:p/>
    <w:p>
      <w:pPr>
        <w:pStyle w:val="Heading1"/>
      </w:pPr>
      <w:r>
        <w:t>StackX Observability &amp; Application Performance Monitoring (APM)</w:t>
      </w:r>
    </w:p>
    <w:p>
      <w:pPr>
        <w:pStyle w:val="Heading2"/>
      </w:pPr>
      <w:r>
        <w:t>Overview</w:t>
      </w:r>
    </w:p>
    <w:p>
      <w:r>
        <w:t>In today's complex and dynamic IT landscapes, effective server monitoring and management are critical to ensuring operational stability, performance, and security. The StackX Observability solution provides a unified, scalable, and intelligent approach to managing server infrastructure. It consolidates all key metrics and performance data into a single, comprehensive view, enabling teams to move from reactive troubleshooting to proactive and predictive insights.</w:t>
      </w:r>
    </w:p>
    <w:p>
      <w:r>
        <w:t>A comprehensive observability solution provides real-time visibility into server health by continuously tracking key metrics such as CPU/memory utilization, disk I/O, network throughput, and process activity. By aggregating and analyzing system logs, administrators gain actionable insights into potential bottlenecks, hardware failures, or misconfigurations before they escalate into outages. Automated alerting mechanisms notify teams of anomalies — such as unexpected resource spikes or failed services — enabling rapid incident response. Historical trend analysis further aids capacity planning, ensuring infrastructure scales efficiently with organizational demands. Security is enhanced through log correlation, detecting suspicious login attempts, unauthorized configuration changes, or malware activity. When integrated with IT service management (ITSM) workflows, server telemetry enables data-driven decision-making, reduces mean time to resolution (MTTR), and enforces compliance with operational policies. Ultimately, a robust monitoring framework transforms raw server data into operational intelligence — optimizing uptime, streamlining troubleshooting, and safeguarding business continuity in dynamic IT environments.</w:t>
      </w:r>
    </w:p>
    <w:p>
      <w:r>
        <w:t>The StackX observability platform — combining StackXsearch, Logstash, Kibana, the StackX Agent and Fleet — delivers a powerful observability platform capable of providing real-time insights into both traditional systems and dynamic containerized platforms such as Kubernetes and OpenShift.</w:t>
      </w:r>
    </w:p>
    <w:p>
      <w:r>
        <w:t>This solution continuously monitors core system health indicators including CPU and memory utilization, disk I/O, network activity, and running processes. It aggregates logs and system metrics from physical servers, virtual machines, and container nodes within OpenShift clusters — offering unified visibility across hybrid environments.</w:t>
      </w:r>
    </w:p>
    <w:p>
      <w:pPr>
        <w:pStyle w:val="Heading2"/>
      </w:pPr>
      <w:r>
        <w:t>Key Features and Capabilities</w:t>
      </w:r>
    </w:p>
    <w:p>
      <w:pPr>
        <w:pStyle w:val="ListBullet"/>
      </w:pPr>
      <w:r>
        <w:t>Unified Infrastructure Monitoring: Eliminate data silos by bringing together metrics from every layer of your server infrastructure. This unified approach allows for rapid root-cause analysis by correlating events across your entire technology stack.</w:t>
      </w:r>
    </w:p>
    <w:p>
      <w:pPr>
        <w:pStyle w:val="ListBullet"/>
      </w:pPr>
      <w:r>
        <w:t>Proactive Alerting and Anomaly Detection: Configure intelligent, customizable alerts based on performance thresholds or leverage built-in machine learning capabilities to automatically detect unusual patterns and anomalies in real time. This allows your teams to identify and address potential issues before they impact end-users.</w:t>
      </w:r>
    </w:p>
    <w:p>
      <w:pPr>
        <w:pStyle w:val="ListBullet"/>
      </w:pPr>
      <w:r>
        <w:t>Comprehensive Visibility: From individual CPU utilization and disk I/O to a complete view of hardware health and network traffic, the solution provides granular insights into every server. Detailed views track resource usage, giving a full picture of system health.</w:t>
      </w:r>
    </w:p>
    <w:p>
      <w:pPr>
        <w:pStyle w:val="ListBullet"/>
      </w:pPr>
      <w:r>
        <w:t>Robust Security: Enterprise-grade security features include role-based access control (RBAC), field-level security, and encrypted communications, ensuring sensitive data remains protected. Audit logging provides a complete trail of all user actions.</w:t>
      </w:r>
    </w:p>
    <w:p>
      <w:pPr>
        <w:pStyle w:val="ListBullet"/>
      </w:pPr>
      <w:r>
        <w:t>Scalability and Flexibility: Designed for the modern enterprise, the platform scales horizontally to accommodate massive data volumes and dynamic environments. With flexible deployment options on-premises or across all major cloud providers, it adapts to your architectural needs.</w:t>
      </w:r>
    </w:p>
    <w:p>
      <w:pPr>
        <w:pStyle w:val="Heading2"/>
      </w:pPr>
      <w:r>
        <w:t>Solution Components</w:t>
      </w:r>
    </w:p>
    <w:p>
      <w:pPr>
        <w:pStyle w:val="ListBullet"/>
      </w:pPr>
      <w:r>
        <w:t>Centralized Data Aggregation: A lightweight, single-agent solution for collecting and shipping data from all your servers and network devices.</w:t>
      </w:r>
    </w:p>
    <w:p>
      <w:pPr>
        <w:pStyle w:val="ListBullet"/>
      </w:pPr>
      <w:r>
        <w:t>Real-time Analytics Engine: A distributed and highly resilient search and analytics engine that indexes your data for lightning-fast querying and analysis.</w:t>
      </w:r>
    </w:p>
    <w:p>
      <w:pPr>
        <w:pStyle w:val="ListBullet"/>
      </w:pPr>
      <w:r>
        <w:t>Intuitive Visualization: A flexible and extensible user interface for creating dynamic dashboards, interactive charts, and custom reports that provide a clear "single pane of glass" view of your entire infrastructure.</w:t>
      </w:r>
    </w:p>
    <w:p>
      <w:pPr>
        <w:pStyle w:val="Heading2"/>
      </w:pPr>
      <w:r>
        <w:t>Figure — Observability / APM Dashboards &amp; Traces</w:t>
      </w:r>
    </w:p>
    <w:p>
      <w:r>
        <w:t>&lt;!-- IMAGE PLACEMENT GUIDANCE — insert approved generic image here --&gt;</w:t>
        <w:br/>
        <w:t>&lt;!-- Recommended image: a generic observability/APM dashboard image showing metrics, logs, traces, alerting, and dashboard-oriented visibility — aligned to the "how many apps monitored" scope-number slot ({{services_apps_monitored}}) in the Professional Services module. No customer-specific application names, no customer-specific metric labels that reveal the customer's business, no customer site names. --&gt;</w:t>
        <w:br/>
        <w:t>&lt;!-- Suggested source: Telemedicine proposal §3.12 (StackX Observability) + EGYCash "Figure 1: Change-Correlated Performance Views" — use only as a composition reference; strip any customer-specific labels; produce or source a generic / Verto-Wave-branded equivalent for the final proposal.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observability/APM dashboard diagram here. See image-placement guidance notes.]*</w:t>
      </w:r>
    </w:p>
    <w:p>
      <w:pPr>
        <w:pStyle w:val="Heading2"/>
      </w:pPr>
      <w:r>
        <w:t>APM Capabilities</w:t>
      </w:r>
    </w:p>
    <w:p>
      <w:r>
        <w:t>Get deep visibility into cloud-native and distributed applications — from microservices to serverless architectures — and quickly identify and resolve root causes of issues. Seamlessly adopt APM to automatically identify anomalies, map service dependencies, and simplify investigations into outliers and abnormal behaviour. Optimize your application code with extensive support for popular languages, OpenTelemetry, and distributed tracing.</w:t>
      </w:r>
    </w:p>
    <w:p>
      <w:pPr>
        <w:pStyle w:val="Heading2"/>
      </w:pPr>
      <w:r>
        <w:t>Value Proposition</w:t>
      </w:r>
    </w:p>
    <w:p>
      <w:pPr>
        <w:pStyle w:val="ListBullet"/>
      </w:pPr>
      <w:r>
        <w:t>Reduced Mean Time to Resolution (MTTR): By providing a unified view and intelligent correlation of server metrics, the solution drastically reduces the time and effort required for troubleshooting, allowing teams to resolve issues faster and minimize downtime.</w:t>
      </w:r>
    </w:p>
    <w:p>
      <w:pPr>
        <w:pStyle w:val="ListBullet"/>
      </w:pPr>
      <w:r>
        <w:t>Enhanced Operational Efficiency: Automated data collection, intelligent alerting, and a centralized management console reduce manual effort, freeing up teams to focus on strategic initiatives rather than reactive fire-fighting.</w:t>
      </w:r>
    </w:p>
    <w:p>
      <w:pPr>
        <w:pStyle w:val="ListBullet"/>
      </w:pPr>
      <w:r>
        <w:t>Improved Performance and Stability: With real-time visibility into performance bottlenecks and proactive anomaly detection, you can optimize resource allocation, prevent performance degradation, and maintain high levels of service availability.</w:t>
      </w:r>
    </w:p>
    <w:p>
      <w:pPr>
        <w:pStyle w:val="ListBullet"/>
      </w:pPr>
      <w:r>
        <w:t>Future-Proof Platform: The solution's open and flexible architecture ensures it can evolve with your needs, supporting new technologies, services, and data sources as your business grows.</w:t>
      </w:r>
    </w:p>
    <w:p>
      <w:pPr>
        <w:pStyle w:val="Heading2"/>
      </w:pPr>
      <w:r>
        <w:t>Enterprise Management Context</w:t>
      </w:r>
    </w:p>
    <w:p>
      <w:r>
        <w:t>StackX Observability and APM is part of the broader StackX platform and integrates with ITSM for incident generation and closure, with Automation &amp; Orchestration for event-driven remediation, with Endpoint Management for cross-domain correlation, and with Security modules (SIEM/EDR/XDR) for security telemetry enrichment.</w:t>
      </w:r>
    </w:p>
    <w:p>
      <w:pPr>
        <w:pStyle w:val="Heading2"/>
      </w:pPr>
      <w:r>
        <w:t>Out-of-Scope (explicitly)</w:t>
      </w:r>
    </w:p>
    <w:p>
      <w:pPr>
        <w:pStyle w:val="ListBullet"/>
      </w:pPr>
      <w:r>
        <w:t>Any application development or debugging activities not explicitly in scope.</w:t>
      </w:r>
    </w:p>
    <w:p>
      <w:pPr>
        <w:pStyle w:val="ListBullet"/>
      </w:pPr>
      <w:r>
        <w:t>Any development and debugging activities.</w:t>
      </w:r>
    </w:p>
    <w:p>
      <w:pPr>
        <w:pStyle w:val="ListBullet"/>
      </w:pPr>
      <w:r>
        <w:t>Managing and supporting systems and devices not allowing ways of integration.</w:t>
      </w:r>
    </w:p>
    <w:p>
      <w:pPr>
        <w:pStyle w:val="ListBullet"/>
      </w:pPr>
      <w:r>
        <w:t>Operating 3rd party systems aside from the systems included in this scope.</w:t>
      </w:r>
    </w:p>
    <w:p>
      <w:r>
        <w:t>*This module is a reusable building block, derived from the a source material describing StackX Observability and APM. Confirm per bid which environments (on-prem physical/virtual, OpenShift/Kubernetes, AWS/Azure) and which telemetry sources are in scope.*</w:t>
      </w:r>
    </w:p>
    <w:p/>
    <w:p>
      <w:pPr>
        <w:pStyle w:val="Heading1"/>
      </w:pPr>
      <w:r>
        <w:t>StackX TrueView</w:t>
      </w:r>
    </w:p>
    <w:p>
      <w:pPr>
        <w:pStyle w:val="Heading2"/>
      </w:pPr>
      <w:r>
        <w:t>Overview</w:t>
      </w:r>
    </w:p>
    <w:p>
      <w:r>
        <w:t>*[Placeholder — module to be authored from source material describing StackX TrueView.]*</w:t>
      </w:r>
    </w:p>
    <w:p>
      <w:pPr>
        <w:pStyle w:val="Heading2"/>
      </w:pPr>
      <w:r>
        <w:t>Figure — TrueView Dashboard / Visualisation</w:t>
      </w:r>
    </w:p>
    <w:p>
      <w:r>
        <w:t>&lt;!-- IMAGE PLACEMENT GUIDANCE — insert approved generic image here --&gt;</w:t>
        <w:br/>
        <w:t>&lt;!-- Recommended image: a generic TrueView-style dashboard / visualisation diagram showing consolidated visibility, status, and reporting across the managed estate. No customer-specific entity names, no customer-specific dashboard labels that reveal the customer's business, no customer site names. --&gt;</w:t>
        <w:br/>
        <w:t>&lt;!-- Suggested source: generic TrueView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TrueView dashboard / visualisation diagram here. See image-placement guidance notes.]*</w:t>
      </w:r>
    </w:p>
    <w:p>
      <w:pPr>
        <w:pStyle w:val="Heading2"/>
      </w:pPr>
      <w:r>
        <w:t>To be authored</w:t>
      </w:r>
    </w:p>
    <w:p>
      <w:r>
        <w:t>This module's content is to be authored from the source material for StackX TrueView before the module is included in a live proposal. Until then, include only with explicit subject-matter review.</w:t>
      </w:r>
    </w:p>
    <w:p>
      <w:pPr>
        <w:pStyle w:val="Heading2"/>
      </w:pPr>
      <w:r>
        <w:t>Out-of-Scope (explicitly)</w:t>
      </w:r>
    </w:p>
    <w:p>
      <w:pPr>
        <w:pStyle w:val="ListBullet"/>
      </w:pPr>
      <w:r>
        <w:t>Any content not validated against the source material for this module.</w:t>
      </w:r>
    </w:p>
    <w:p>
      <w:r>
        <w:t>*This module is a placeholder pending content authoring. Do not include in a live proposal without completing the module content and SME review.*</w:t>
      </w:r>
    </w:p>
    <w:p/>
    <w:p>
      <w:pPr>
        <w:pStyle w:val="Heading1"/>
      </w:pPr>
      <w:r>
        <w:t>StackX Identity Management (IDM)</w:t>
      </w:r>
    </w:p>
    <w:p>
      <w:pPr>
        <w:pStyle w:val="Heading2"/>
      </w:pPr>
      <w:r>
        <w:t>Overview</w:t>
      </w:r>
    </w:p>
    <w:p>
      <w:r>
        <w:t>*[Placeholder — module to be authored from source material describing StackX Identity Management (IDM).]*</w:t>
      </w:r>
    </w:p>
    <w:p>
      <w:pPr>
        <w:pStyle w:val="Heading2"/>
      </w:pPr>
      <w:r>
        <w:t>To be authored</w:t>
      </w:r>
    </w:p>
    <w:p>
      <w:r>
        <w:t>This module's content is to be authored from the source material for StackX Identity Management (IDM) before the module is included in a live proposal. Until then, include only with explicit subject-matter review.</w:t>
      </w:r>
    </w:p>
    <w:p>
      <w:pPr>
        <w:pStyle w:val="Heading2"/>
      </w:pPr>
      <w:r>
        <w:t>Typical scope areas (to be confirmed from source)</w:t>
      </w:r>
    </w:p>
    <w:p>
      <w:r>
        <w:t>Identity Management (IDM) capability areas typically include:</w:t>
      </w:r>
    </w:p>
    <w:p>
      <w:pPr>
        <w:pStyle w:val="Heading2"/>
      </w:pPr>
      <w:r>
        <w:t>Figure — Identity &amp; Access Management Architecture / SSO-MFA Flow</w:t>
      </w:r>
    </w:p>
    <w:p>
      <w:r>
        <w:t>&lt;!-- IMAGE PLACEMENT GUIDANCE — insert approved generic image here --&gt;</w:t>
        <w:br/>
        <w:t>&lt;!-- Recommended image: a generic identity/access-management architecture diagram showing authentication, MFA, SSO, role-based access control, and identity lifecycle, plus an SSO/MFA login flow diagram. No customer-specific identity provider names, no customer-specific role names, no customer site names. --&gt;</w:t>
        <w:br/>
        <w:t>&lt;!-- Suggested source: generic IDM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IDM architecture / SSO-MFA flow diagram here. See image-placement guidance notes.]*</w:t>
      </w:r>
    </w:p>
    <w:p>
      <w:pPr>
        <w:pStyle w:val="ListBullet"/>
      </w:pPr>
      <w:r>
        <w:t>Identity and Access Management (IAM) policy design and enforcement</w:t>
      </w:r>
    </w:p>
    <w:p>
      <w:pPr>
        <w:pStyle w:val="ListBullet"/>
      </w:pPr>
      <w:r>
        <w:t>Multi-factor authentication (MFA) implementation</w:t>
      </w:r>
    </w:p>
    <w:p>
      <w:pPr>
        <w:pStyle w:val="ListBullet"/>
      </w:pPr>
      <w:r>
        <w:t>Role-based access control (RBAC)</w:t>
      </w:r>
    </w:p>
    <w:p>
      <w:pPr>
        <w:pStyle w:val="ListBullet"/>
      </w:pPr>
      <w:r>
        <w:t>Identity lifecycle management (provisioning / de-provisioning / review)</w:t>
      </w:r>
    </w:p>
    <w:p>
      <w:pPr>
        <w:pStyle w:val="ListBullet"/>
      </w:pPr>
      <w:r>
        <w:t>Integration with directory services (e.g., Active Directory, LDAP)</w:t>
      </w:r>
    </w:p>
    <w:p>
      <w:pPr>
        <w:pStyle w:val="ListBullet"/>
      </w:pPr>
      <w:r>
        <w:t>Secure authentication for users, devices, and services</w:t>
      </w:r>
    </w:p>
    <w:p>
      <w:pPr>
        <w:pStyle w:val="Heading2"/>
      </w:pPr>
      <w:r>
        <w:t>Out-of-Scope (explicitly)</w:t>
      </w:r>
    </w:p>
    <w:p>
      <w:pPr>
        <w:pStyle w:val="ListBullet"/>
      </w:pPr>
      <w:r>
        <w:t>Any development and debugging activities not explicitly in scope.</w:t>
      </w:r>
    </w:p>
    <w:p>
      <w:pPr>
        <w:pStyle w:val="ListBullet"/>
      </w:pPr>
      <w:r>
        <w:t>Managing and supporting systems and devices not allowing ways of integration.</w:t>
      </w:r>
    </w:p>
    <w:p>
      <w:pPr>
        <w:pStyle w:val="ListBullet"/>
      </w:pPr>
      <w:r>
        <w:t>Operating 3rd party systems aside from the systems included in this scope.</w:t>
      </w:r>
    </w:p>
    <w:p>
      <w:pPr>
        <w:pStyle w:val="ListBullet"/>
      </w:pPr>
      <w:r>
        <w:t>Any implementation of identity systems not included in this proposal scope.</w:t>
      </w:r>
    </w:p>
    <w:p>
      <w:r>
        <w:t>*This module is a placeholder pending content authoring. Do not include in a live proposal without completing the module content and SME review.*</w:t>
      </w:r>
    </w:p>
    <w:p/>
    <w:p>
      <w:pPr>
        <w:pStyle w:val="Heading1"/>
      </w:pPr>
      <w:r>
        <w:t>StackX Backup</w:t>
      </w:r>
    </w:p>
    <w:p>
      <w:pPr>
        <w:pStyle w:val="Heading2"/>
      </w:pPr>
      <w:r>
        <w:t>Overview</w:t>
      </w:r>
    </w:p>
    <w:p>
      <w:r>
        <w:t>*[Placeholder — module to be authored from source material describing StackX Backup.]*</w:t>
      </w:r>
    </w:p>
    <w:p>
      <w:pPr>
        <w:pStyle w:val="Heading2"/>
      </w:pPr>
      <w:r>
        <w:t>To be authored</w:t>
      </w:r>
    </w:p>
    <w:p>
      <w:r>
        <w:t>This module's content is to be authored from the source material for StackX Backup before the module is included in a live proposal. Until then, include only with explicit subject-matter review.</w:t>
      </w:r>
    </w:p>
    <w:p>
      <w:pPr>
        <w:pStyle w:val="Heading2"/>
      </w:pPr>
      <w:r>
        <w:t>Typical scope areas (to be confirmed from source)</w:t>
      </w:r>
    </w:p>
    <w:p>
      <w:r>
        <w:t>Backup capability areas typically include:</w:t>
      </w:r>
    </w:p>
    <w:p>
      <w:pPr>
        <w:pStyle w:val="Heading2"/>
      </w:pPr>
      <w:r>
        <w:t>Figure — Backup Architecture / Backup Policy Flow</w:t>
      </w:r>
    </w:p>
    <w:p>
      <w:r>
        <w:t>&lt;!-- IMAGE PLACEMENT GUIDANCE — insert approved generic image here --&gt;</w:t>
        <w:br/>
        <w:t>&lt;!-- Recommended image: a generic backup architecture diagram showing backup sources, backup repository/target, backup policies (full/incremental/differential), retention, and recovery path — with recovery targets agreed per bid (not assumed). No customer-specific data-source names, no customer-specific retention figures, no customer site names. --&gt;</w:t>
        <w:br/>
        <w:t>&lt;!-- Suggested source: generic backup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backup architecture / policy-flow diagram here. See image-placement guidance notes.]*</w:t>
      </w:r>
    </w:p>
    <w:p>
      <w:pPr>
        <w:pStyle w:val="ListBullet"/>
      </w:pPr>
      <w:r>
        <w:t>Backup strategy design and implementation per system and business service</w:t>
      </w:r>
    </w:p>
    <w:p>
      <w:pPr>
        <w:pStyle w:val="ListBullet"/>
      </w:pPr>
      <w:r>
        <w:t>Data protection across on-premises and cloud workloads</w:t>
      </w:r>
    </w:p>
    <w:p>
      <w:pPr>
        <w:pStyle w:val="ListBullet"/>
      </w:pPr>
      <w:r>
        <w:t>Backup scheduling, retention, and recovery point objectives</w:t>
      </w:r>
    </w:p>
    <w:p>
      <w:pPr>
        <w:pStyle w:val="ListBullet"/>
      </w:pPr>
      <w:r>
        <w:t>Backup validation and restore testing</w:t>
      </w:r>
    </w:p>
    <w:p>
      <w:pPr>
        <w:pStyle w:val="ListBullet"/>
      </w:pPr>
      <w:r>
        <w:t>Integration with existing backup platforms where applicable</w:t>
      </w:r>
    </w:p>
    <w:p>
      <w:pPr>
        <w:pStyle w:val="ListBullet"/>
      </w:pPr>
      <w:r>
        <w:t>Backup security and ransomware resilience considerations</w:t>
      </w:r>
    </w:p>
    <w:p>
      <w:pPr>
        <w:pStyle w:val="Heading2"/>
      </w:pPr>
      <w:r>
        <w:t>Out-of-Scope (explicitly)</w:t>
      </w:r>
    </w:p>
    <w:p>
      <w:pPr>
        <w:pStyle w:val="ListBullet"/>
      </w:pPr>
      <w:r>
        <w:t>Any backup, network, and security activities not explicitly in scope.</w:t>
      </w:r>
    </w:p>
    <w:p>
      <w:pPr>
        <w:pStyle w:val="ListBullet"/>
      </w:pPr>
      <w:r>
        <w:t>Any backup solution procurement or licensing unless explicitly in scope.</w:t>
      </w:r>
    </w:p>
    <w:p>
      <w:pPr>
        <w:pStyle w:val="ListBullet"/>
      </w:pPr>
      <w:r>
        <w:t>Operating 3rd party systems aside from the systems included in this scope.</w:t>
      </w:r>
    </w:p>
    <w:p>
      <w:pPr>
        <w:pStyle w:val="ListBullet"/>
      </w:pPr>
      <w:r>
        <w:t>Disaster recovery (DR) activities unless explicitly in scope.</w:t>
      </w:r>
    </w:p>
    <w:p>
      <w:r>
        <w:t>*This module is a placeholder pending content authoring. Do not include in a live proposal without completing the module content and SME review.*</w:t>
      </w:r>
    </w:p>
    <w:p/>
    <w:p>
      <w:pPr>
        <w:pStyle w:val="Heading1"/>
      </w:pPr>
      <w:r>
        <w:t>StackX Operations Monitoring &amp; Configuration Management Enterprise Management</w:t>
      </w:r>
    </w:p>
    <w:p>
      <w:pPr>
        <w:pStyle w:val="Heading2"/>
      </w:pPr>
      <w:r>
        <w:t>Overview</w:t>
      </w:r>
    </w:p>
    <w:p>
      <w:r>
        <w:t>*[Placeholder — module to be authored from source material describing StackX Operations Monitoring &amp; Configuration Management Enterprise Management.]*</w:t>
      </w:r>
    </w:p>
    <w:p>
      <w:pPr>
        <w:pStyle w:val="Heading2"/>
      </w:pPr>
      <w:r>
        <w:t>To be authored</w:t>
      </w:r>
    </w:p>
    <w:p>
      <w:r>
        <w:t>This module's content is to be authored from the source material for StackX Operations Monitoring &amp; Configuration Management Enterprise Management before the module is included in a live proposal. Until then, include only with explicit subject-matter review.</w:t>
      </w:r>
    </w:p>
    <w:p>
      <w:pPr>
        <w:pStyle w:val="Heading2"/>
      </w:pPr>
      <w:r>
        <w:t>Typical scope areas (to be confirmed from source)</w:t>
      </w:r>
    </w:p>
    <w:p>
      <w:r>
        <w:t>Operations Monitoring &amp; Configuration Management Enterprise Management capability areas typically include:</w:t>
      </w:r>
    </w:p>
    <w:p>
      <w:pPr>
        <w:pStyle w:val="Heading2"/>
      </w:pPr>
      <w:r>
        <w:t>Figure — Configuration Management Workflow / Change Flow</w:t>
      </w:r>
    </w:p>
    <w:p>
      <w:r>
        <w:t>&lt;!-- IMAGE PLACEMENT GUIDANCE — insert approved generic image here --&gt;</w:t>
        <w:br/>
        <w:t>&lt;!-- Recommended image: a generic configuration-management workflow diagram showing baseline configuration, change control, drift detection, compliance check, and remediation — aligned to the change-management cross-reference ({{section_change_mgmt}}). No customer-specific configuration item names, no customer-specific system names, no customer site names. --&gt;</w:t>
        <w:br/>
        <w:t>&lt;!-- Suggested source: generic configuration-management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configuration-management / change-flow diagram here. See image-placement guidance notes.]*</w:t>
      </w:r>
    </w:p>
    <w:p>
      <w:pPr>
        <w:pStyle w:val="ListBullet"/>
      </w:pPr>
      <w:r>
        <w:t>Configuration Management Database (CMDB) design and maintenance</w:t>
      </w:r>
    </w:p>
    <w:p>
      <w:pPr>
        <w:pStyle w:val="ListBullet"/>
      </w:pPr>
      <w:r>
        <w:t>Configuration item (CI) discovery, reconciliation, and relationship mapping</w:t>
      </w:r>
    </w:p>
    <w:p>
      <w:pPr>
        <w:pStyle w:val="ListBullet"/>
      </w:pPr>
      <w:r>
        <w:t>Continuous configuration monitoring and drift detection</w:t>
      </w:r>
    </w:p>
    <w:p>
      <w:pPr>
        <w:pStyle w:val="ListBullet"/>
      </w:pPr>
      <w:r>
        <w:t>Change and release configuration control</w:t>
      </w:r>
    </w:p>
    <w:p>
      <w:pPr>
        <w:pStyle w:val="ListBullet"/>
      </w:pPr>
      <w:r>
        <w:t>Compliance and configuration baseline enforcement</w:t>
      </w:r>
    </w:p>
    <w:p>
      <w:pPr>
        <w:pStyle w:val="ListBullet"/>
      </w:pPr>
      <w:r>
        <w:t>Integration with ITSM change/incident/problem management</w:t>
      </w:r>
    </w:p>
    <w:p>
      <w:pPr>
        <w:pStyle w:val="Heading2"/>
      </w:pPr>
      <w:r>
        <w:t>Out-of-Scope (explicitly)</w:t>
      </w:r>
    </w:p>
    <w:p>
      <w:pPr>
        <w:pStyle w:val="ListBullet"/>
      </w:pPr>
      <w:r>
        <w:t>Any configuration of business virtual machines hosted on DeviceX not explicitly in scope.</w:t>
      </w:r>
    </w:p>
    <w:p>
      <w:pPr>
        <w:pStyle w:val="ListBullet"/>
      </w:pPr>
      <w:r>
        <w:t>Managing and supporting systems and devices not allowing ways of integration.</w:t>
      </w:r>
    </w:p>
    <w:p>
      <w:pPr>
        <w:pStyle w:val="ListBullet"/>
      </w:pPr>
      <w:r>
        <w:t>Operating 3rd party systems aside from the systems included in this scope.</w:t>
      </w:r>
    </w:p>
    <w:p>
      <w:pPr>
        <w:pStyle w:val="ListBullet"/>
      </w:pPr>
      <w:r>
        <w:t>Any development and debugging activities not explicitly in scope.</w:t>
      </w:r>
    </w:p>
    <w:p>
      <w:r>
        <w:t>*This module is a placeholder pending content authoring. Do not include in a live proposal without completing the module content and SME review.*</w:t>
      </w:r>
    </w:p>
    <w:p/>
    <w:p>
      <w:pPr>
        <w:pStyle w:val="Heading1"/>
      </w:pPr>
      <w:r>
        <w:t>StackX Network Operations Enterprise Management</w:t>
      </w:r>
    </w:p>
    <w:p>
      <w:pPr>
        <w:pStyle w:val="Heading2"/>
      </w:pPr>
      <w:r>
        <w:t>Overview</w:t>
      </w:r>
    </w:p>
    <w:p>
      <w:r>
        <w:t>*[Placeholder — module to be authored from source material describing StackX Network Operations Enterprise Management.]*</w:t>
      </w:r>
    </w:p>
    <w:p>
      <w:pPr>
        <w:pStyle w:val="Heading2"/>
      </w:pPr>
      <w:r>
        <w:t>To be authored</w:t>
      </w:r>
    </w:p>
    <w:p>
      <w:r>
        <w:t>This module's content is to be authored from the source material for StackX Network Operations Enterprise Management before the module is included in a live proposal. Until then, include only with explicit subject-matter review.</w:t>
      </w:r>
    </w:p>
    <w:p>
      <w:pPr>
        <w:pStyle w:val="Heading2"/>
      </w:pPr>
      <w:r>
        <w:t>Typical scope areas (to be confirmed from source)</w:t>
      </w:r>
    </w:p>
    <w:p>
      <w:r>
        <w:t>Network Operations Enterprise Management capability areas typically include:</w:t>
      </w:r>
    </w:p>
    <w:p>
      <w:pPr>
        <w:pStyle w:val="Heading2"/>
      </w:pPr>
      <w:r>
        <w:t>Figure — Network Operations Dashboard / Topology Map</w:t>
      </w:r>
    </w:p>
    <w:p>
      <w:r>
        <w:t>&lt;!-- IMAGE PLACEMENT GUIDANCE — insert approved generic image here --&gt;</w:t>
        <w:br/>
        <w:t>&lt;!-- Recommended image: a generic network-operations dashboard / interactive topology-map diagram showing live network topology, port utilisation heatmaps, bandwidth traffic graphs, and link-flap alerts — aligned to the "how many network devices to be monitored" scope-number slot ({{services_network_devices}}) in the Professional Services module. No customer-specific device names, no customer-specific interface descriptions that reveal the customer's business (e.g. "Telemedicine Workstation", "Examination Camera"), no customer site names. --&gt;</w:t>
        <w:br/>
        <w:t>&lt;!-- Suggested source: Telemedicine proposal §3.8 / §3.9 (StackX Network Monitoring, SNMP LLD, topology mapping, traffic heatmaps, network alarm escalation) — genericise the diagram; strip any "clinic", "telemedicine workstation", "examination camera", "WAN uplink" labels that reveal a specific customer environment.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network-operations dashboard / topology-map diagram here. See image-placement guidance notes.]*</w:t>
      </w:r>
    </w:p>
    <w:p>
      <w:pPr>
        <w:pStyle w:val="ListBullet"/>
      </w:pPr>
      <w:r>
        <w:t>Enterprise network monitoring and performance management</w:t>
      </w:r>
    </w:p>
    <w:p>
      <w:pPr>
        <w:pStyle w:val="ListBullet"/>
      </w:pPr>
      <w:r>
        <w:t>Network health and availability monitoring</w:t>
      </w:r>
    </w:p>
    <w:p>
      <w:pPr>
        <w:pStyle w:val="ListBullet"/>
      </w:pPr>
      <w:r>
        <w:t>Topology discovery and dependency mapping for network devices</w:t>
      </w:r>
    </w:p>
    <w:p>
      <w:pPr>
        <w:pStyle w:val="ListBullet"/>
      </w:pPr>
      <w:r>
        <w:t>Bandwidth utilization, latency, and traffic analysis</w:t>
      </w:r>
    </w:p>
    <w:p>
      <w:pPr>
        <w:pStyle w:val="ListBullet"/>
      </w:pPr>
      <w:r>
        <w:t>Network device configuration and change tracking</w:t>
      </w:r>
    </w:p>
    <w:p>
      <w:pPr>
        <w:pStyle w:val="ListBullet"/>
      </w:pPr>
      <w:r>
        <w:t>Alerting, trending, and capacity reporting for network infrastructure</w:t>
      </w:r>
    </w:p>
    <w:p>
      <w:pPr>
        <w:pStyle w:val="ListBullet"/>
      </w:pPr>
      <w:r>
        <w:t>Integration with network device vendor telemetry (switch, router, firewall, load balancer, wireless controller)</w:t>
      </w:r>
    </w:p>
    <w:p>
      <w:pPr>
        <w:pStyle w:val="Heading2"/>
      </w:pPr>
      <w:r>
        <w:t>Out-of-Scope (explicitly)</w:t>
      </w:r>
    </w:p>
    <w:p>
      <w:pPr>
        <w:pStyle w:val="ListBullet"/>
      </w:pPr>
      <w:r>
        <w:t>Any design changes to the existing network environment unless explicitly in scope.</w:t>
      </w:r>
    </w:p>
    <w:p>
      <w:pPr>
        <w:pStyle w:val="ListBullet"/>
      </w:pPr>
      <w:r>
        <w:t>Managing and supporting network devices not allowing ways of integration with StackX.</w:t>
      </w:r>
    </w:p>
    <w:p>
      <w:pPr>
        <w:pStyle w:val="ListBullet"/>
      </w:pPr>
      <w:r>
        <w:t>Operating 3rd party network systems aside from the systems included in this scope.</w:t>
      </w:r>
    </w:p>
    <w:p>
      <w:pPr>
        <w:pStyle w:val="ListBullet"/>
      </w:pPr>
      <w:r>
        <w:t>Any development and debugging activities not explicitly in scope.</w:t>
      </w:r>
    </w:p>
    <w:p>
      <w:pPr>
        <w:pStyle w:val="ListBullet"/>
      </w:pPr>
      <w:r>
        <w:t>Any civil, electrical, or power/UPS work related to network infrastructure.</w:t>
      </w:r>
    </w:p>
    <w:p>
      <w:r>
        <w:t>*This module is a placeholder pending content authoring. Do not include in a live proposal without completing the module content and SME review.*</w:t>
      </w:r>
    </w:p>
    <w:p/>
    <w:p>
      <w:pPr>
        <w:pStyle w:val="Heading1"/>
      </w:pPr>
      <w:r>
        <w:t>StackX ITSM Platform Enterprise Management</w:t>
      </w:r>
    </w:p>
    <w:p>
      <w:pPr>
        <w:pStyle w:val="Heading2"/>
      </w:pPr>
      <w:r>
        <w:t>Overview</w:t>
      </w:r>
    </w:p>
    <w:p>
      <w:r>
        <w:t>StackX ITSM Platform Enterprise Management provides IT service management capabilities aligned to ITIL v4 best practices, integrated with the broader StackX platform for incident, problem, and change management, service catalog, and operational governance.</w:t>
      </w:r>
    </w:p>
    <w:p>
      <w:pPr>
        <w:pStyle w:val="Heading2"/>
      </w:pPr>
      <w:r>
        <w:t>Capabilities</w:t>
      </w:r>
    </w:p>
    <w:p>
      <w:pPr>
        <w:pStyle w:val="ListBullet"/>
      </w:pPr>
      <w:r>
        <w:t>Incident, problem, and change management aligned to ITIL v4</w:t>
      </w:r>
    </w:p>
    <w:p>
      <w:pPr>
        <w:pStyle w:val="ListBullet"/>
      </w:pPr>
      <w:r>
        <w:t>Service catalog management reflecting the customer's operational and strategic objectives</w:t>
      </w:r>
    </w:p>
    <w:p>
      <w:pPr>
        <w:pStyle w:val="ListBullet"/>
      </w:pPr>
      <w:r>
        <w:t>Structured escalation pathways and collaborative workflows to enhance resolution efficiency</w:t>
      </w:r>
    </w:p>
    <w:p>
      <w:pPr>
        <w:pStyle w:val="ListBullet"/>
      </w:pPr>
      <w:r>
        <w:t>Integration with StackX monitoring, observability, and automation for event-driven incident generation and closure</w:t>
      </w:r>
    </w:p>
    <w:p>
      <w:pPr>
        <w:pStyle w:val="ListBullet"/>
      </w:pPr>
      <w:r>
        <w:t>ITSM policy and procedure implementation and fine-tuning to align with the customer's objectives and governance model</w:t>
      </w:r>
    </w:p>
    <w:p>
      <w:pPr>
        <w:pStyle w:val="ListBullet"/>
      </w:pPr>
      <w:r>
        <w:t>Cabinet (CAB) and stakeholder support for data-driven decision-making</w:t>
      </w:r>
    </w:p>
    <w:p>
      <w:pPr>
        <w:pStyle w:val="ListBullet"/>
      </w:pPr>
      <w:r>
        <w:t>Customer-facing access to approved standard actions and service requests</w:t>
      </w:r>
    </w:p>
    <w:p>
      <w:pPr>
        <w:pStyle w:val="ListBullet"/>
      </w:pPr>
      <w:r>
        <w:t>Reporting and analytics for service performance, compliance, and efficiency</w:t>
      </w:r>
    </w:p>
    <w:p>
      <w:pPr>
        <w:pStyle w:val="Heading2"/>
      </w:pPr>
      <w:r>
        <w:t>StackX ITSM Integration Context</w:t>
      </w:r>
    </w:p>
    <w:p>
      <w:pPr>
        <w:pStyle w:val="ListBullet"/>
      </w:pPr>
      <w:r>
        <w:t>StackX Observability and APM feeds event correlation into ITSM for automatic incident generation and closure</w:t>
      </w:r>
    </w:p>
    <w:p>
      <w:pPr>
        <w:pStyle w:val="ListBullet"/>
      </w:pPr>
      <w:r>
        <w:t>StackX Automation &amp; Orchestration executes approved standard actions and remediation workflows from ITSM</w:t>
      </w:r>
    </w:p>
    <w:p>
      <w:pPr>
        <w:pStyle w:val="ListBullet"/>
      </w:pPr>
      <w:r>
        <w:t>StackX Compliance Assurance and Operations Integrity supports ITSM-governed change and compliance evidence</w:t>
      </w:r>
    </w:p>
    <w:p>
      <w:pPr>
        <w:pStyle w:val="ListBullet"/>
      </w:pPr>
      <w:r>
        <w:t>StackX Endpoint Management and Network Operations integrate with ITSM for configuration-item (CI) context and operational ticketing</w:t>
      </w:r>
    </w:p>
    <w:p>
      <w:pPr>
        <w:pStyle w:val="Heading2"/>
      </w:pPr>
      <w:r>
        <w:t>Monitoring-to-Incident Workflow</w:t>
      </w:r>
    </w:p>
    <w:p>
      <w:r>
        <w:t>The following workflow shows how event telemetry is converted into managed incidents. It is a reusable operating pattern; the exact mappings, signatures, assignment rules and OLA application are defined per engagement.</w:t>
      </w:r>
    </w:p>
    <w:tbl>
      <w:tblPr>
        <w:tblStyle w:val="TableGrid"/>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What happens</w:t>
            </w:r>
          </w:p>
        </w:tc>
      </w:tr>
      <w:tr>
        <w:tc>
          <w:tcPr>
            <w:tcW w:type="dxa" w:w="4320"/>
          </w:tcPr>
          <w:p>
            <w:r>
              <w:t>-------</w:t>
            </w:r>
          </w:p>
        </w:tc>
        <w:tc>
          <w:tcPr>
            <w:tcW w:type="dxa" w:w="4320"/>
          </w:tcPr>
          <w:p>
            <w:r>
              <w:t>--------------</w:t>
            </w:r>
          </w:p>
        </w:tc>
      </w:tr>
      <w:tr>
        <w:tc>
          <w:tcPr>
            <w:tcW w:type="dxa" w:w="4320"/>
          </w:tcPr>
          <w:p>
            <w:r>
              <w:t>Detection</w:t>
            </w:r>
          </w:p>
        </w:tc>
        <w:tc>
          <w:tcPr>
            <w:tcW w:type="dxa" w:w="4320"/>
          </w:tcPr>
          <w:p>
            <w:r>
              <w:t>StackX Network Monitoring or StackX Log Management identifies an event such as link loss, high packet discards, a firewall event, an endpoint alert, or a certificate problem.</w:t>
            </w:r>
          </w:p>
        </w:tc>
      </w:tr>
      <w:tr>
        <w:tc>
          <w:tcPr>
            <w:tcW w:type="dxa" w:w="4320"/>
          </w:tcPr>
          <w:p>
            <w:r>
              <w:t>Normalisation</w:t>
            </w:r>
          </w:p>
        </w:tc>
        <w:tc>
          <w:tcPr>
            <w:tcW w:type="dxa" w:w="4320"/>
          </w:tcPr>
          <w:p>
            <w:r>
              <w:t>The integration maps the event to a location, site, service, asset, priority and event signature.</w:t>
            </w:r>
          </w:p>
        </w:tc>
      </w:tr>
      <w:tr>
        <w:tc>
          <w:tcPr>
            <w:tcW w:type="dxa" w:w="4320"/>
          </w:tcPr>
          <w:p>
            <w:r>
              <w:t>Correlation and deduplication</w:t>
            </w:r>
          </w:p>
        </w:tc>
        <w:tc>
          <w:tcPr>
            <w:tcW w:type="dxa" w:w="4320"/>
          </w:tcPr>
          <w:p>
            <w:r>
              <w:t>Repeated alarms are grouped so that one underlying fault does not create an uncontrolled ticket storm.</w:t>
            </w:r>
          </w:p>
        </w:tc>
      </w:tr>
      <w:tr>
        <w:tc>
          <w:tcPr>
            <w:tcW w:type="dxa" w:w="4320"/>
          </w:tcPr>
          <w:p>
            <w:r>
              <w:t>Ticket creation or enrichment</w:t>
            </w:r>
          </w:p>
        </w:tc>
        <w:tc>
          <w:tcPr>
            <w:tcW w:type="dxa" w:w="4320"/>
          </w:tcPr>
          <w:p>
            <w:r>
              <w:t>StackX ITSM creates or updates an incident and includes the event ID, timestamps, affected CI, evidence link, and current condition.</w:t>
            </w:r>
          </w:p>
        </w:tc>
      </w:tr>
      <w:tr>
        <w:tc>
          <w:tcPr>
            <w:tcW w:type="dxa" w:w="4320"/>
          </w:tcPr>
          <w:p>
            <w:r>
              <w:t>Assignment and escalation</w:t>
            </w:r>
          </w:p>
        </w:tc>
        <w:tc>
          <w:tcPr>
            <w:tcW w:type="dxa" w:w="4320"/>
          </w:tcPr>
          <w:p>
            <w:r>
              <w:t>Rules assign to the correct location, network, security, platform or service team and apply the appropriate OLA.</w:t>
            </w:r>
          </w:p>
        </w:tc>
      </w:tr>
      <w:tr>
        <w:tc>
          <w:tcPr>
            <w:tcW w:type="dxa" w:w="4320"/>
          </w:tcPr>
          <w:p>
            <w:r>
              <w:t>Resolution and closure</w:t>
            </w:r>
          </w:p>
        </w:tc>
        <w:tc>
          <w:tcPr>
            <w:tcW w:type="dxa" w:w="4320"/>
          </w:tcPr>
          <w:p>
            <w:r>
              <w:t>The resolver records action, service restoration time, root cause where known, workaround, and closure code; major incidents receive a review.</w:t>
            </w:r>
          </w:p>
        </w:tc>
      </w:tr>
    </w:tbl>
    <w:p>
      <w:pPr>
        <w:pStyle w:val="Heading2"/>
      </w:pPr>
      <w:r>
        <w:t>Figure — ITSM Service Desk / Incident &amp; Request Workflow</w:t>
      </w:r>
    </w:p>
    <w:p>
      <w:r>
        <w:t>&lt;!-- IMAGE PLACEMENT GUIDANCE — insert approved generic image here --&gt;</w:t>
        <w:br/>
        <w:t>&lt;!-- Recommended image: a generic ITSM service-desk dashboard image showing ticket counts, open-ticket lists, navigation structure, and dashboard-oriented visibility — plus an incident-to-resolution workflow diagram (monitoring → alert → triage → investigation → resolution → closure) and a request-fulfilment / change / major-incident operating workflow. No customer-specific service-desk configuration, no customer-specific category/workflow/asset names, no customer site names. --&gt;</w:t>
        <w:br/>
        <w:t>&lt;!-- Suggested source: Telemedicine proposal §3.9 (StackX ITSM) "Figure 2. STACKX product overview reference image" and "Figure 3. STACKX ticket timeline reference screenshot" — these are explicit "official STACKX reference screenshots"; use only as a composition reference, and produce or source a generic / Verto-Wave-branded equivalent configured with the customer's entities for the final proposal. Also EGYCash "Figure 1: Smart Service Desk" — composition reference only.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ITSM service-desk / incident-workflow diagram here. See image-placement guidance notes.]*</w:t>
      </w:r>
    </w:p>
    <w:p>
      <w:pPr>
        <w:pStyle w:val="Heading2"/>
      </w:pPr>
      <w:r>
        <w:t>Operating Workflows</w:t>
      </w:r>
    </w:p>
    <w:p>
      <w:r>
        <w:t>The following are representative operating workflows the StackX ITSM service can implement. They are shown as a reusable template; the exact workflows, approvals and notifications are designed per engagement.</w:t>
      </w:r>
    </w:p>
    <w:p>
      <w:pPr>
        <w:pStyle w:val="Heading3"/>
      </w:pPr>
      <w:r>
        <w:t>Request Fulfilment</w:t>
      </w:r>
    </w:p>
    <w:p>
      <w:r>
        <w:t>A requester selects a service from the catalog, supplies structured information, and submits the request. StackX ITSM validates eligibility and access rights, applies an approval path where required, assigns the task to the responsible group, tracks fulfilment steps, sends notifications, and closes the request after confirmation or defined administrative closure.</w:t>
      </w:r>
    </w:p>
    <w:p>
      <w:pPr>
        <w:pStyle w:val="Heading3"/>
      </w:pPr>
      <w:r>
        <w:t>Change Workflow</w:t>
      </w:r>
    </w:p>
    <w:p>
      <w:r>
        <w:t>A change is raised against one or more configuration items and services. The change manager or designated approver evaluates risk, confirms the maintenance window, validates implementation and rollback plans, authorises execution, records implementation evidence, and performs a post-implementation review. Emergency changes must retain the same evidence after execution even where prior approval is bypassed.</w:t>
      </w:r>
    </w:p>
    <w:p>
      <w:pPr>
        <w:pStyle w:val="Heading3"/>
      </w:pPr>
      <w:r>
        <w:t>Major Incident Workflow</w:t>
      </w:r>
    </w:p>
    <w:p>
      <w:r>
        <w:t>A major incident creates a coordinated response record with incident commander, technical workstreams, communications owner, customer-impact statement, update cadence, decision log, and recovery milestones. For an active service outage, the response should prioritise service restoration, preserve evidence, coordinate platform and carrier investigations, and trigger a problem record when the incident is closed.</w:t>
      </w:r>
    </w:p>
    <w:p>
      <w:pPr>
        <w:pStyle w:val="Heading2"/>
      </w:pPr>
      <w:r>
        <w:t>Reference Screenshots Note</w:t>
      </w:r>
    </w:p>
    <w:p>
      <w:r>
        <w:t>The following note is provided for the bid team on how to handle third-party reference screenshots in an ITSM section:</w:t>
      </w:r>
    </w:p>
    <w:p>
      <w:r>
        <w:t>&gt; Equivalent platform reference screenshots may be included to illustrate the underlying technology. In the StackX ITSM service, equivalent screens would be presented under the StackX brand and configured with the customer's entities, categories, workflows, assets and service catalog. Any screenshots are included transparently and are not represented as screenshots of a separately developed product.</w:t>
      </w:r>
    </w:p>
    <w:p>
      <w:pPr>
        <w:pStyle w:val="Heading2"/>
      </w:pPr>
      <w:r>
        <w:t>Out-of-Scope (explicitly)</w:t>
      </w:r>
    </w:p>
    <w:p>
      <w:pPr>
        <w:pStyle w:val="ListBullet"/>
      </w:pPr>
      <w:r>
        <w:t>Any ITSM platform implementation or migration not explicitly in scope</w:t>
      </w:r>
    </w:p>
    <w:p>
      <w:pPr>
        <w:pStyle w:val="ListBullet"/>
      </w:pPr>
      <w:r>
        <w:t>Operating 3rd party ITSM systems aside from the systems included in this scope</w:t>
      </w:r>
    </w:p>
    <w:p>
      <w:pPr>
        <w:pStyle w:val="ListBullet"/>
      </w:pPr>
      <w:r>
        <w:t>Any development and debugging activities not explicitly in scope</w:t>
      </w:r>
    </w:p>
    <w:p>
      <w:pPr>
        <w:pStyle w:val="ListBullet"/>
      </w:pPr>
      <w:r>
        <w:t>Any development of custom ITSM workflows outside agreed scope</w:t>
      </w:r>
    </w:p>
    <w:p>
      <w:r>
        <w:t>*This module is a reusable building block. Confirm per bid whether StackX ITSM is included, whether it integrates with an existing customer ITSM, and the scope of ITSM policy/procedure implementation and fine-tuning. The monitoring-to-incident workflow, operating workflows and screenshot-guidance note are platform-agnostic patterns — tailor the example event types and assignment rules to the current engagement.*</w:t>
      </w:r>
    </w:p>
    <w:p/>
    <w:p>
      <w:pPr>
        <w:pStyle w:val="Heading1"/>
      </w:pPr>
      <w:r>
        <w:t>StackX Application Lifecycle Management (ALM) Enterprise Management</w:t>
      </w:r>
    </w:p>
    <w:p>
      <w:pPr>
        <w:pStyle w:val="Heading2"/>
      </w:pPr>
      <w:r>
        <w:t>Overview</w:t>
      </w:r>
    </w:p>
    <w:p>
      <w:r>
        <w:t>*[Placeholder — module to be authored from source material describing StackX Application Lifecycle Management (ALM) Enterprise Management.]*</w:t>
      </w:r>
    </w:p>
    <w:p>
      <w:pPr>
        <w:pStyle w:val="Heading2"/>
      </w:pPr>
      <w:r>
        <w:t>To be authored</w:t>
      </w:r>
    </w:p>
    <w:p>
      <w:r>
        <w:t>This module's content is to be authored from the source material for StackX Application Lifecycle Management (ALM) before the module is included in a live proposal. Until then, include only with explicit subject-matter review.</w:t>
      </w:r>
    </w:p>
    <w:p>
      <w:pPr>
        <w:pStyle w:val="Heading2"/>
      </w:pPr>
      <w:r>
        <w:t>Typical scope areas (to be confirmed from source)</w:t>
      </w:r>
    </w:p>
    <w:p>
      <w:r>
        <w:t>Application Lifecycle Management (ALM) Enterprise Management capability areas typically include:</w:t>
      </w:r>
    </w:p>
    <w:p>
      <w:pPr>
        <w:pStyle w:val="Heading2"/>
      </w:pPr>
      <w:r>
        <w:t>Figure — Asset Lifecycle / Asset Inventory Dashboard</w:t>
      </w:r>
    </w:p>
    <w:p>
      <w:r>
        <w:t>&lt;!-- IMAGE PLACEMENT GUIDANCE — insert approved generic image here --&gt;</w:t>
        <w:br/>
        <w:t>&lt;!-- Recommended image: a generic asset-lifecycle diagram showing procurement/onboarding, deployment, maintenance, renewal/replacement, and decommissioning — plus an asset-inventory dashboard showing asset register, status, and ownership. No customer-specific asset names, no customer-specific serial numbers, no customer site names. --&gt;</w:t>
        <w:br/>
        <w:t>&lt;!-- Suggested source: generic ALM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asset-lifecycle / asset-inventory diagram here. See image-placement guidance notes.]*</w:t>
      </w:r>
    </w:p>
    <w:p>
      <w:pPr>
        <w:pStyle w:val="ListBullet"/>
      </w:pPr>
      <w:r>
        <w:t>Application lifecycle governance from requirements through retirement</w:t>
      </w:r>
    </w:p>
    <w:p>
      <w:pPr>
        <w:pStyle w:val="ListBullet"/>
      </w:pPr>
      <w:r>
        <w:t>Requirement tracking and traceablity across the application portfolio</w:t>
      </w:r>
    </w:p>
    <w:p>
      <w:pPr>
        <w:pStyle w:val="ListBullet"/>
      </w:pPr>
      <w:r>
        <w:t>Release planning and go/no-go governance for application changes</w:t>
      </w:r>
    </w:p>
    <w:p>
      <w:pPr>
        <w:pStyle w:val="ListBullet"/>
      </w:pPr>
      <w:r>
        <w:t>Application change advisory and impact assessment</w:t>
      </w:r>
    </w:p>
    <w:p>
      <w:pPr>
        <w:pStyle w:val="ListBullet"/>
      </w:pPr>
      <w:r>
        <w:t>Integration with ITSM for application-related changes, incidents and problems</w:t>
      </w:r>
    </w:p>
    <w:p>
      <w:pPr>
        <w:pStyle w:val="ListBullet"/>
      </w:pPr>
      <w:r>
        <w:t>Application portfolio inventory and rationalisation support</w:t>
      </w:r>
    </w:p>
    <w:p>
      <w:pPr>
        <w:pStyle w:val="Heading2"/>
      </w:pPr>
      <w:r>
        <w:t>Out-of-Scope (explicitly)</w:t>
      </w:r>
    </w:p>
    <w:p>
      <w:pPr>
        <w:pStyle w:val="ListBullet"/>
      </w:pPr>
      <w:r>
        <w:t>Any development and debugging activities not explicitly in scope.</w:t>
      </w:r>
    </w:p>
    <w:p>
      <w:pPr>
        <w:pStyle w:val="ListBullet"/>
      </w:pPr>
      <w:r>
        <w:t>Managing and supporting systems and devices not allowing ways of integration.</w:t>
      </w:r>
    </w:p>
    <w:p>
      <w:pPr>
        <w:pStyle w:val="ListBullet"/>
      </w:pPr>
      <w:r>
        <w:t>Operating 3rd party systems aside from the systems included in this scope.</w:t>
      </w:r>
    </w:p>
    <w:p>
      <w:pPr>
        <w:pStyle w:val="ListBullet"/>
      </w:pPr>
      <w:r>
        <w:t>Any implementation of application lifecycle tooling not included in this proposal scope.</w:t>
      </w:r>
    </w:p>
    <w:p>
      <w:r>
        <w:t>*This module is a placeholder pending content authoring. Do not include in a live proposal without completing the module content and SME review.*</w:t>
      </w:r>
    </w:p>
    <w:p/>
    <w:p>
      <w:pPr>
        <w:pStyle w:val="Heading1"/>
      </w:pPr>
      <w:r>
        <w:t>StackX Compliance Assurance System</w:t>
      </w:r>
    </w:p>
    <w:p>
      <w:pPr>
        <w:pStyle w:val="Heading2"/>
      </w:pPr>
      <w:r>
        <w:t>Overview</w:t>
      </w:r>
    </w:p>
    <w:p>
      <w:r>
        <w:t>*[Placeholder — module to be authored from source material describing StackX Compliance Assurance System.]*</w:t>
      </w:r>
    </w:p>
    <w:p>
      <w:pPr>
        <w:pStyle w:val="Heading2"/>
      </w:pPr>
      <w:r>
        <w:t>To be authored</w:t>
      </w:r>
    </w:p>
    <w:p>
      <w:r>
        <w:t>This module's content is to be authored from the source material for StackX Compliance Assurance System before the module is included in a live proposal. Until then, include only with explicit subject-matter review.</w:t>
      </w:r>
    </w:p>
    <w:p>
      <w:pPr>
        <w:pStyle w:val="Heading2"/>
      </w:pPr>
      <w:r>
        <w:t>Typical scope areas (to be confirmed from source)</w:t>
      </w:r>
    </w:p>
    <w:p>
      <w:r>
        <w:t>Compliance Assurance capability areas typically include:</w:t>
      </w:r>
    </w:p>
    <w:p>
      <w:pPr>
        <w:pStyle w:val="Heading2"/>
      </w:pPr>
      <w:r>
        <w:t>Figure — Compliance Framework / Audit-Trail Diagram</w:t>
      </w:r>
    </w:p>
    <w:p>
      <w:r>
        <w:t>&lt;!-- IMAGE PLACEMENT GUIDANCE — insert approved generic image here --&gt;</w:t>
        <w:br/>
        <w:t>&lt;!-- Recommended image: a generic compliance-framework diagram showing compliance domains, controls, evidence, and audit trail — aligned to the customer's compliance framework confirmed per bid. No customer-specific control names that reveal the customer's regulatory regime beyond what is agreed, no customer site names. --&gt;</w:t>
        <w:br/>
        <w:t>&lt;!-- Suggested source: generic compliance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compliance-framework / audit-trail diagram here. See image-placement guidance notes.]*</w:t>
      </w:r>
    </w:p>
    <w:p>
      <w:pPr>
        <w:pStyle w:val="ListBullet"/>
      </w:pPr>
      <w:r>
        <w:t>Compliance dashboard usage for regulatory and standards alignment (e.g., CIS, PCI-DSS, and other relevant frameworks)</w:t>
      </w:r>
    </w:p>
    <w:p>
      <w:pPr>
        <w:pStyle w:val="ListBullet"/>
      </w:pPr>
      <w:r>
        <w:t>Monitoring where data resides and ensuring encryption-at-rest compliance</w:t>
      </w:r>
    </w:p>
    <w:p>
      <w:pPr>
        <w:pStyle w:val="ListBullet"/>
      </w:pPr>
      <w:r>
        <w:t>Automated compliance reporting for standards and regulatory requirements</w:t>
      </w:r>
    </w:p>
    <w:p>
      <w:pPr>
        <w:pStyle w:val="ListBullet"/>
      </w:pPr>
      <w:r>
        <w:t>Compliance evidence collection and reporting for audits</w:t>
      </w:r>
    </w:p>
    <w:p>
      <w:pPr>
        <w:pStyle w:val="ListBullet"/>
      </w:pPr>
      <w:r>
        <w:t>Contextual compliance views for the customer's applicable regulations where relevant</w:t>
      </w:r>
    </w:p>
    <w:p>
      <w:pPr>
        <w:pStyle w:val="ListBullet"/>
      </w:pPr>
      <w:r>
        <w:t>Integration with configuration management and security controls for compliance posture</w:t>
      </w:r>
    </w:p>
    <w:p>
      <w:pPr>
        <w:pStyle w:val="Heading2"/>
      </w:pPr>
      <w:r>
        <w:t>Out-of-Scope (explicitly)</w:t>
      </w:r>
    </w:p>
    <w:p>
      <w:pPr>
        <w:pStyle w:val="ListBullet"/>
      </w:pPr>
      <w:r>
        <w:t>Any security penetration testing, vulnerability assessment, code review, and forensics activities not explicitly in scope.</w:t>
      </w:r>
    </w:p>
    <w:p>
      <w:pPr>
        <w:pStyle w:val="ListBullet"/>
      </w:pPr>
      <w:r>
        <w:t>Any compliance certification or attestation not explicitly in scope.</w:t>
      </w:r>
    </w:p>
    <w:p>
      <w:pPr>
        <w:pStyle w:val="ListBullet"/>
      </w:pPr>
      <w:r>
        <w:t>Operating 3rd party systems aside from the systems included in this scope.</w:t>
      </w:r>
    </w:p>
    <w:p>
      <w:pPr>
        <w:pStyle w:val="ListBullet"/>
      </w:pPr>
      <w:r>
        <w:t>Any development and debugging activities not explicitly in scope.</w:t>
      </w:r>
    </w:p>
    <w:p>
      <w:r>
        <w:t>*This module is a placeholder pending content authoring. Do not include in a live proposal without completing the module content and SME review.*</w:t>
      </w:r>
    </w:p>
    <w:p/>
    <w:p>
      <w:pPr>
        <w:pStyle w:val="Heading1"/>
      </w:pPr>
      <w:r>
        <w:t>StackX Operations Integrity Platform</w:t>
      </w:r>
    </w:p>
    <w:p>
      <w:pPr>
        <w:pStyle w:val="Heading2"/>
      </w:pPr>
      <w:r>
        <w:t>Overview</w:t>
      </w:r>
    </w:p>
    <w:p>
      <w:r>
        <w:t>*[Placeholder — module to be authored from source material describing the StackX Operations Integrity Platform.]*</w:t>
      </w:r>
    </w:p>
    <w:p>
      <w:pPr>
        <w:pStyle w:val="Heading2"/>
      </w:pPr>
      <w:r>
        <w:t>To be authored</w:t>
      </w:r>
    </w:p>
    <w:p>
      <w:r>
        <w:t>This module's content is to be authored from the source material for the StackX Operations Integrity Platform before the module is included in a live proposal. Until then, include only with explicit subject-matter review.</w:t>
      </w:r>
    </w:p>
    <w:p>
      <w:pPr>
        <w:pStyle w:val="Heading2"/>
      </w:pPr>
      <w:r>
        <w:t>Sub-components (to be confirmed from source)</w:t>
      </w:r>
    </w:p>
    <w:p>
      <w:pPr>
        <w:pStyle w:val="Heading3"/>
      </w:pPr>
      <w:r>
        <w:t>Systems Operations Integrity</w:t>
      </w:r>
    </w:p>
    <w:p>
      <w:r>
        <w:t>Operational integrity capabilities typically include:</w:t>
      </w:r>
    </w:p>
    <w:p>
      <w:pPr>
        <w:pStyle w:val="ListBullet"/>
      </w:pPr>
      <w:r>
        <w:t>Systems operations integrity monitoring and enforcement</w:t>
      </w:r>
    </w:p>
    <w:p>
      <w:pPr>
        <w:pStyle w:val="ListBullet"/>
      </w:pPr>
      <w:r>
        <w:t>Configuration and change integrity baselines</w:t>
      </w:r>
    </w:p>
    <w:p>
      <w:pPr>
        <w:pStyle w:val="ListBullet"/>
      </w:pPr>
      <w:r>
        <w:t>Operational control validation for in-scope systems</w:t>
      </w:r>
    </w:p>
    <w:p>
      <w:pPr>
        <w:pStyle w:val="ListBullet"/>
      </w:pPr>
      <w:r>
        <w:t>Integrity reporting for governance and audit</w:t>
      </w:r>
    </w:p>
    <w:p>
      <w:pPr>
        <w:pStyle w:val="Heading3"/>
      </w:pPr>
      <w:r>
        <w:t>DeviceX SASE &amp; ZTNA Framework</w:t>
      </w:r>
    </w:p>
    <w:p>
      <w:r>
        <w:t>Zero Trust Network Access (ZTNA) and SASE framework capabilities typically include:</w:t>
      </w:r>
    </w:p>
    <w:p>
      <w:pPr>
        <w:pStyle w:val="Heading2"/>
      </w:pPr>
      <w:r>
        <w:t>Figure — Operations Integrity / Integrity-Check Flow</w:t>
      </w:r>
    </w:p>
    <w:p>
      <w:r>
        <w:t>&lt;!-- IMAGE PLACEMENT GUIDANCE — insert approved generic image here --&gt;</w:t>
        <w:br/>
        <w:t>&lt;!-- Recommended image: a generic operations-integrity diagram showing integrity monitoring, baseline comparison, anomaly detection, and integrity-check/remediation flow. No customer-specific integrity-check targets, no customer-specific system names, no customer site names. --&gt;</w:t>
        <w:br/>
        <w:t>&lt;!-- Suggested source: generic operations-integrity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operations-integrity / integrity-check-flow diagram here. See image-placement guidance notes.]*</w:t>
      </w:r>
    </w:p>
    <w:p>
      <w:pPr>
        <w:pStyle w:val="ListBullet"/>
      </w:pPr>
      <w:r>
        <w:t>Device visibility and profiling for policy-driven access</w:t>
      </w:r>
    </w:p>
    <w:p>
      <w:pPr>
        <w:pStyle w:val="ListBullet"/>
      </w:pPr>
      <w:r>
        <w:t>Zero Trust enforcement for access to internal assets</w:t>
      </w:r>
    </w:p>
    <w:p>
      <w:pPr>
        <w:pStyle w:val="ListBullet"/>
      </w:pPr>
      <w:r>
        <w:t>On-prem edge ZTNA technology</w:t>
      </w:r>
    </w:p>
    <w:p>
      <w:pPr>
        <w:pStyle w:val="ListBullet"/>
      </w:pPr>
      <w:r>
        <w:t>LAN/WAN conditional secure access controls</w:t>
      </w:r>
    </w:p>
    <w:p>
      <w:pPr>
        <w:pStyle w:val="ListBullet"/>
      </w:pPr>
      <w:r>
        <w:t>Device health assessment for access decisions</w:t>
      </w:r>
    </w:p>
    <w:p>
      <w:pPr>
        <w:pStyle w:val="ListBullet"/>
      </w:pPr>
      <w:r>
        <w:t>User authentication integration against common identity technologies</w:t>
      </w:r>
    </w:p>
    <w:p>
      <w:pPr>
        <w:pStyle w:val="ListBullet"/>
      </w:pPr>
      <w:r>
        <w:t>Protection of internal assets through ZTNA policy</w:t>
      </w:r>
    </w:p>
    <w:p>
      <w:pPr>
        <w:pStyle w:val="Heading3"/>
      </w:pPr>
      <w:r>
        <w:t>Integrated Security Controls &amp; Case Management</w:t>
      </w:r>
    </w:p>
    <w:p>
      <w:r>
        <w:t>Integrated security control and case management capabilities typically include:</w:t>
      </w:r>
    </w:p>
    <w:p>
      <w:pPr>
        <w:pStyle w:val="ListBullet"/>
      </w:pPr>
      <w:r>
        <w:t>Integrated security control enforcement across in-scope systems</w:t>
      </w:r>
    </w:p>
    <w:p>
      <w:pPr>
        <w:pStyle w:val="ListBullet"/>
      </w:pPr>
      <w:r>
        <w:t>Centralized case management for security and operational incidents</w:t>
      </w:r>
    </w:p>
    <w:p>
      <w:pPr>
        <w:pStyle w:val="ListBullet"/>
      </w:pPr>
      <w:r>
        <w:t>Workflow and collaboration for incident handlers</w:t>
      </w:r>
    </w:p>
    <w:p>
      <w:pPr>
        <w:pStyle w:val="ListBullet"/>
      </w:pPr>
      <w:r>
        <w:t>Role-based access control for case management and incident handling</w:t>
      </w:r>
    </w:p>
    <w:p>
      <w:pPr>
        <w:pStyle w:val="ListBullet"/>
      </w:pPr>
      <w:r>
        <w:t>Integration with SIEM, ITSM, and observability for unified incident context</w:t>
      </w:r>
    </w:p>
    <w:p>
      <w:pPr>
        <w:pStyle w:val="Heading2"/>
      </w:pPr>
      <w:r>
        <w:t>Out-of-Scope (explicitly)</w:t>
      </w:r>
    </w:p>
    <w:p>
      <w:pPr>
        <w:pStyle w:val="ListBullet"/>
      </w:pPr>
      <w:r>
        <w:t>Any security penetration testing, vulnerability assessment, code review, and forensics activities unless explicitly in scope.</w:t>
      </w:r>
    </w:p>
    <w:p>
      <w:pPr>
        <w:pStyle w:val="ListBullet"/>
      </w:pPr>
      <w:r>
        <w:t>Any ZTNA/SASE implementation for components that don't support standard protocols used by DeviceX.</w:t>
      </w:r>
    </w:p>
    <w:p>
      <w:pPr>
        <w:pStyle w:val="ListBullet"/>
      </w:pPr>
      <w:r>
        <w:t>Operating 3rd party systems aside from the systems included in this scope.</w:t>
      </w:r>
    </w:p>
    <w:p>
      <w:pPr>
        <w:pStyle w:val="ListBullet"/>
      </w:pPr>
      <w:r>
        <w:t>Any development and debugging activities not explicitly in scope.</w:t>
      </w:r>
    </w:p>
    <w:p>
      <w:r>
        <w:t>*This module is a placeholder pending content authoring. Do not include in a live proposal without completing the module content and SME review.*</w:t>
      </w:r>
    </w:p>
    <w:p/>
    <w:p>
      <w:pPr>
        <w:pStyle w:val="Heading1"/>
      </w:pPr>
      <w:r>
        <w:t>StackX Call Center Management</w:t>
      </w:r>
    </w:p>
    <w:p>
      <w:pPr>
        <w:pStyle w:val="Heading2"/>
      </w:pPr>
      <w:r>
        <w:t>Overview</w:t>
      </w:r>
    </w:p>
    <w:p>
      <w:r>
        <w:t>*[Placeholder — module to be authored from source material describing StackX Call Center Management.]*</w:t>
      </w:r>
    </w:p>
    <w:p>
      <w:pPr>
        <w:pStyle w:val="Heading2"/>
      </w:pPr>
      <w:r>
        <w:t>To be authored</w:t>
      </w:r>
    </w:p>
    <w:p>
      <w:r>
        <w:t>This module's content is to be authored from the source material for StackX Call Center Management before the module is included in a live proposal. Until then, include only with explicit subject-matter review.</w:t>
      </w:r>
    </w:p>
    <w:p>
      <w:pPr>
        <w:pStyle w:val="Heading2"/>
      </w:pPr>
      <w:r>
        <w:t>Typical scope areas (to be confirmed from source)</w:t>
      </w:r>
    </w:p>
    <w:p>
      <w:r>
        <w:t>Call Center Management capability areas typically include:</w:t>
      </w:r>
    </w:p>
    <w:p>
      <w:pPr>
        <w:pStyle w:val="Heading2"/>
      </w:pPr>
      <w:r>
        <w:t>Figure — Call-Center Architecture / Call Flow</w:t>
      </w:r>
    </w:p>
    <w:p>
      <w:r>
        <w:t>&lt;!-- IMAGE PLACEMENT GUIDANCE — insert approved generic image here --&gt;</w:t>
        <w:br/>
        <w:t>&lt;!-- Recommended image: a generic call-center architecture diagram showing inbound/outbound routing, queues, agents, and reporting — plus a call-flow diagram. No customer-specific queue names, no customer-specific agent roles, no customer site names. --&gt;</w:t>
        <w:br/>
        <w:t>&lt;!-- Suggested source: generic call-center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call-center architecture / call-flow diagram here. See image-placement guidance notes.]*</w:t>
      </w:r>
    </w:p>
    <w:p>
      <w:pPr>
        <w:pStyle w:val="ListBullet"/>
      </w:pPr>
      <w:r>
        <w:t>Call routing, queuing and distribution across available agents</w:t>
      </w:r>
    </w:p>
    <w:p>
      <w:pPr>
        <w:pStyle w:val="ListBullet"/>
      </w:pPr>
      <w:r>
        <w:t>Interactive Voice Response (IVR) design and administration</w:t>
      </w:r>
    </w:p>
    <w:p>
      <w:pPr>
        <w:pStyle w:val="ListBullet"/>
      </w:pPr>
      <w:r>
        <w:t>Agent and supervisor dashboards and real-time monitoring</w:t>
      </w:r>
    </w:p>
    <w:p>
      <w:pPr>
        <w:pStyle w:val="ListBullet"/>
      </w:pPr>
      <w:r>
        <w:t>Call recording, retention and playback</w:t>
      </w:r>
    </w:p>
    <w:p>
      <w:pPr>
        <w:pStyle w:val="ListBullet"/>
      </w:pPr>
      <w:r>
        <w:t>Workforce management and scheduling support</w:t>
      </w:r>
    </w:p>
    <w:p>
      <w:pPr>
        <w:pStyle w:val="ListBullet"/>
      </w:pPr>
      <w:r>
        <w:t>Integration with platform telephony and ITSM for service-driven call handling</w:t>
      </w:r>
    </w:p>
    <w:p>
      <w:pPr>
        <w:pStyle w:val="Heading2"/>
      </w:pPr>
      <w:r>
        <w:t>Out-of-Scope (explicitly)</w:t>
      </w:r>
    </w:p>
    <w:p>
      <w:pPr>
        <w:pStyle w:val="ListBullet"/>
      </w:pPr>
      <w:r>
        <w:t>Any communication with telco operators.</w:t>
      </w:r>
    </w:p>
    <w:p>
      <w:pPr>
        <w:pStyle w:val="ListBullet"/>
      </w:pPr>
      <w:r>
        <w:t>Any telephony numbering, VoIP or data-service licensing and regulatory permits.</w:t>
      </w:r>
    </w:p>
    <w:p>
      <w:pPr>
        <w:pStyle w:val="ListBullet"/>
      </w:pPr>
      <w:r>
        <w:t>Any configuration of the underlying telephony platform not included in this proposal scope.</w:t>
      </w:r>
    </w:p>
    <w:p>
      <w:pPr>
        <w:pStyle w:val="ListBullet"/>
      </w:pPr>
      <w:r>
        <w:t>Operating 3rd party call centre systems aside from the systems included in this scope.</w:t>
      </w:r>
    </w:p>
    <w:p>
      <w:pPr>
        <w:pStyle w:val="ListBullet"/>
      </w:pPr>
      <w:r>
        <w:t>Any development and debugging activities not explicitly in scope.</w:t>
      </w:r>
    </w:p>
    <w:p>
      <w:r>
        <w:t>*This module is a placeholder pending content authoring. Do not include in a live proposal without completing the module content and SME review.*</w:t>
      </w:r>
    </w:p>
    <w:p/>
    <w:p>
      <w:pPr>
        <w:pStyle w:val="Heading1"/>
      </w:pPr>
      <w:r>
        <w:t>StackX Event &amp; Log Management (SIEM)</w:t>
      </w:r>
    </w:p>
    <w:p>
      <w:pPr>
        <w:pStyle w:val="Heading2"/>
      </w:pPr>
      <w:r>
        <w:t>Overview</w:t>
      </w:r>
    </w:p>
    <w:p>
      <w:r>
        <w:t>StackX Event and Log Management serves as the primary SIEM ingestion hub to parse, enrich, and store telemetry from network assets, cloud environments, and applications. It is the foundational data platform for security monitoring, compliance logging, and operational event correlation.</w:t>
      </w:r>
    </w:p>
    <w:p>
      <w:pPr>
        <w:pStyle w:val="Heading2"/>
      </w:pPr>
      <w:r>
        <w:t>Key Capabilities</w:t>
      </w:r>
    </w:p>
    <w:p>
      <w:pPr>
        <w:pStyle w:val="ListBullet"/>
      </w:pPr>
      <w:r>
        <w:t>Operate the StackX SIEM as the primary ingestion hub to parse, enrich, and store telemetry from network assets, cloud environments, and applications</w:t>
      </w:r>
    </w:p>
    <w:p>
      <w:pPr>
        <w:pStyle w:val="ListBullet"/>
      </w:pPr>
      <w:r>
        <w:t>Execute real-time log correlation and automatically map detected threats to the out-of-the-box MITRE ATT&amp;CK framework</w:t>
      </w:r>
    </w:p>
    <w:p>
      <w:pPr>
        <w:pStyle w:val="ListBullet"/>
      </w:pPr>
      <w:r>
        <w:t>Manage dynamic data retention tiers (hot, warm, cold, and frozen) to optimize storage costs while ensuring data remains available for compliance and security auditing</w:t>
      </w:r>
    </w:p>
    <w:p>
      <w:pPr>
        <w:pStyle w:val="ListBullet"/>
      </w:pPr>
      <w:r>
        <w:t>Run complex correlation rules and machine learning jobs across years of historical data in milliseconds utilizing the platform's distributed search and analytics engine</w:t>
      </w:r>
    </w:p>
    <w:p>
      <w:pPr>
        <w:pStyle w:val="Heading2"/>
      </w:pPr>
      <w:r>
        <w:t>Data and Architecture</w:t>
      </w:r>
    </w:p>
    <w:p>
      <w:pPr>
        <w:pStyle w:val="ListBullet"/>
      </w:pPr>
      <w:r>
        <w:t>Centralized log ingestion from on-premises and cloud sources</w:t>
      </w:r>
    </w:p>
    <w:p>
      <w:pPr>
        <w:pStyle w:val="ListBullet"/>
      </w:pPr>
      <w:r>
        <w:t>Event parsing, enrichment, and normalization into a common schema</w:t>
      </w:r>
    </w:p>
    <w:p>
      <w:pPr>
        <w:pStyle w:val="ListBullet"/>
      </w:pPr>
      <w:r>
        <w:t>Dynamic retention tiers for cost-optimized storage and compliance availability</w:t>
      </w:r>
    </w:p>
    <w:p>
      <w:pPr>
        <w:pStyle w:val="ListBullet"/>
      </w:pPr>
      <w:r>
        <w:t>Distributed search and analytics engine for fast querying across large historical datasets</w:t>
      </w:r>
    </w:p>
    <w:p>
      <w:pPr>
        <w:pStyle w:val="ListBullet"/>
      </w:pPr>
      <w:r>
        <w:t>Real-time correlation rules with MITRE ATT&amp;CK mapping</w:t>
      </w:r>
    </w:p>
    <w:p>
      <w:pPr>
        <w:pStyle w:val="Heading2"/>
      </w:pPr>
      <w:r>
        <w:t>Figure — Event Log Management Architecture / Log Flow</w:t>
      </w:r>
    </w:p>
    <w:p>
      <w:r>
        <w:t>&lt;!-- IMAGE PLACEMENT GUIDANCE — insert approved generic image here --&gt;</w:t>
        <w:br/>
        <w:t>&lt;!-- Recommended image: a generic event-log-management architecture diagram showing log sources, collection, normalisation, storage, correlation, retention, and reporting/forensics access. No customer-specific log-source names, no customer-specific retention figures, no customer site names. --&gt;</w:t>
        <w:br/>
        <w:t>&lt;!-- Suggested source: generic event-log-management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event-log-management architecture / log-flow diagram here. See image-placement guidance notes.]*</w:t>
      </w:r>
    </w:p>
    <w:p>
      <w:pPr>
        <w:pStyle w:val="Heading2"/>
      </w:pPr>
      <w:r>
        <w:t>Integration Context</w:t>
      </w:r>
    </w:p>
    <w:p>
      <w:pPr>
        <w:pStyle w:val="ListBullet"/>
      </w:pPr>
      <w:r>
        <w:t>Feeds the StackX SOC Operations module for SIEM/SOAR, incident triage, and unified case management</w:t>
      </w:r>
    </w:p>
    <w:p>
      <w:pPr>
        <w:pStyle w:val="ListBullet"/>
      </w:pPr>
      <w:r>
        <w:t>Integrates with StackX Observability and APM for operational event correlation</w:t>
      </w:r>
    </w:p>
    <w:p>
      <w:pPr>
        <w:pStyle w:val="ListBullet"/>
      </w:pPr>
      <w:r>
        <w:t>Supports StackX Compliance Assurance reporting for audit and regulatory evidence</w:t>
      </w:r>
    </w:p>
    <w:p>
      <w:pPr>
        <w:pStyle w:val="ListBullet"/>
      </w:pPr>
      <w:r>
        <w:t>Provides log context for StackX Endpoint Management analytics and NDR analysis</w:t>
      </w:r>
    </w:p>
    <w:p>
      <w:pPr>
        <w:pStyle w:val="Heading2"/>
      </w:pPr>
      <w:r>
        <w:t>Out-of-Scope (explicitly)</w:t>
      </w:r>
    </w:p>
    <w:p>
      <w:pPr>
        <w:pStyle w:val="ListBullet"/>
      </w:pPr>
      <w:r>
        <w:t>Any security forensics activities not explicitly in scope</w:t>
      </w:r>
    </w:p>
    <w:p>
      <w:pPr>
        <w:pStyle w:val="ListBullet"/>
      </w:pPr>
      <w:r>
        <w:t>Any log source integration for systems not allowing ways of integration</w:t>
      </w:r>
    </w:p>
    <w:p>
      <w:pPr>
        <w:pStyle w:val="ListBullet"/>
      </w:pPr>
      <w:r>
        <w:t>Operating 3rd party log management systems aside from the systems included in this scope</w:t>
      </w:r>
    </w:p>
    <w:p>
      <w:pPr>
        <w:pStyle w:val="ListBullet"/>
      </w:pPr>
      <w:r>
        <w:t>Any development and debugging activities not explicitly in scope</w:t>
      </w:r>
    </w:p>
    <w:p>
      <w:r>
        <w:t>*This module is a reusable building block. Confirm per bid which log sources, cloud environments, and retention-tier requirements are in scope, and whether SIEM use is standalone or as part of the broader StackX SOC Operations module.*</w:t>
      </w:r>
    </w:p>
    <w:p/>
    <w:p>
      <w:pPr>
        <w:pStyle w:val="Heading1"/>
      </w:pPr>
      <w:r>
        <w:t>StackX SOC Operations (SIEM / SOAR / EDR / XDR / NDR / TIP / UEBA / VulnMgmt / CaseMgmt)</w:t>
      </w:r>
    </w:p>
    <w:p>
      <w:pPr>
        <w:pStyle w:val="Heading2"/>
      </w:pPr>
      <w:r>
        <w:t>Overview</w:t>
      </w:r>
    </w:p>
    <w:p>
      <w:r>
        <w:t>This section outlines the operational scope for a security monitoring and response capability, leveraging the StackX compliance and operations platform. The SOC will utilize advanced analytics, machine learning, and automation to transition from a reactive security posture to a proactive and predictive one.</w:t>
      </w:r>
    </w:p>
    <w:p>
      <w:r>
        <w:t>*[Note: This is a composite SOC module. Include it when a full SOC operations scope is required. Confirm per bid the depth of each sub-capability and whether any sub-capabilities are out of scope.]*</w:t>
      </w:r>
    </w:p>
    <w:p>
      <w:pPr>
        <w:pStyle w:val="Heading2"/>
      </w:pPr>
      <w:r>
        <w:t>How Each Security Capability Is Delivered</w:t>
      </w:r>
    </w:p>
    <w:p>
      <w:r>
        <w:t>Every security capability in this section is delivered in one of three ways. The distinction is stated plainly because it determines both cost and accountability, and because a security function assessing this proposal is entitled to know which controls the vendor operates and which it verifies.</w:t>
      </w:r>
    </w:p>
    <w:tbl>
      <w:tblPr>
        <w:tblStyle w:val="TableGrid"/>
        <w:tblW w:type="auto" w:w="0"/>
        <w:tblLook w:firstColumn="1" w:firstRow="1" w:lastColumn="0" w:lastRow="0" w:noHBand="0" w:noVBand="1" w:val="04A0"/>
      </w:tblPr>
      <w:tblGrid>
        <w:gridCol w:w="4320"/>
        <w:gridCol w:w="4320"/>
      </w:tblGrid>
      <w:tr>
        <w:tc>
          <w:tcPr>
            <w:tcW w:type="dxa" w:w="4320"/>
          </w:tcPr>
          <w:p>
            <w:r>
              <w:rPr>
                <w:b/>
              </w:rPr>
              <w:t>Delivery Mode</w:t>
            </w:r>
          </w:p>
        </w:tc>
        <w:tc>
          <w:tcPr>
            <w:tcW w:type="dxa" w:w="4320"/>
          </w:tcPr>
          <w:p>
            <w:r>
              <w:rPr>
                <w:b/>
              </w:rPr>
              <w:t>What It Means</w:t>
            </w:r>
          </w:p>
        </w:tc>
      </w:tr>
      <w:tr>
        <w:tc>
          <w:tcPr>
            <w:tcW w:type="dxa" w:w="4320"/>
          </w:tcPr>
          <w:p>
            <w:r>
              <w:t>---------------</w:t>
            </w:r>
          </w:p>
        </w:tc>
        <w:tc>
          <w:tcPr>
            <w:tcW w:type="dxa" w:w="4320"/>
          </w:tcPr>
          <w:p>
            <w:r>
              <w:t>---------------</w:t>
            </w:r>
          </w:p>
        </w:tc>
      </w:tr>
      <w:tr>
        <w:tc>
          <w:tcPr>
            <w:tcW w:type="dxa" w:w="4320"/>
          </w:tcPr>
          <w:p>
            <w:r>
              <w:t>Native</w:t>
            </w:r>
          </w:p>
        </w:tc>
        <w:tc>
          <w:tcPr>
            <w:tcW w:type="dxa" w:w="4320"/>
          </w:tcPr>
          <w:p>
            <w:r>
              <w:t>Delivered by the DeviceX and StackX platform itself. Already included in the platform build, with no additional license or operating cost.</w:t>
            </w:r>
          </w:p>
        </w:tc>
      </w:tr>
      <w:tr>
        <w:tc>
          <w:tcPr>
            <w:tcW w:type="dxa" w:w="4320"/>
          </w:tcPr>
          <w:p>
            <w:r>
              <w:t>Integrated</w:t>
            </w:r>
          </w:p>
        </w:tc>
        <w:tc>
          <w:tcPr>
            <w:tcW w:type="dxa" w:w="4320"/>
          </w:tcPr>
          <w:p>
            <w:r>
              <w:t>A specialist product selected, deployed, integrated and operated by Verto Wave within the agreed design. Operational accountability sits with Verto Wave; the product carries its own license and operating cost.</w:t>
            </w:r>
          </w:p>
        </w:tc>
      </w:tr>
      <w:tr>
        <w:tc>
          <w:tcPr>
            <w:tcW w:type="dxa" w:w="4320"/>
          </w:tcPr>
          <w:p>
            <w:r>
              <w:t>Assured</w:t>
            </w:r>
          </w:p>
        </w:tc>
        <w:tc>
          <w:tcPr>
            <w:tcW w:type="dxa" w:w="4320"/>
          </w:tcPr>
          <w:p>
            <w:r>
              <w:t>The control is executed by the application supplier or by the customer's own team. Verto Wave tests it independently, evidences the result and supervises remediation to closure. Ownership of the control remains with the party that executes it.</w:t>
            </w:r>
          </w:p>
        </w:tc>
      </w:tr>
    </w:tbl>
    <w:p>
      <w:pPr>
        <w:pStyle w:val="Heading2"/>
      </w:pPr>
      <w:r>
        <w:t>Centralized Threat Detection and SIEM Operations</w:t>
      </w:r>
    </w:p>
    <w:p>
      <w:pPr>
        <w:pStyle w:val="ListBullet"/>
      </w:pPr>
      <w:r>
        <w:t>Operate the StackX SIEM as the primary ingestion hub to parse, enrich, and store telemetry from network assets, cloud environments, and applications</w:t>
      </w:r>
    </w:p>
    <w:p>
      <w:pPr>
        <w:pStyle w:val="ListBullet"/>
      </w:pPr>
      <w:r>
        <w:t>Execute real-time log correlation and automatically map detected threats to the out-of-the-box MITRE ATT&amp;CK framework</w:t>
      </w:r>
    </w:p>
    <w:p>
      <w:pPr>
        <w:pStyle w:val="ListBullet"/>
      </w:pPr>
      <w:r>
        <w:t>Manage dynamic data retention tiers (hot, warm, cold, and frozen) to optimize storage costs while ensuring data remains available for compliance and security auditing</w:t>
      </w:r>
    </w:p>
    <w:p>
      <w:pPr>
        <w:pStyle w:val="ListBullet"/>
      </w:pPr>
      <w:r>
        <w:t>Run complex correlation rules and machine learning jobs across years of historical data in milliseconds utilizing the platform's distributed search and analytics engine</w:t>
      </w:r>
    </w:p>
    <w:p>
      <w:pPr>
        <w:pStyle w:val="Heading2"/>
      </w:pPr>
      <w:r>
        <w:t>Automated Response and SOAR Integration</w:t>
      </w:r>
    </w:p>
    <w:p>
      <w:pPr>
        <w:pStyle w:val="ListBullet"/>
      </w:pPr>
      <w:r>
        <w:t>Utilize the StackX SOAR automation engine to execute predefined API-driven playbooks across the entire security stack without manual human intervention</w:t>
      </w:r>
    </w:p>
    <w:p>
      <w:pPr>
        <w:pStyle w:val="ListBullet"/>
      </w:pPr>
      <w:r>
        <w:t>Implement automated threat intelligence enrichment and one-click containment execution to drastically reduce the Mean Time to Respond (MTTR)</w:t>
      </w:r>
    </w:p>
    <w:p>
      <w:pPr>
        <w:pStyle w:val="ListBullet"/>
      </w:pPr>
      <w:r>
        <w:t>Establish bidirectional workflow integrations with IT Service Management (ITSM) tools for seamless incident handling and resolution</w:t>
      </w:r>
    </w:p>
    <w:p>
      <w:pPr>
        <w:pStyle w:val="Heading2"/>
      </w:pPr>
      <w:r>
        <w:t>Endpoint and Extended Detection &amp; Response (EDR/XDR)</w:t>
      </w:r>
    </w:p>
    <w:p>
      <w:pPr>
        <w:pStyle w:val="ListBullet"/>
      </w:pPr>
      <w:r>
        <w:t>Deploy and monitor unified, tamper-proof agents to track kernel-level processes, memory access, and registry modifications across all endpoints</w:t>
      </w:r>
    </w:p>
    <w:p>
      <w:pPr>
        <w:pStyle w:val="ListBullet"/>
      </w:pPr>
      <w:r>
        <w:t>Stitch endpoint telemetry together with network and identity data for comprehensive cross-domain correlation using XDR capabilities</w:t>
      </w:r>
    </w:p>
    <w:p>
      <w:pPr>
        <w:pStyle w:val="ListBullet"/>
      </w:pPr>
      <w:r>
        <w:t>Enforce behavioral ransomware prevention, memory threat protection, and utilize remote shell capabilities for live forensics</w:t>
      </w:r>
    </w:p>
    <w:p>
      <w:pPr>
        <w:pStyle w:val="ListBullet"/>
      </w:pPr>
      <w:r>
        <w:t>Isolate compromised hosts immediately to stop zero-day exploits and fileless malware that bypass traditional signature-based antivirus solutions</w:t>
      </w:r>
    </w:p>
    <w:p>
      <w:pPr>
        <w:pStyle w:val="Heading2"/>
      </w:pPr>
      <w:r>
        <w:t>Network Traffic Analysis and Threat Intelligence</w:t>
      </w:r>
    </w:p>
    <w:p>
      <w:pPr>
        <w:pStyle w:val="ListBullet"/>
      </w:pPr>
      <w:r>
        <w:t>Analyze East-West and North-South network traffic flows utilizing Deep Packet Inspection (DPI) and protocol parsing via StackX NDR</w:t>
      </w:r>
    </w:p>
    <w:p>
      <w:pPr>
        <w:pStyle w:val="ListBullet"/>
      </w:pPr>
      <w:r>
        <w:t>Maintain full packet capture (PCAP) storage and conduct TLS/SSL decryption analysis to detect lateral movement, beaconing, or data exfiltration attempts</w:t>
      </w:r>
    </w:p>
    <w:p>
      <w:pPr>
        <w:pStyle w:val="ListBullet"/>
      </w:pPr>
      <w:r>
        <w:t>Aggregate structured threat data (STIX/TAXII) from open-source, commercial, and industry feeds through the StackX Threat Intelligence Platform (TIP)</w:t>
      </w:r>
    </w:p>
    <w:p>
      <w:pPr>
        <w:pStyle w:val="ListBullet"/>
      </w:pPr>
      <w:r>
        <w:t>Automate Indicator of Compromise (IoC) lifecycle management, profile threat actors, and seamlessly distribute blocklists to firewalls and endpoints</w:t>
      </w:r>
    </w:p>
    <w:p>
      <w:pPr>
        <w:pStyle w:val="Heading2"/>
      </w:pPr>
      <w:r>
        <w:t>Figure — SOC Architecture / Security Operations Workflow</w:t>
      </w:r>
    </w:p>
    <w:p>
      <w:r>
        <w:t>&lt;!-- IMAGE PLACEMENT GUIDANCE — insert approved generic image here --&gt;</w:t>
        <w:br/>
        <w:t>&lt;!-- Recommended image: a generic SOC architecture diagram showing the security-operations delivery model (Native / Integrated / Assured), security services areas, monitoring, detection, triage, investigation, response, and escalation — plus a SOC tiers / shift-model diagram where relevant. No customer-specific SOC tooling names beyond what is agreed, no customer-specific threat intel feeds, no customer site names. --&gt;</w:t>
        <w:br/>
        <w:t>&lt;!-- Suggested source: Telemedicine proposal §3.7 (StackX Security) + the security-model-at-a-glance concept — genericise the diagram; strip any "clinic", "Dubai management plane", or site-specific labels.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SOC architecture / security-operations-workflow diagram here. See image-placement guidance notes.]*</w:t>
      </w:r>
    </w:p>
    <w:p>
      <w:pPr>
        <w:pStyle w:val="Heading2"/>
      </w:pPr>
      <w:r>
        <w:t>Behavioural Analytics and Vulnerability Management</w:t>
      </w:r>
    </w:p>
    <w:p>
      <w:pPr>
        <w:pStyle w:val="ListBullet"/>
      </w:pPr>
      <w:r>
        <w:t>Leverage StackX UEBA unsupervised machine learning algorithms to build mathematical baselines of normal activity for every user, device, and service account over a 30-to-60-day period</w:t>
      </w:r>
    </w:p>
    <w:p>
      <w:pPr>
        <w:pStyle w:val="ListBullet"/>
      </w:pPr>
      <w:r>
        <w:t>Perform continuous peer group analysis, track anomalous logins, monitor excessive privilege usage, and assign automated risk scores to uncover malicious insiders or compromised credentials</w:t>
      </w:r>
    </w:p>
    <w:p>
      <w:pPr>
        <w:pStyle w:val="ListBullet"/>
      </w:pPr>
      <w:r>
        <w:t>Conduct active and passive scanning to identify missing patches, default passwords, and insecure configurations across the internal network and external attack surface</w:t>
      </w:r>
    </w:p>
    <w:p>
      <w:pPr>
        <w:pStyle w:val="ListBullet"/>
      </w:pPr>
      <w:r>
        <w:t>Prioritize vulnerabilities based on active exploitation trends and generate automated compliance reporting for standards such as CIS and PCI-DSS</w:t>
      </w:r>
    </w:p>
    <w:p>
      <w:pPr>
        <w:pStyle w:val="Heading2"/>
      </w:pPr>
      <w:r>
        <w:t>Incident Triage and Unified Case Management</w:t>
      </w:r>
    </w:p>
    <w:p>
      <w:pPr>
        <w:pStyle w:val="ListBullet"/>
      </w:pPr>
      <w:r>
        <w:t>Manage security incidents through a centralized ticketing and workflow engine integrated directly into the StackX console</w:t>
      </w:r>
    </w:p>
    <w:p>
      <w:pPr>
        <w:pStyle w:val="ListBullet"/>
      </w:pPr>
      <w:r>
        <w:t>Automate digital evidence gathering by immediately attaching PCAPs, endpoint logs, and threat intelligence to security tickets</w:t>
      </w:r>
    </w:p>
    <w:p>
      <w:pPr>
        <w:pStyle w:val="ListBullet"/>
      </w:pPr>
      <w:r>
        <w:t>Enforce role-based access control and integrated collaboration chat for incident handlers</w:t>
      </w:r>
    </w:p>
    <w:p>
      <w:pPr>
        <w:pStyle w:val="ListBullet"/>
      </w:pPr>
      <w:r>
        <w:t>Track comprehensive SLAs and provide management with clear dashboards detailing SOC efficiency and analyst performance</w:t>
      </w:r>
    </w:p>
    <w:p>
      <w:pPr>
        <w:pStyle w:val="Heading2"/>
      </w:pPr>
      <w:r>
        <w:t>Extended Security Services (optional, selected and quoted per service area)</w:t>
      </w:r>
    </w:p>
    <w:p>
      <w:r>
        <w:t>Everything described so far is delivered by the platform itself, and secures the network, the edge and the communications path. Where the customer prefers one accountable party across a wider picture rather than a platform supplier alone, Verto Wave can deliver the following services around the platform. These are scoped per service area; nothing in this list forms part of the platform build unless it is explicitly selected and separately quoted.</w:t>
      </w:r>
    </w:p>
    <w:p>
      <w:pPr>
        <w:pStyle w:val="ListBullet"/>
      </w:pPr>
      <w:r>
        <w:t>Identity and access — single sign-on and multi-factor authentication for users, including phishing-resistant factors, contextual authorization policy, and blocking of known-compromised credentials. Complements the machine identity model, which secures the nodes rather than the people using them.</w:t>
      </w:r>
    </w:p>
    <w:p>
      <w:pPr>
        <w:pStyle w:val="ListBullet"/>
      </w:pPr>
      <w:r>
        <w:t>Privileged access — credential vaulting, brokered administrative sessions, and session recording for privileged users, alongside the credential-free administration model already native to the platform.</w:t>
      </w:r>
    </w:p>
    <w:p>
      <w:pPr>
        <w:pStyle w:val="ListBullet"/>
      </w:pPr>
      <w:r>
        <w:t>Application edge protection — web application firewall, API gateway protection, and distributed denial-of-service mitigation in front of the published service, complementing the firewall and intrusion prevention enforced at every site.</w:t>
      </w:r>
    </w:p>
    <w:p>
      <w:pPr>
        <w:pStyle w:val="ListBullet"/>
      </w:pPr>
      <w:r>
        <w:t>Key and secret management — centralized key and secret custody: rotation, separation of key operator from key user, expiry alerting, and prevention of secrets held in code or configuration. Extends the hardware-sealed secret handling beyond the appliance itself.</w:t>
      </w:r>
    </w:p>
    <w:p>
      <w:pPr>
        <w:pStyle w:val="ListBullet"/>
      </w:pPr>
      <w:r>
        <w:t>Data protection — classification and tagging of sensitive data, masking of data used in non-production environments, and data-loss prevention on the endpoints that handle sensitive records.</w:t>
      </w:r>
    </w:p>
    <w:p>
      <w:pPr>
        <w:pStyle w:val="ListBullet"/>
      </w:pPr>
      <w:r>
        <w:t>Endpoint detection and response — a detection engine licensed and operated alongside the platform-managed endpoint agent and telemetry pipeline, so detection and response share one console with the rest of the estate.</w:t>
      </w:r>
    </w:p>
    <w:p>
      <w:pPr>
        <w:pStyle w:val="ListBullet"/>
      </w:pPr>
      <w:r>
        <w:t>Backup and continuity — backup design and operation, a documented disaster recovery plan, and recovery point and recovery time targets agreed with the customer and exercised on an agreed cycle.</w:t>
      </w:r>
    </w:p>
    <w:p>
      <w:pPr>
        <w:pStyle w:val="ListBullet"/>
      </w:pPr>
      <w:r>
        <w:t>Security assurance and testing — independent penetration testing coordinated by Verto Wave, application and interface security testing, and cloud configuration assessment, with findings tracked to closure in StackX ITSM.</w:t>
      </w:r>
    </w:p>
    <w:p>
      <w:pPr>
        <w:pStyle w:val="Heading2"/>
      </w:pPr>
      <w:r>
        <w:t>Delivery Mode Boundaries (generic)</w:t>
      </w:r>
    </w:p>
    <w:p>
      <w:pPr>
        <w:pStyle w:val="ListBullet"/>
      </w:pPr>
      <w:r>
        <w:t>Products are not named at proposal stage. Selection is made during design against the customer's existing security standards, held licenses, and the regulatory position in each operating location.</w:t>
      </w:r>
    </w:p>
    <w:p>
      <w:pPr>
        <w:pStyle w:val="ListBullet"/>
      </w:pPr>
      <w:r>
        <w:t>The application / application layer remains its supplier's product. Verto Wave does not write, modify, or assume ownership of the application's code. Where a control lives inside that application, the Verto Wave role is independent testing, evidencing, and supervision.</w:t>
      </w:r>
    </w:p>
    <w:p>
      <w:pPr>
        <w:pStyle w:val="ListBullet"/>
      </w:pPr>
      <w:r>
        <w:t>Recovery targets are agreed, not assumed. Recovery point and recovery time objectives are set during design against the customer's priorities. No figure is committed ahead of that exercise.</w:t>
      </w:r>
    </w:p>
    <w:p>
      <w:pPr>
        <w:pStyle w:val="ListBullet"/>
      </w:pPr>
      <w:r>
        <w:t>Customer-owned infrastructure stays customer-owned. Where a control depends on equipment or tenancy the customer supplies (access-layer switching, cloud accounts, directory services), the vendor's commitment is to design, verify, and evidence it, not to operate what it does not supply.</w:t>
      </w:r>
    </w:p>
    <w:p>
      <w:pPr>
        <w:pStyle w:val="ListBullet"/>
      </w:pPr>
      <w:r>
        <w:t>The connectivity boundary is unchanged. Wide-area access services remain a customer procurement. Selecting any security service does not alter that boundary.</w:t>
      </w:r>
    </w:p>
    <w:p>
      <w:pPr>
        <w:pStyle w:val="ListBullet"/>
      </w:pPr>
      <w:r>
        <w:t>Where the customer has issued a formal cybersecurity requirements document, Verto Wave provides a separate point-by-point compliance response mapping each stated requirement to one of the three delivery modes above. That response, not this section, is the correct artefact for a requirement-by-requirement assessment.</w:t>
      </w:r>
    </w:p>
    <w:p>
      <w:pPr>
        <w:pStyle w:val="Heading2"/>
      </w:pPr>
      <w:r>
        <w:t>Out-of-Scope (explicitly)</w:t>
      </w:r>
    </w:p>
    <w:p>
      <w:pPr>
        <w:pStyle w:val="ListBullet"/>
      </w:pPr>
      <w:r>
        <w:t>Security Penetration Testing, vulnerability assessment, code review, and Forensics activities, unless explicitly stated as in scope (note: many prior proposals explicitly exclude penetration testing, vulnerability assessment, code review, and forensics — confirm per bid whether any of these are requested)</w:t>
      </w:r>
    </w:p>
    <w:p>
      <w:pPr>
        <w:pStyle w:val="ListBullet"/>
      </w:pPr>
      <w:r>
        <w:t>Any development and debugging activities not explicitly in scope</w:t>
      </w:r>
    </w:p>
    <w:p>
      <w:pPr>
        <w:pStyle w:val="ListBullet"/>
      </w:pPr>
      <w:r>
        <w:t>Operating 3rd party security systems aside from the systems included in this scope</w:t>
      </w:r>
    </w:p>
    <w:p>
      <w:pPr>
        <w:pStyle w:val="ListBullet"/>
      </w:pPr>
      <w:r>
        <w:t>Managing and supporting systems and devices not allowing ways of integration</w:t>
      </w:r>
    </w:p>
    <w:p>
      <w:r>
        <w:t>*This module is a reusable building block. The SOC scope is the most sensitive area in the template — confirm with Security/Compliance SME per bid: which sub-capabilities are in scope, whether penetration testing/vulnerability assessment/code review/forensics are requested or explicitly excluded, whether certified SOC staff resourcing is in place, and which extended security services (if any) are selected. The Native/Integrated/Assured delivery-modes framing and the extended-security-services list are platform-agnostic — tailor the service list and naming policy to the current engagement.*</w:t>
      </w:r>
    </w:p>
    <w:p/>
    <w:p>
      <w:pPr>
        <w:pStyle w:val="Heading1"/>
      </w:pPr>
      <w:r>
        <w:t>StackX Security (SIEM / EDR / XDR / NDR / TIP / UEBA / VulnMgmt / CaseMgmt)</w:t>
      </w:r>
    </w:p>
    <w:p>
      <w:pPr>
        <w:pStyle w:val="Heading2"/>
      </w:pPr>
      <w:r>
        <w:t>Overview</w:t>
      </w:r>
    </w:p>
    <w:p>
      <w:r>
        <w:t>StackX Security provides a unified security monitoring and response capability that combines SIEM log ingestion and correlation, endpoint and extended detection and response (EDR/XDR), network traffic analysis (NDR), threat intelligence (TIP), user and entity behavioural analytics (UEBA), vulnerability management, and unified case management. It leverages advanced analytics, machine learning and automation to transition from a reactive security posture to a proactive and predictive one.</w:t>
      </w:r>
    </w:p>
    <w:p>
      <w:r>
        <w:t>*[Note: This is a composite security module. Include it when a security monitoring and response scope is required. Confirm per bid the depth of each sub-capability and whether any sub-capabilities are out of scope. Where a fuller SOC operations scope is required, use the `{{module_stackx_soc}}` composite SOC module instead or in addition.]*</w:t>
      </w:r>
    </w:p>
    <w:p>
      <w:pPr>
        <w:pStyle w:val="Heading2"/>
      </w:pPr>
      <w:r>
        <w:t>How Each Security Capability Is Delivered</w:t>
      </w:r>
    </w:p>
    <w:p>
      <w:r>
        <w:t>Every security capability in this section is delivered in one of three ways. The distinction is stated plainly because it determines both cost and accountability, and because a security function assessing this proposal is entitled to know which controls the vendor operates and which it verifies.</w:t>
      </w:r>
    </w:p>
    <w:tbl>
      <w:tblPr>
        <w:tblStyle w:val="TableGrid"/>
        <w:tblW w:type="auto" w:w="0"/>
        <w:tblLook w:firstColumn="1" w:firstRow="1" w:lastColumn="0" w:lastRow="0" w:noHBand="0" w:noVBand="1" w:val="04A0"/>
      </w:tblPr>
      <w:tblGrid>
        <w:gridCol w:w="4320"/>
        <w:gridCol w:w="4320"/>
      </w:tblGrid>
      <w:tr>
        <w:tc>
          <w:tcPr>
            <w:tcW w:type="dxa" w:w="4320"/>
          </w:tcPr>
          <w:p>
            <w:r>
              <w:rPr>
                <w:b/>
              </w:rPr>
              <w:t>Delivery Mode</w:t>
            </w:r>
          </w:p>
        </w:tc>
        <w:tc>
          <w:tcPr>
            <w:tcW w:type="dxa" w:w="4320"/>
          </w:tcPr>
          <w:p>
            <w:r>
              <w:rPr>
                <w:b/>
              </w:rPr>
              <w:t>What It Means</w:t>
            </w:r>
          </w:p>
        </w:tc>
      </w:tr>
      <w:tr>
        <w:tc>
          <w:tcPr>
            <w:tcW w:type="dxa" w:w="4320"/>
          </w:tcPr>
          <w:p>
            <w:r>
              <w:t>:---</w:t>
            </w:r>
          </w:p>
        </w:tc>
        <w:tc>
          <w:tcPr>
            <w:tcW w:type="dxa" w:w="4320"/>
          </w:tcPr>
          <w:p>
            <w:r>
              <w:t>:---</w:t>
            </w:r>
          </w:p>
        </w:tc>
      </w:tr>
      <w:tr>
        <w:tc>
          <w:tcPr>
            <w:tcW w:type="dxa" w:w="4320"/>
          </w:tcPr>
          <w:p>
            <w:r>
              <w:t>Native</w:t>
            </w:r>
          </w:p>
        </w:tc>
        <w:tc>
          <w:tcPr>
            <w:tcW w:type="dxa" w:w="4320"/>
          </w:tcPr>
          <w:p>
            <w:r>
              <w:t>Delivered by the DeviceX and StackX platform itself. Already included in the platform build, with no additional licence or operating cost.</w:t>
            </w:r>
          </w:p>
        </w:tc>
      </w:tr>
      <w:tr>
        <w:tc>
          <w:tcPr>
            <w:tcW w:type="dxa" w:w="4320"/>
          </w:tcPr>
          <w:p>
            <w:r>
              <w:t>Integrated</w:t>
            </w:r>
          </w:p>
        </w:tc>
        <w:tc>
          <w:tcPr>
            <w:tcW w:type="dxa" w:w="4320"/>
          </w:tcPr>
          <w:p>
            <w:r>
              <w:t>A specialist product selected, deployed, integrated and operated by Verto Wave within the agreed design. Operational accountability sits with Verto Wave; the product carries its own licence and operating cost.</w:t>
            </w:r>
          </w:p>
        </w:tc>
      </w:tr>
      <w:tr>
        <w:tc>
          <w:tcPr>
            <w:tcW w:type="dxa" w:w="4320"/>
          </w:tcPr>
          <w:p>
            <w:r>
              <w:t>Assured</w:t>
            </w:r>
          </w:p>
        </w:tc>
        <w:tc>
          <w:tcPr>
            <w:tcW w:type="dxa" w:w="4320"/>
          </w:tcPr>
          <w:p>
            <w:r>
              <w:t>The control is executed by the application supplier or by the customer's own team. Verto Wave tests it independently, evidences the result and supervises remediation to closure. Ownership of the control remains with the party that executes it.</w:t>
            </w:r>
          </w:p>
        </w:tc>
      </w:tr>
    </w:tbl>
    <w:p>
      <w:pPr>
        <w:pStyle w:val="Heading2"/>
      </w:pPr>
      <w:r>
        <w:t>SIEM — Log Ingestion, Correlation and Analytics</w:t>
      </w:r>
    </w:p>
    <w:p>
      <w:pPr>
        <w:pStyle w:val="ListBullet"/>
      </w:pPr>
      <w:r>
        <w:t>Operate the StackX SIEM as the primary ingestion hub to parse, enrich and store telemetry from network assets, cloud environments and applications.</w:t>
      </w:r>
    </w:p>
    <w:p>
      <w:pPr>
        <w:pStyle w:val="ListBullet"/>
      </w:pPr>
      <w:r>
        <w:t>Execute real-time log correlation and automatically map detected threats to the out-of-the-box MITRE ATT&amp;CK framework.</w:t>
      </w:r>
    </w:p>
    <w:p>
      <w:pPr>
        <w:pStyle w:val="ListBullet"/>
      </w:pPr>
      <w:r>
        <w:t>Manage dynamic data retention tiers (hot, warm, cold and frozen) to optimise storage costs while ensuring data remains available for compliance and security auditing.</w:t>
      </w:r>
    </w:p>
    <w:p>
      <w:pPr>
        <w:pStyle w:val="ListBullet"/>
      </w:pPr>
      <w:r>
        <w:t>Run complex correlation rules and machine learning jobs across large volumes of historical data using the platform's distributed search and analytics engine.</w:t>
      </w:r>
    </w:p>
    <w:p>
      <w:pPr>
        <w:pStyle w:val="Heading2"/>
      </w:pPr>
      <w:r>
        <w:t>EDR / XDR — Endpoint and Extended Detection &amp; Response</w:t>
      </w:r>
    </w:p>
    <w:p>
      <w:pPr>
        <w:pStyle w:val="ListBullet"/>
      </w:pPr>
      <w:r>
        <w:t>Deploy and monitor unified, tamper-proof agents to track kernel-level processes, memory access and registry modifications across all endpoints.</w:t>
      </w:r>
    </w:p>
    <w:p>
      <w:pPr>
        <w:pStyle w:val="ListBullet"/>
      </w:pPr>
      <w:r>
        <w:t>Stitch endpoint telemetry together with network and identity data for comprehensive cross-domain correlation using XDR capabilities.</w:t>
      </w:r>
    </w:p>
    <w:p>
      <w:pPr>
        <w:pStyle w:val="ListBullet"/>
      </w:pPr>
      <w:r>
        <w:t>Enforce behavioural ransomware prevention, memory threat protection and remote-shell capabilities for live forensics.</w:t>
      </w:r>
    </w:p>
    <w:p>
      <w:pPr>
        <w:pStyle w:val="ListBullet"/>
      </w:pPr>
      <w:r>
        <w:t>Isolate compromised hosts immediately to stop zero-day exploits and fileless malware that bypass traditional signature-based antivirus solutions.</w:t>
      </w:r>
    </w:p>
    <w:p>
      <w:pPr>
        <w:pStyle w:val="Heading2"/>
      </w:pPr>
      <w:r>
        <w:t>NDR — Network Traffic Analysis and Threat Intelligence</w:t>
      </w:r>
    </w:p>
    <w:p>
      <w:pPr>
        <w:pStyle w:val="ListBullet"/>
      </w:pPr>
      <w:r>
        <w:t>Analyse East-West and North-South network traffic flows using Deep Packet Inspection (DPI) and protocol parsing via StackX NDR.</w:t>
      </w:r>
    </w:p>
    <w:p>
      <w:pPr>
        <w:pStyle w:val="ListBullet"/>
      </w:pPr>
      <w:r>
        <w:t>Maintain full packet capture (PCAP) storage and conduct TLS/SSL decryption analysis to detect lateral movement, beaconing or data exfiltration attempts.</w:t>
      </w:r>
    </w:p>
    <w:p>
      <w:pPr>
        <w:pStyle w:val="ListBullet"/>
      </w:pPr>
      <w:r>
        <w:t>Aggregate structured threat data (STIX/TAXII) from open-source, commercial and industry feeds through the StackX Threat Intelligence Platform (TIP).</w:t>
      </w:r>
    </w:p>
    <w:p>
      <w:pPr>
        <w:pStyle w:val="ListBullet"/>
      </w:pPr>
      <w:r>
        <w:t>Automate Indicator of Compromise (IoC) lifecycle management, profile threat actors and distribute blocklists to firewalls and endpoints.</w:t>
      </w:r>
    </w:p>
    <w:p>
      <w:pPr>
        <w:pStyle w:val="Heading2"/>
      </w:pPr>
      <w:r>
        <w:t>UEBA and Vulnerability Management</w:t>
      </w:r>
    </w:p>
    <w:p>
      <w:pPr>
        <w:pStyle w:val="Heading2"/>
      </w:pPr>
      <w:r>
        <w:t>Figure — Security Architecture / Defence-in-Depth</w:t>
      </w:r>
    </w:p>
    <w:p>
      <w:r>
        <w:t>&lt;!-- IMAGE PLACEMENT GUIDANCE — insert approved generic image here --&gt;</w:t>
        <w:br/>
        <w:t>&lt;!-- Recommended image: a generic defence-in-depth / layered security architecture diagram showing the security capability layers (external boundary, internal visibility &amp; control, identity shield, data &amp; system integrity, continuity &amp; recovery, assurance &amp; oversight) and the delivery-mode framing (Native / Integrated / Assured). No customer-specific control names that reveal the customer's regulatory regime beyond what is agreed, no customer site names. --&gt;</w:t>
        <w:br/>
        <w:t>&lt;!-- Suggested source: Telemedicine proposal §3.7 (StackX Security) + the security-model-at-a-glance concept — genericise the diagram; strip any "clinic", "Dubai management plane", or site-specific labels.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security / defence-in-depth architecture diagram here. See image-placement guidance notes.]*</w:t>
      </w:r>
    </w:p>
    <w:p>
      <w:pPr>
        <w:pStyle w:val="ListBullet"/>
      </w:pPr>
      <w:r>
        <w:t>Leverage StackX UEBA unsupervised machine-learning algorithms to build mathematical baselines of normal activity for every user, device and service account over a 30-to-60-day period.</w:t>
      </w:r>
    </w:p>
    <w:p>
      <w:pPr>
        <w:pStyle w:val="ListBullet"/>
      </w:pPr>
      <w:r>
        <w:t>Perform continuous peer-group analysis, track anomalous logins, monitor excessive privilege usage and assign automated risk scores to uncover malicious insiders or compromised credentials.</w:t>
      </w:r>
    </w:p>
    <w:p>
      <w:pPr>
        <w:pStyle w:val="ListBullet"/>
      </w:pPr>
      <w:r>
        <w:t>Conduct active and passive scanning to identify missing patches, default passwords and insecure configurations across the internal network and external attack surface.</w:t>
      </w:r>
    </w:p>
    <w:p>
      <w:pPr>
        <w:pStyle w:val="ListBullet"/>
      </w:pPr>
      <w:r>
        <w:t>Prioritise vulnerabilities based on active exploitation trends and generate automated compliance reporting for standards such as CIS and PCI-DSS.</w:t>
      </w:r>
    </w:p>
    <w:p>
      <w:pPr>
        <w:pStyle w:val="Heading2"/>
      </w:pPr>
      <w:r>
        <w:t>Incident Triage and Unified Case Management</w:t>
      </w:r>
    </w:p>
    <w:p>
      <w:pPr>
        <w:pStyle w:val="ListBullet"/>
      </w:pPr>
      <w:r>
        <w:t>Manage security incidents through a centralised ticketing and workflow engine integrated directly into the StackX console.</w:t>
      </w:r>
    </w:p>
    <w:p>
      <w:pPr>
        <w:pStyle w:val="ListBullet"/>
      </w:pPr>
      <w:r>
        <w:t>Automate digital evidence gathering by immediately attaching PCAPs, endpoint logs and threat intelligence to security tickets.</w:t>
      </w:r>
    </w:p>
    <w:p>
      <w:pPr>
        <w:pStyle w:val="ListBullet"/>
      </w:pPr>
      <w:r>
        <w:t>Enforce role-based access control and integrated collaboration for incident handlers.</w:t>
      </w:r>
    </w:p>
    <w:p>
      <w:pPr>
        <w:pStyle w:val="ListBullet"/>
      </w:pPr>
      <w:r>
        <w:t>Track comprehensive SLAs and provide management with clear dashboards detailing SOC efficiency and analyst performance.</w:t>
      </w:r>
    </w:p>
    <w:p>
      <w:pPr>
        <w:pStyle w:val="Heading2"/>
      </w:pPr>
      <w:r>
        <w:t>Extended Security Services (optional — selected and quoted per service area)</w:t>
      </w:r>
    </w:p>
    <w:p>
      <w:r>
        <w:t>Everything described so far is delivered by the platform itself, and secures the network, the edge and the communications path. Where the customer prefers one accountable party across a wider picture rather than a platform supplier alone, Verto Wave can deliver the following services around the platform. These are scoped per service area; nothing in this list forms part of the platform build unless it is explicitly selected and separately quoted.</w:t>
      </w:r>
    </w:p>
    <w:p>
      <w:pPr>
        <w:pStyle w:val="ListBullet"/>
      </w:pPr>
      <w:r>
        <w:t>Identity and access — single sign-on and multi-factor authentication for users, including phishing-resistant factors, contextual authorisation policy and blocking of known-compromised credentials. Complements the machine identity model, which secures the nodes rather than the people using them.</w:t>
      </w:r>
    </w:p>
    <w:p>
      <w:pPr>
        <w:pStyle w:val="ListBullet"/>
      </w:pPr>
      <w:r>
        <w:t>Privileged access — credential vaulting, brokered administrative sessions and session recording for privileged users, alongside the credential-free administration model already native to the platform.</w:t>
      </w:r>
    </w:p>
    <w:p>
      <w:pPr>
        <w:pStyle w:val="ListBullet"/>
      </w:pPr>
      <w:r>
        <w:t>Application edge protection — web application firewall, API gateway protection and distributed denial-of-service mitigation in front of the published service, complementing the firewall and intrusion prevention enforced at every site.</w:t>
      </w:r>
    </w:p>
    <w:p>
      <w:pPr>
        <w:pStyle w:val="ListBullet"/>
      </w:pPr>
      <w:r>
        <w:t>Key and secret management — centralised key and secret custody: rotation, separation of key operator from key user, expiry alerting and prevention of secrets held in code or configuration. Extends the hardware-sealed secret handling beyond the appliance itself.</w:t>
      </w:r>
    </w:p>
    <w:p>
      <w:pPr>
        <w:pStyle w:val="ListBullet"/>
      </w:pPr>
      <w:r>
        <w:t>Data protection — classification and tagging of sensitive data, masking of data used in non-production environments and data-loss prevention on the endpoints that handle sensitive records.</w:t>
      </w:r>
    </w:p>
    <w:p>
      <w:pPr>
        <w:pStyle w:val="ListBullet"/>
      </w:pPr>
      <w:r>
        <w:t>Endpoint detection and response — a detection engine licensed and operated alongside the platform-managed endpoint agent and telemetry pipeline, so detection and response share one console with the rest of the estate.</w:t>
      </w:r>
    </w:p>
    <w:p>
      <w:pPr>
        <w:pStyle w:val="ListBullet"/>
      </w:pPr>
      <w:r>
        <w:t>Backup and continuity — backup design and operation, a documented disaster recovery plan and recovery point and recovery time targets agreed with the customer and exercised on an agreed cycle.</w:t>
      </w:r>
    </w:p>
    <w:p>
      <w:pPr>
        <w:pStyle w:val="ListBullet"/>
      </w:pPr>
      <w:r>
        <w:t>Security assurance and testing — independent penetration testing coordinated by Verto Wave, application and interface security testing and cloud configuration assessment, with findings tracked to closure in StackX ITSM.</w:t>
      </w:r>
    </w:p>
    <w:p>
      <w:pPr>
        <w:pStyle w:val="Heading2"/>
      </w:pPr>
      <w:r>
        <w:t>Delivery Mode Boundaries (generic)</w:t>
      </w:r>
    </w:p>
    <w:p>
      <w:pPr>
        <w:pStyle w:val="ListBullet"/>
      </w:pPr>
      <w:r>
        <w:t>Products are not named at proposal stage. Selection is made during design against the customer's existing security standards, held licences and the regulatory position in each operating location.</w:t>
      </w:r>
    </w:p>
    <w:p>
      <w:pPr>
        <w:pStyle w:val="ListBullet"/>
      </w:pPr>
      <w:r>
        <w:t>The application / application layer remains its supplier's product. Verto Wave does not write, modify or assume ownership of the application's code. Where a control lives inside that application, Verto Wave's role is independent testing, evidencing and supervision.</w:t>
      </w:r>
    </w:p>
    <w:p>
      <w:pPr>
        <w:pStyle w:val="ListBullet"/>
      </w:pPr>
      <w:r>
        <w:t>Recovery targets are agreed, not assumed. Recovery point and recovery time objectives are set during design against the customer's priorities. No figure is committed ahead of that exercise.</w:t>
      </w:r>
    </w:p>
    <w:p>
      <w:pPr>
        <w:pStyle w:val="ListBullet"/>
      </w:pPr>
      <w:r>
        <w:t>Customer-owned infrastructure stays customer-owned. Where a control depends on equipment or tenancy the customer supplies (access-layer switching, cloud accounts, directory services), Verto Wave's commitment is to design, verify and evidence it, not to operate what it does not supply.</w:t>
      </w:r>
    </w:p>
    <w:p>
      <w:pPr>
        <w:pStyle w:val="ListBullet"/>
      </w:pPr>
      <w:r>
        <w:t>The connectivity boundary is unchanged. Wide-area access services remain a customer procurement. Selecting any security service does not alter that boundary.</w:t>
      </w:r>
    </w:p>
    <w:p>
      <w:pPr>
        <w:pStyle w:val="ListBullet"/>
      </w:pPr>
      <w:r>
        <w:t>Where the customer has issued a formal cybersecurity requirements document, Verto Wave provides a separate point-by-point compliance response mapping each stated requirement to one of the three delivery modes above. That response, not this section, is the correct artefact for a requirement-by-requirement assessment.</w:t>
      </w:r>
    </w:p>
    <w:p>
      <w:pPr>
        <w:pStyle w:val="Heading2"/>
      </w:pPr>
      <w:r>
        <w:t>Out-of-Scope (explicitly)</w:t>
      </w:r>
    </w:p>
    <w:p>
      <w:pPr>
        <w:pStyle w:val="ListBullet"/>
      </w:pPr>
      <w:r>
        <w:t>Security penetration testing, vulnerability assessment, code review and forensics activities, unless explicitly stated as in scope (note: many prior proposals explicitly exclude penetration testing, vulnerability assessment, code review and forensics — confirm per bid whether any of these are requested).</w:t>
      </w:r>
    </w:p>
    <w:p>
      <w:pPr>
        <w:pStyle w:val="ListBullet"/>
      </w:pPr>
      <w:r>
        <w:t>Any development and debugging activities not explicitly in scope.</w:t>
      </w:r>
    </w:p>
    <w:p>
      <w:pPr>
        <w:pStyle w:val="ListBullet"/>
      </w:pPr>
      <w:r>
        <w:t>Operating third-party security systems aside from the systems included in this scope.</w:t>
      </w:r>
    </w:p>
    <w:p>
      <w:pPr>
        <w:pStyle w:val="ListBullet"/>
      </w:pPr>
      <w:r>
        <w:t>Managing and supporting systems and devices not allowing ways of integration.</w:t>
      </w:r>
    </w:p>
    <w:p>
      <w:r>
        <w:t>*This module is a reusable building block. The security scope is the most sensitive area in the template — confirm with Security/Compliance SME per bid: which sub-capabilities are in scope, whether penetration testing/vulnerability assessment/code review/forensics are requested or explicitly excluded, whether certified SOC staff resourcing is in place, and which extended security services (if any) are selected. The Native/Integrated/Assured delivery-modes framing and the extended-security-services list are platform-agnostic — tailor the service list and naming policy to the current engagement. For a fuller SOC operations scope, use the `{{module_stackx_soc}}` composite SOC module.*</w:t>
      </w:r>
    </w:p>
    <w:p/>
    <w:p>
      <w:pPr>
        <w:pStyle w:val="Heading1"/>
      </w:pPr>
      <w:r>
        <w:t>StackX DevOps Framework (CI/CD / IaC / DevSecOps)</w:t>
      </w:r>
    </w:p>
    <w:p>
      <w:pPr>
        <w:pStyle w:val="Heading2"/>
      </w:pPr>
      <w:r>
        <w:t>Overview</w:t>
      </w:r>
    </w:p>
    <w:p>
      <w:r>
        <w:t>We propose a standardized DevOps framework that acts as a controlled pathway through which all service releases must pass before production deployment. The goal is to create a unified and auditable release lifecycle for all customer-facing services hosted within the target data center environment. This is a unified standard for public-facing hosted services, supported by a digital change record that carries risk data, test results, and approvals across the lifecycle stages.</w:t>
      </w:r>
    </w:p>
    <w:p>
      <w:pPr>
        <w:pStyle w:val="Heading2"/>
      </w:pPr>
      <w:r>
        <w:t>Digital Change and Release Backbone</w:t>
      </w:r>
    </w:p>
    <w:p>
      <w:r>
        <w:t>Every release — whether a new service, enhancement, bug fix, or emergency correction — should be associated with a structured change record. This record becomes the single source of truth for release scope, risk level, required approvals, test outcomes, security validation, business sign-off, and deployment evidence. Instead of fragmented communication across emails, verbal approvals, or undocumented actions, the release moves across clearly defined stages with traceability preserved end to end.</w:t>
      </w:r>
    </w:p>
    <w:p>
      <w:pPr>
        <w:pStyle w:val="Heading2"/>
      </w:pPr>
      <w:r>
        <w:t>Environments</w:t>
      </w:r>
    </w:p>
    <w:p>
      <w:r>
        <w:t>The framework should operate across three foundational environments:</w:t>
      </w:r>
    </w:p>
    <w:p>
      <w:pPr>
        <w:pStyle w:val="ListBullet"/>
      </w:pPr>
      <w:r>
        <w:t>Development — where code changes are introduced, built, and initially validated</w:t>
      </w:r>
    </w:p>
    <w:p>
      <w:pPr>
        <w:pStyle w:val="ListBullet"/>
      </w:pPr>
      <w:r>
        <w:t>Staging — where integrated testing, security validation, user acceptance activities, and operational readiness checks are performed in a controlled environment that simulates production</w:t>
      </w:r>
    </w:p>
    <w:p>
      <w:pPr>
        <w:pStyle w:val="ListBullet"/>
      </w:pPr>
      <w:r>
        <w:t>Production — where only approved, tested, and business-accepted releases are deployed</w:t>
      </w:r>
    </w:p>
    <w:p>
      <w:pPr>
        <w:pStyle w:val="Heading2"/>
      </w:pPr>
      <w:r>
        <w:t>Core Control Areas</w:t>
      </w:r>
    </w:p>
    <w:p>
      <w:pPr>
        <w:pStyle w:val="Heading3"/>
      </w:pPr>
      <w:r>
        <w:t>Requirements and Change Initiation</w:t>
      </w:r>
    </w:p>
    <w:p>
      <w:pPr>
        <w:pStyle w:val="ListBullet"/>
      </w:pPr>
      <w:r>
        <w:t>For new services, the process starts with formal requirements gathering. This must cover business functionality, integration dependencies, infrastructure needs, security controls, availability expectations, backup and rollback planning, and success criteria. Service quality depends on a sufficient study of requirements during onboarding.</w:t>
      </w:r>
    </w:p>
    <w:p>
      <w:pPr>
        <w:pStyle w:val="ListBullet"/>
      </w:pPr>
      <w:r>
        <w:t>For existing services, the process should be driven by change classification. Not all releases should follow the same governance path. Emergency fixes, standard low-risk changes, and major feature upgrades should have different approval and testing requirements based on risk and impact.</w:t>
      </w:r>
    </w:p>
    <w:p>
      <w:pPr>
        <w:pStyle w:val="Heading3"/>
      </w:pPr>
      <w:r>
        <w:t>Version Control and Pipeline Governance</w:t>
      </w:r>
    </w:p>
    <w:p>
      <w:pPr>
        <w:pStyle w:val="ListBullet"/>
      </w:pPr>
      <w:r>
        <w:t>All application code, configuration changes, and infrastructure definitions should be maintained under controlled version management.</w:t>
      </w:r>
    </w:p>
    <w:p>
      <w:pPr>
        <w:pStyle w:val="ListBullet"/>
      </w:pPr>
      <w:r>
        <w:t>A unified delivery pipeline should then automate the sequence of build, validation, testing, approval gates, and deployment packaging.</w:t>
      </w:r>
    </w:p>
    <w:p>
      <w:pPr>
        <w:pStyle w:val="Heading3"/>
      </w:pPr>
      <w:r>
        <w:t>Testing and Quality Assurance</w:t>
      </w:r>
    </w:p>
    <w:p>
      <w:r>
        <w:t>A robust publishing process must include more than functional checks. It should require:</w:t>
      </w:r>
    </w:p>
    <w:p>
      <w:pPr>
        <w:pStyle w:val="ListBullet"/>
      </w:pPr>
      <w:r>
        <w:t>Application validation against requirements</w:t>
      </w:r>
    </w:p>
    <w:p>
      <w:pPr>
        <w:pStyle w:val="ListBullet"/>
      </w:pPr>
      <w:r>
        <w:t>Integration and regression testing</w:t>
      </w:r>
    </w:p>
    <w:p>
      <w:pPr>
        <w:pStyle w:val="ListBullet"/>
      </w:pPr>
      <w:r>
        <w:t>Business validation and UAT governance</w:t>
      </w:r>
    </w:p>
    <w:p>
      <w:pPr>
        <w:pStyle w:val="ListBullet"/>
      </w:pPr>
      <w:r>
        <w:t>Security and compliance checks</w:t>
      </w:r>
    </w:p>
    <w:p>
      <w:pPr>
        <w:pStyle w:val="ListBullet"/>
      </w:pPr>
      <w:r>
        <w:t>Performance and load testing for services expected to operate under user pressure or transaction spikes</w:t>
      </w:r>
    </w:p>
    <w:p>
      <w:r>
        <w:t>This is particularly important for customer-facing services where poor performance is itself a production incident even if the application remains technically available.</w:t>
      </w:r>
    </w:p>
    <w:p>
      <w:pPr>
        <w:pStyle w:val="Heading3"/>
      </w:pPr>
      <w:r>
        <w:t>Business Validation and UAT Governance</w:t>
      </w:r>
    </w:p>
    <w:p>
      <w:r>
        <w:t>One of the most important controls in the framework is formal Business Validation and UAT Governance. Business owners must confirm that the service functions as intended, user journeys are validated, expected outputs are correct, and acceptance criteria are met before a release proceeds to production.</w:t>
      </w:r>
    </w:p>
    <w:p>
      <w:pPr>
        <w:pStyle w:val="Heading2"/>
      </w:pPr>
      <w:r>
        <w:t>Figure — DevOps Pipeline / CI-CD Flow</w:t>
      </w:r>
    </w:p>
    <w:p>
      <w:r>
        <w:t>&lt;!-- IMAGE PLACEMENT GUIDANCE — insert approved generic image here --&gt;</w:t>
        <w:br/>
        <w:t>&lt;!-- Recommended image: a generic DevOps pipeline / CI-CD flow diagram showing source, build, test, security scanning, release, deploy, and monitor stages — aligned to the delivery-phasing note in the PM methodology module. No customer-specific repository names, no customer-specific pipeline stage names that reveal the customer's business, no customer site names. --&gt;</w:t>
        <w:br/>
        <w:t>&lt;!-- Suggested source: generic DevOps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DevOps pipeline / CI-CD flow diagram here. See image-placement guidance notes.]*</w:t>
      </w:r>
    </w:p>
    <w:p>
      <w:pPr>
        <w:pStyle w:val="Heading3"/>
      </w:pPr>
      <w:r>
        <w:t>Go-Live Readiness and Controlled Deployment</w:t>
      </w:r>
    </w:p>
    <w:p>
      <w:r>
        <w:t>Before production deployment, each release should pass through a structured Go/No-Go readiness review. This review confirms:</w:t>
      </w:r>
    </w:p>
    <w:p>
      <w:pPr>
        <w:pStyle w:val="ListBullet"/>
      </w:pPr>
      <w:r>
        <w:t>Approvals are complete</w:t>
      </w:r>
    </w:p>
    <w:p>
      <w:pPr>
        <w:pStyle w:val="ListBullet"/>
      </w:pPr>
      <w:r>
        <w:t>Testing evidence is attached</w:t>
      </w:r>
    </w:p>
    <w:p>
      <w:pPr>
        <w:pStyle w:val="ListBullet"/>
      </w:pPr>
      <w:r>
        <w:t>Rollback procedures are ready</w:t>
      </w:r>
    </w:p>
    <w:p>
      <w:pPr>
        <w:pStyle w:val="ListBullet"/>
      </w:pPr>
      <w:r>
        <w:t>Monitoring is configured</w:t>
      </w:r>
    </w:p>
    <w:p>
      <w:pPr>
        <w:pStyle w:val="ListBullet"/>
      </w:pPr>
      <w:r>
        <w:t>Support teams are informed</w:t>
      </w:r>
    </w:p>
    <w:p>
      <w:pPr>
        <w:pStyle w:val="ListBullet"/>
      </w:pPr>
      <w:r>
        <w:t>Deployment ownership is clear</w:t>
      </w:r>
    </w:p>
    <w:p>
      <w:pPr>
        <w:pStyle w:val="ListBullet"/>
      </w:pPr>
      <w:r>
        <w:t>Post-go-live validation steps are assigned</w:t>
      </w:r>
    </w:p>
    <w:p>
      <w:pPr>
        <w:pStyle w:val="Heading2"/>
      </w:pPr>
      <w:r>
        <w:t>DevOps Practices Encompassed</w:t>
      </w:r>
    </w:p>
    <w:p>
      <w:pPr>
        <w:pStyle w:val="Heading3"/>
      </w:pPr>
      <w:r>
        <w:t>Continuous Integration / Continuous Deployment (CI/CD)</w:t>
      </w:r>
    </w:p>
    <w:p>
      <w:r>
        <w:t>Establishing automated pipelines for the seamless deployment of updates, minimizing service disruptions and ensuring rapid delivery of enhancements.</w:t>
      </w:r>
    </w:p>
    <w:p>
      <w:pPr>
        <w:pStyle w:val="Heading3"/>
      </w:pPr>
      <w:r>
        <w:t>Infrastructure as Code (IaC)</w:t>
      </w:r>
    </w:p>
    <w:p>
      <w:r>
        <w:t>Implementing IaC tools like Terraform and Ansible to standardize infrastructure provisioning and configuration, ensuring consistency and scalability.</w:t>
      </w:r>
    </w:p>
    <w:p>
      <w:pPr>
        <w:pStyle w:val="Heading3"/>
      </w:pPr>
      <w:r>
        <w:t>Collaboration and Communication</w:t>
      </w:r>
    </w:p>
    <w:p>
      <w:r>
        <w:t>Enhancing cross-functional collaboration between development, operations, and security teams through integrated toolchains and agile methodologies.</w:t>
      </w:r>
    </w:p>
    <w:p>
      <w:pPr>
        <w:pStyle w:val="Heading3"/>
      </w:pPr>
      <w:r>
        <w:t>Monitoring and Feedback Loops</w:t>
      </w:r>
    </w:p>
    <w:p>
      <w:r>
        <w:t>Leveraging advanced monitoring and logging tools to gather real-time feedback, enabling iterative improvements and proactive issue resolution.</w:t>
      </w:r>
    </w:p>
    <w:p>
      <w:pPr>
        <w:pStyle w:val="Heading3"/>
      </w:pPr>
      <w:r>
        <w:t>Automation and Orchestration</w:t>
      </w:r>
    </w:p>
    <w:p>
      <w:r>
        <w:t>Expanding the use of automation to streamline testing, deployment, and operations, reducing manual intervention and improving efficiency.</w:t>
      </w:r>
    </w:p>
    <w:p>
      <w:pPr>
        <w:pStyle w:val="Heading3"/>
      </w:pPr>
      <w:r>
        <w:t>Security Integration (DevSecOps)</w:t>
      </w:r>
    </w:p>
    <w:p>
      <w:r>
        <w:t>Embedding security practices into the DevOps lifecycle, ensuring that all services meet stringent compliance and security standards from development to deployment.</w:t>
      </w:r>
    </w:p>
    <w:p>
      <w:pPr>
        <w:pStyle w:val="Heading2"/>
      </w:pPr>
      <w:r>
        <w:t>Out-of-Scope (explicitly)</w:t>
      </w:r>
    </w:p>
    <w:p>
      <w:pPr>
        <w:pStyle w:val="ListBullet"/>
      </w:pPr>
      <w:r>
        <w:t>Any development and debugging activities not explicitly in scope</w:t>
      </w:r>
    </w:p>
    <w:p>
      <w:pPr>
        <w:pStyle w:val="ListBullet"/>
      </w:pPr>
      <w:r>
        <w:t>Any implementation activities of new systems or solutions, unless explicitly in scope</w:t>
      </w:r>
    </w:p>
    <w:p>
      <w:pPr>
        <w:pStyle w:val="ListBullet"/>
      </w:pPr>
      <w:r>
        <w:t>Any application development outside agreed scope</w:t>
      </w:r>
    </w:p>
    <w:p>
      <w:pPr>
        <w:pStyle w:val="ListBullet"/>
      </w:pPr>
      <w:r>
        <w:t>Managing and supporting systems and devices not allowing ways of integration</w:t>
      </w:r>
    </w:p>
    <w:p>
      <w:pPr>
        <w:pStyle w:val="ListBullet"/>
      </w:pPr>
      <w:r>
        <w:t>Operating 3rd party systems aside from the systems included in this scope</w:t>
      </w:r>
    </w:p>
    <w:p>
      <w:r>
        <w:t>*This module is a reusable building block, derived from the a source material describing the DevOps Framework. Confirm per bid whether the DevOps framework is required for the customer's hosted services, which environments (Dev/Staging/Prod) are in VertoWave scope, and which practices (CI/CD, IaC, DevSecOps) apply.*</w:t>
      </w:r>
    </w:p>
    <w:p/>
    <w:p>
      <w:pPr>
        <w:pStyle w:val="Heading1"/>
      </w:pPr>
      <w:r>
        <w:t>Cover Page &amp; Executive Summary Scaffolding</w:t>
      </w:r>
    </w:p>
    <w:p>
      <w:pPr>
        <w:pStyle w:val="Heading2"/>
      </w:pPr>
      <w:r>
        <w:t>Cover Page</w:t>
      </w:r>
    </w:p>
    <w:p>
      <w:pPr>
        <w:jc w:val="center"/>
      </w:pPr>
      <w:r>
        <w:t>[VERTO WAVE LOGO — INSERT LOGO IMAGE HERE]</w:t>
      </w:r>
      <w:r>
        <w:drawing>
          <wp:inline xmlns:a="http://schemas.openxmlformats.org/drawingml/2006/main" xmlns:pic="http://schemas.openxmlformats.org/drawingml/2006/picture">
            <wp:extent cx="3200400" cy="677609"/>
            <wp:docPr id="1" name="Picture 1"/>
            <wp:cNvGraphicFramePr>
              <a:graphicFrameLocks noChangeAspect="1"/>
            </wp:cNvGraphicFramePr>
            <a:graphic>
              <a:graphicData uri="http://schemas.openxmlformats.org/drawingml/2006/picture">
                <pic:pic>
                  <pic:nvPicPr>
                    <pic:cNvPr id="0" name="vertowave_logo.png"/>
                    <pic:cNvPicPr/>
                  </pic:nvPicPr>
                  <pic:blipFill>
                    <a:blip r:embed="rId9"/>
                    <a:stretch>
                      <a:fillRect/>
                    </a:stretch>
                  </pic:blipFill>
                  <pic:spPr>
                    <a:xfrm>
                      <a:off x="0" y="0"/>
                      <a:ext cx="3200400" cy="677609"/>
                    </a:xfrm>
                    <a:prstGeom prst="rect"/>
                  </pic:spPr>
                </pic:pic>
              </a:graphicData>
            </a:graphic>
          </wp:inline>
        </w:drawing>
      </w:r>
    </w:p>
    <w:p>
      <w:r>
        <w:t>*[Insert the Verto Wave logo image in the logo area above. If a secondary logo is required, insert it in the secondary-logo area below. Replace both placeholders with the actual logo image files before issue. See the image-placement notes at the end of this section.]*</w:t>
      </w:r>
    </w:p>
    <w:p>
      <w:r>
        <w:t>[SECONDARY LOGO — INSERT LOGO IMAGE HERE — optional]</w:t>
      </w:r>
    </w:p>
    <w:p>
      <w:r>
        <w:t>[Proposal Title — insert per bid]</w:t>
      </w:r>
    </w:p>
    <w:p>
      <w:r>
        <w:t>Technical Proposal</w:t>
      </w:r>
    </w:p>
    <w:p>
      <w:r>
        <w:t>Prepared for: Example Customer Egypt S.A.E.</w:t>
      </w:r>
    </w:p>
    <w:p>
      <w:r>
        <w:t>Engagement Name: DeviceX/SDX &amp; StackX Technical Proposal</w:t>
      </w:r>
    </w:p>
    <w:p>
      <w:r>
        <w:t>Prepared by: Verto Wave</w:t>
      </w:r>
    </w:p>
    <w:p>
      <w:r>
        <w:t>Document Type: Technical Proposal — {{proposal_subtype}}</w:t>
      </w:r>
    </w:p>
    <w:p>
      <w:r>
        <w:t>Version: 1.0</w:t>
      </w:r>
    </w:p>
    <w:p>
      <w:r>
        <w:t>Date: 2 September 2026</w:t>
      </w:r>
    </w:p>
    <w:p>
      <w:r>
        <w:t>Reference: EC-2026-001 (if applicable)</w:t>
      </w:r>
    </w:p>
    <w:p>
      <w:r>
        <w:t>Classification: Confidential — For Customer Evaluation Only</w:t>
      </w:r>
    </w:p>
    <w:p>
      <w:r>
        <w:t>*[Do not copy or distribute. This proposal is prepared by Verto Wave for the named customer only.]*</w:t>
      </w:r>
    </w:p>
    <w:p>
      <w:pPr>
        <w:pStyle w:val="Heading3"/>
      </w:pPr>
      <w:r>
        <w:t>Cover-page attribute mapping (from prior proposals — used as template base)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Value in template</w:t>
            </w:r>
          </w:p>
        </w:tc>
        <w:tc>
          <w:tcPr>
            <w:tcW w:type="dxa" w:w="2880"/>
          </w:tcPr>
          <w:p>
            <w:r>
              <w:rPr>
                <w:b/>
              </w:rPr>
              <w:t>Source basis</w:t>
            </w:r>
          </w:p>
        </w:tc>
      </w:tr>
      <w:tr>
        <w:tc>
          <w:tcPr>
            <w:tcW w:type="dxa" w:w="2880"/>
          </w:tcPr>
          <w:p>
            <w:r>
              <w:t>-----------</w:t>
            </w:r>
          </w:p>
        </w:tc>
        <w:tc>
          <w:tcPr>
            <w:tcW w:type="dxa" w:w="2880"/>
          </w:tcPr>
          <w:p>
            <w:r>
              <w:t>-------------------</w:t>
            </w:r>
          </w:p>
        </w:tc>
        <w:tc>
          <w:tcPr>
            <w:tcW w:type="dxa" w:w="2880"/>
          </w:tcPr>
          <w:p>
            <w:r>
              <w:t>--------------</w:t>
            </w:r>
          </w:p>
        </w:tc>
      </w:tr>
      <w:tr>
        <w:tc>
          <w:tcPr>
            <w:tcW w:type="dxa" w:w="2880"/>
          </w:tcPr>
          <w:p>
            <w:r>
              <w:t>Prepared for</w:t>
            </w:r>
          </w:p>
        </w:tc>
        <w:tc>
          <w:tcPr>
            <w:tcW w:type="dxa" w:w="2880"/>
          </w:tcPr>
          <w:p>
            <w:r>
              <w:t>`Example Customer Egypt S.A.E.`</w:t>
            </w:r>
          </w:p>
        </w:tc>
        <w:tc>
          <w:tcPr>
            <w:tcW w:type="dxa" w:w="2880"/>
          </w:tcPr>
          <w:p>
            <w:r>
              <w:t>Customer full name (e.g. "African Telemedicine Network" in the Telemedicine proposal)</w:t>
            </w:r>
          </w:p>
        </w:tc>
      </w:tr>
      <w:tr>
        <w:tc>
          <w:tcPr>
            <w:tcW w:type="dxa" w:w="2880"/>
          </w:tcPr>
          <w:p>
            <w:r>
              <w:t>Prepared by</w:t>
            </w:r>
          </w:p>
        </w:tc>
        <w:tc>
          <w:tcPr>
            <w:tcW w:type="dxa" w:w="2880"/>
          </w:tcPr>
          <w:p>
            <w:r>
              <w:t>Verto Wave</w:t>
            </w:r>
          </w:p>
        </w:tc>
        <w:tc>
          <w:tcPr>
            <w:tcW w:type="dxa" w:w="2880"/>
          </w:tcPr>
          <w:p>
            <w:r>
              <w:t>Standard Verto Wave attribution; uses "Verto Wave" without business-unit suffix per instruction</w:t>
            </w:r>
          </w:p>
        </w:tc>
      </w:tr>
      <w:tr>
        <w:tc>
          <w:tcPr>
            <w:tcW w:type="dxa" w:w="2880"/>
          </w:tcPr>
          <w:p>
            <w:r>
              <w:t>Engagement name</w:t>
            </w:r>
          </w:p>
        </w:tc>
        <w:tc>
          <w:tcPr>
            <w:tcW w:type="dxa" w:w="2880"/>
          </w:tcPr>
          <w:p>
            <w:r>
              <w:t>`DeviceX/SDX &amp; StackX Technical Proposal`</w:t>
            </w:r>
          </w:p>
        </w:tc>
        <w:tc>
          <w:tcPr>
            <w:tcW w:type="dxa" w:w="2880"/>
          </w:tcPr>
          <w:p>
            <w:r>
              <w:t>Customer-facing engagement/project name</w:t>
            </w:r>
          </w:p>
        </w:tc>
      </w:tr>
      <w:tr>
        <w:tc>
          <w:tcPr>
            <w:tcW w:type="dxa" w:w="2880"/>
          </w:tcPr>
          <w:p>
            <w:r>
              <w:t>Document type</w:t>
            </w:r>
          </w:p>
        </w:tc>
        <w:tc>
          <w:tcPr>
            <w:tcW w:type="dxa" w:w="2880"/>
          </w:tcPr>
          <w:p>
            <w:r>
              <w:t>`{{proposal_subtype}}`</w:t>
            </w:r>
          </w:p>
        </w:tc>
        <w:tc>
          <w:tcPr>
            <w:tcW w:type="dxa" w:w="2880"/>
          </w:tcPr>
          <w:p>
            <w:r>
              <w:t>e.g. "Technical Proposal" or "Technical Proposal — Professional Services" (from the Telemedicine proposal's "Technical Proposal" type)</w:t>
            </w:r>
          </w:p>
        </w:tc>
      </w:tr>
      <w:tr>
        <w:tc>
          <w:tcPr>
            <w:tcW w:type="dxa" w:w="2880"/>
          </w:tcPr>
          <w:p>
            <w:r>
              <w:t>Version</w:t>
            </w:r>
          </w:p>
        </w:tc>
        <w:tc>
          <w:tcPr>
            <w:tcW w:type="dxa" w:w="2880"/>
          </w:tcPr>
          <w:p>
            <w:r>
              <w:t>`1.0`</w:t>
            </w:r>
          </w:p>
        </w:tc>
        <w:tc>
          <w:tcPr>
            <w:tcW w:type="dxa" w:w="2880"/>
          </w:tcPr>
          <w:p>
            <w:r>
              <w:t>e.g. "1.0" (from the Telemedicine proposal's "V1.6" style)</w:t>
            </w:r>
          </w:p>
        </w:tc>
      </w:tr>
      <w:tr>
        <w:tc>
          <w:tcPr>
            <w:tcW w:type="dxa" w:w="2880"/>
          </w:tcPr>
          <w:p>
            <w:r>
              <w:t>Date</w:t>
            </w:r>
          </w:p>
        </w:tc>
        <w:tc>
          <w:tcPr>
            <w:tcW w:type="dxa" w:w="2880"/>
          </w:tcPr>
          <w:p>
            <w:r>
              <w:t>`2 September 2026`</w:t>
            </w:r>
          </w:p>
        </w:tc>
        <w:tc>
          <w:tcPr>
            <w:tcW w:type="dxa" w:w="2880"/>
          </w:tcPr>
          <w:p>
            <w:r>
              <w:t>e.g. "2 September 2026" (from the Telemedicine proposal's "2026-09-01" style)</w:t>
            </w:r>
          </w:p>
        </w:tc>
      </w:tr>
      <w:tr>
        <w:tc>
          <w:tcPr>
            <w:tcW w:type="dxa" w:w="2880"/>
          </w:tcPr>
          <w:p>
            <w:r>
              <w:t>Reference</w:t>
            </w:r>
          </w:p>
        </w:tc>
        <w:tc>
          <w:tcPr>
            <w:tcW w:type="dxa" w:w="2880"/>
          </w:tcPr>
          <w:p>
            <w:r>
              <w:t>`EC-2026-001`</w:t>
            </w:r>
          </w:p>
        </w:tc>
        <w:tc>
          <w:tcPr>
            <w:tcW w:type="dxa" w:w="2880"/>
          </w:tcPr>
          <w:p>
            <w:r>
              <w:t>RFP/ITB reference, if applicable</w:t>
            </w:r>
          </w:p>
        </w:tc>
      </w:tr>
      <w:tr>
        <w:tc>
          <w:tcPr>
            <w:tcW w:type="dxa" w:w="2880"/>
          </w:tcPr>
          <w:p>
            <w:r>
              <w:t>Classification</w:t>
            </w:r>
          </w:p>
        </w:tc>
        <w:tc>
          <w:tcPr>
            <w:tcW w:type="dxa" w:w="2880"/>
          </w:tcPr>
          <w:p>
            <w:r>
              <w:t>Confidential — For Customer Evaluation Only</w:t>
            </w:r>
          </w:p>
        </w:tc>
        <w:tc>
          <w:tcPr>
            <w:tcW w:type="dxa" w:w="2880"/>
          </w:tcPr>
          <w:p>
            <w:r>
              <w:t>From the Telemedicine proposal's classification line</w:t>
            </w:r>
          </w:p>
        </w:tc>
      </w:tr>
    </w:tbl>
    <w:p>
      <w:pPr>
        <w:pStyle w:val="Heading2"/>
      </w:pPr>
      <w:r>
        <w:t>Figure — &lt;Insert approved generic diagram / screenshot here&gt;</w:t>
      </w:r>
    </w:p>
    <w:p>
      <w:r>
        <w:t>&lt;!-- IMAGE PLACEMENT GUIDANCE — insert approved generic image here --&gt;</w:t>
        <w:br/>
        <w:t>&lt;!-- Recommended image: a generic diagram or screenshot relevant to this section's content (architecture, flow, dashboard, or topology as appropriate). No customer-specific names, environment, architecture, site names, or branding.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image here. See image-placement guidance notes.]*</w:t>
      </w:r>
    </w:p>
    <w:p>
      <w:pPr>
        <w:pStyle w:val="Heading2"/>
      </w:pPr>
      <w:r>
        <w:t>Logo Placement Notes (for the bid team)</w:t>
      </w:r>
    </w:p>
    <w:p>
      <w:pPr>
        <w:pStyle w:val="ListBullet"/>
      </w:pPr>
      <w:r>
        <w:t>The cover page contains a primary logo placeholder and a secondary-logo placeholder.</w:t>
      </w:r>
    </w:p>
    <w:p>
      <w:pPr>
        <w:pStyle w:val="ListBullet"/>
      </w:pPr>
      <w:r>
        <w:t>Insert the Verto Wave logo image file in the primary logo area before issue.</w:t>
      </w:r>
    </w:p>
    <w:p>
      <w:pPr>
        <w:pStyle w:val="ListBullet"/>
      </w:pPr>
      <w:r>
        <w:t>Insert any secondary/partner logo in the secondary-logo area only if required for the current bid.</w:t>
      </w:r>
    </w:p>
    <w:p>
      <w:pPr>
        <w:pStyle w:val="ListBullet"/>
      </w:pPr>
      <w:r>
        <w:t>Do not use a logo image that is not the approved Verto Wave logo.</w:t>
      </w:r>
    </w:p>
    <w:p>
      <w:pPr>
        <w:pStyle w:val="ListBullet"/>
      </w:pPr>
      <w:r>
        <w:t>Do not carry a logo image from a prior proposal's customer-specific cover page.</w:t>
      </w:r>
    </w:p>
    <w:p>
      <w:pPr>
        <w:pStyle w:val="ListBullet"/>
      </w:pPr>
      <w:r>
        <w:t>Logo images are inserted manually per bid (not auto-embed from this template). Confirm the approved logo file(s) with the Verto Wave brand/marketing team before issue.</w:t>
      </w:r>
    </w:p>
    <w:p>
      <w:pPr>
        <w:pStyle w:val="Heading2"/>
      </w:pPr>
      <w:r>
        <w:t>Executive Summary</w:t>
      </w:r>
    </w:p>
    <w:p>
      <w:r>
        <w:t>*[To be authored per bid. The scaffolding below is a reusable frame. The cover-page tokens above (`Example Customer Egypt S.A.E.`, `2 September 2026`, etc.) are filled from the proposal values file. The narrative slots below marked with `[PROSE]` must still be written by the proposal author per bid — they are the one part of this template that is not auto-filled.]*</w:t>
      </w:r>
    </w:p>
    <w:p>
      <w:r>
        <w:t>Example Customer Egypt S.A.E. is a pivotal entity in its sector, operating a distributed footprint across Egypt (and the GCC where applicable). To support its mission, ExampleCo has invested in building IT infrastructure that spans a large nationwide network of branches and sites across Egypt.</w:t>
      </w:r>
    </w:p>
    <w:p>
      <w:r>
        <w:t>This IT infrastructure plays a critical role in modernizing ExampleCo's operations — enabling seamless communication and data exchange between headquarters and regional locations, supporting real-time inventory management and streamlined order processing, and ensuring consistent service delivery and operational efficiency across the network. From real-time inventory management to streamlined distribution logistics, the ExampleCo environment supports the organization's operational and educational/service objectives.</w:t>
      </w:r>
    </w:p>
    <w:p>
      <w:r>
        <w:t>The scope of this proposal is to offer operational and technical services for datacentres, backend systems, and branch/edge infrastructure, ensuring the seamless operation of the organization's infrastructure and proposing innovative solutions to enhance both current and future service delivery.</w:t>
      </w:r>
    </w:p>
    <w:p>
      <w:r>
        <w:t>*[Verto Wave is pleased to submit this proposal in response to ExampleCo's RFP for a DeviceX/SDX and/or StackX solution. We understand the need for a comprehensive, as-a-service solution that empowers ExampleCo to rapidly deploy new new business locations, enhance network security, and streamline IT operations. Our solution, delivered through a managed-services/operations model, is engineered to meet these requirements and enable ExampleCo's expansion goals.]*</w:t>
      </w:r>
    </w:p>
    <w:p>
      <w:r>
        <w:t>We acknowledge ExampleCo's objectives to:</w:t>
      </w:r>
    </w:p>
    <w:p>
      <w:pPr>
        <w:pStyle w:val="ListBullet"/>
      </w:pPr>
      <w:r>
        <w:t>Accelerate branch office deployment</w:t>
      </w:r>
    </w:p>
    <w:p>
      <w:pPr>
        <w:pStyle w:val="ListBullet"/>
      </w:pPr>
      <w:r>
        <w:t>Optimize WAN performance and security</w:t>
      </w:r>
    </w:p>
    <w:p>
      <w:pPr>
        <w:pStyle w:val="ListBullet"/>
      </w:pPr>
      <w:r>
        <w:t>Converge critical network and IT capabilities</w:t>
      </w:r>
    </w:p>
    <w:p>
      <w:pPr>
        <w:pStyle w:val="ListBullet"/>
      </w:pPr>
      <w:r>
        <w:t>Implement on-demand virtual workloads</w:t>
      </w:r>
    </w:p>
    <w:p>
      <w:pPr>
        <w:pStyle w:val="ListBullet"/>
      </w:pPr>
      <w:r>
        <w:t>Host business-critical applications locally</w:t>
      </w:r>
    </w:p>
    <w:p>
      <w:pPr>
        <w:pStyle w:val="Heading2"/>
      </w:pPr>
      <w:r>
        <w:t>Cover Visual (generic — insert per bid)</w:t>
      </w:r>
    </w:p>
    <w:p>
      <w:r>
        <w:t>*[Cover visual placeholder — insert an approved generic visual for the cover page, if required. Recommended: a clean, generic Verto Wave platform / network visual that does not depict any specific customer environment, architecture, or naming. Do not insert a cover visual that names or depicts the customer's specific environment or architecture.]*</w:t>
      </w:r>
    </w:p>
    <w:p>
      <w:r>
        <w:t>*This section is a reusable scaffolding frame. Cover-page tokens are filled from the proposal values file. `[PROSE]` narrative slots must be written by the proposal author per bid — validate that the executive summary reflects the current customer's actual business context before issuance. Do not submit an executive summary derived verbatim from a prior proposal without validation.*</w:t>
      </w:r>
    </w:p>
    <w:p/>
    <w:p>
      <w:pPr>
        <w:pStyle w:val="Heading1"/>
      </w:pPr>
      <w:r>
        <w:t>Assumptions, Dependencies &amp; Risks</w:t>
      </w:r>
    </w:p>
    <w:p>
      <w:pPr>
        <w:pStyle w:val="Heading2"/>
      </w:pPr>
      <w:r>
        <w:t>General Assumptions</w:t>
      </w:r>
    </w:p>
    <w:p>
      <w:pPr>
        <w:pStyle w:val="ListBullet"/>
      </w:pPr>
      <w:r>
        <w:t>VertoWave operates on a standard forty (40) hour work week, with resources adhering to an eight (8) hour schedule from Sunday to Thursday, or other mutually agreed local working days. Working hours are from 9 AM to 5 PM local time, excluding official local holidays. Any other standard local business hours can be mutually agreed upon, referred to as "working days".</w:t>
      </w:r>
    </w:p>
    <w:p>
      <w:pPr>
        <w:pStyle w:val="ListBullet"/>
      </w:pPr>
      <w:r>
        <w:t>The entire project will be delivered remotely, and remote access is mandatory throughout its lifecycle. The customer will provide Verto Wave with the required credentials and access, including any required remote access.</w:t>
      </w:r>
    </w:p>
    <w:p>
      <w:pPr>
        <w:pStyle w:val="ListBullet"/>
      </w:pPr>
      <w:r>
        <w:t>Build/implementation activities are only concerned with implementing and configuring the systems as per the agreed-upon design, and apply only to systems and configurations that meet all the requirements mentioned in the designing and planning stage.</w:t>
      </w:r>
    </w:p>
    <w:p>
      <w:pPr>
        <w:pStyle w:val="ListBullet"/>
      </w:pPr>
      <w:r>
        <w:t>Implementation activities will be performed remotely. Where the optional managed operations service is selected, operations activities and the operations team will follow the allocation provided in the OLA and will be delivered from the central site.</w:t>
      </w:r>
    </w:p>
    <w:p>
      <w:pPr>
        <w:pStyle w:val="ListBullet"/>
      </w:pPr>
      <w:r>
        <w:t>Integration with third-party applications will be provided if applicable — meaning that the system is healthy, supported by the involved system vendors, and provides supported integration methodology and compatibility scenarios per the involved systems vendors' guidelines and supportability matrix.</w:t>
      </w:r>
    </w:p>
    <w:p>
      <w:pPr>
        <w:pStyle w:val="ListBullet"/>
      </w:pPr>
      <w:r>
        <w:t>The customer should ensure the dedication of stakeholders to effectively participate in the requirement gathering and in system design.</w:t>
      </w:r>
    </w:p>
    <w:p>
      <w:pPr>
        <w:pStyle w:val="ListBullet"/>
      </w:pPr>
      <w:r>
        <w:t>Delays in responses or feedback from the customer's resources will lead to corresponding delays in the project schedule.</w:t>
      </w:r>
    </w:p>
    <w:p>
      <w:pPr>
        <w:pStyle w:val="ListBullet"/>
      </w:pPr>
      <w:r>
        <w:t>The customer will provide Verto Wave with the needed credentials and access, including any needed remote access, in all locations.</w:t>
      </w:r>
    </w:p>
    <w:p>
      <w:pPr>
        <w:pStyle w:val="ListBullet"/>
      </w:pPr>
      <w:r>
        <w:t>All requirements and recommendations raised during the envisioning phase will be addressed by the customer before kick-off of build activities.</w:t>
      </w:r>
    </w:p>
    <w:p>
      <w:pPr>
        <w:pStyle w:val="ListBullet"/>
      </w:pPr>
      <w:r>
        <w:t>All required network communication ports requested during the implementation phase will be opened in firewalls within one working day of the request.</w:t>
      </w:r>
    </w:p>
    <w:p>
      <w:pPr>
        <w:pStyle w:val="ListBullet"/>
      </w:pPr>
      <w:r>
        <w:t>Hardware, operating system and database specifications will be recommended by Verto Wave during the design workshop.</w:t>
      </w:r>
    </w:p>
    <w:p>
      <w:pPr>
        <w:pStyle w:val="ListBullet"/>
      </w:pPr>
      <w:r>
        <w:t>Any modification or additional requirements beyond the stated scope will be handled through a change request.</w:t>
      </w:r>
    </w:p>
    <w:p>
      <w:pPr>
        <w:pStyle w:val="ListBullet"/>
      </w:pPr>
      <w:r>
        <w:t>Scope is limited to solutions mentioned in this document and not any other solution, even those in the same portfolio.</w:t>
      </w:r>
    </w:p>
    <w:p>
      <w:pPr>
        <w:pStyle w:val="ListBullet"/>
      </w:pPr>
      <w:r>
        <w:t>The customer will provide reliable, stable connectivity at every site and in the central data center for all systems contributing to this project.</w:t>
      </w:r>
    </w:p>
    <w:p>
      <w:pPr>
        <w:pStyle w:val="ListBullet"/>
      </w:pPr>
      <w:r>
        <w:t>The customer will hold a full backup of the solutions from the installation date onward.</w:t>
      </w:r>
    </w:p>
    <w:p>
      <w:pPr>
        <w:pStyle w:val="ListBullet"/>
      </w:pPr>
      <w:r>
        <w:t>The customer technical team will make all required environment information available to Verto Wave resources for work to be completed successfully.</w:t>
      </w:r>
    </w:p>
    <w:p>
      <w:pPr>
        <w:pStyle w:val="ListBullet"/>
      </w:pPr>
      <w:r>
        <w:t>During the analysis and design phase, the customer and Verto Wave will finalize the detailed design before starting the deployment phase.</w:t>
      </w:r>
    </w:p>
    <w:p>
      <w:pPr>
        <w:pStyle w:val="ListBullet"/>
      </w:pPr>
      <w:r>
        <w:t>There is no security policy or firewall blocking required communication or replication between servers.</w:t>
      </w:r>
    </w:p>
    <w:p>
      <w:pPr>
        <w:pStyle w:val="ListBullet"/>
      </w:pPr>
      <w:r>
        <w:t>The parties acknowledge that the successful completion of the Services requires their full and mutual good faith cooperation. Where agreement, approval, acceptance, consent or similar action by either party is required by any provision of this proposal, such action will not be unreasonably delayed or withheld. The customer agrees that to the extent its failure to meet its responsibilities results in a failure or delay by Verto Wave in performing its obligations, Verto Wave will not be liable for such failure or delay.</w:t>
      </w:r>
    </w:p>
    <w:p>
      <w:pPr>
        <w:pStyle w:val="ListBullet"/>
      </w:pPr>
      <w:r>
        <w:t>If an engagement end date is not stated, the terms and conditions of this proposal expire twelve months from the Effective Date. If either party wishes to extend, both parties may mutually agree to extend before the expiration date. If the expiration date has been exceeded, a new and independent contractual agreement will need to be drawn up and agreed by both parties.</w:t>
      </w:r>
    </w:p>
    <w:p>
      <w:pPr>
        <w:pStyle w:val="ListBullet"/>
      </w:pPr>
      <w:r>
        <w:t>Services identified in this proposal which include configured, installed, upgraded or implemented software are not subject to customer acceptance.</w:t>
      </w:r>
    </w:p>
    <w:p>
      <w:pPr>
        <w:pStyle w:val="Heading2"/>
      </w:pPr>
      <w:r>
        <w:t>Customer Responsibilities</w:t>
      </w:r>
    </w:p>
    <w:p>
      <w:pPr>
        <w:pStyle w:val="ListBullet"/>
      </w:pPr>
      <w:r>
        <w:t>The customer will provide Verto Wave with the required credentials and access, including any required remote access, in all locations.</w:t>
      </w:r>
    </w:p>
    <w:p>
      <w:pPr>
        <w:pStyle w:val="ListBullet"/>
      </w:pPr>
      <w:r>
        <w:t>All requirements and recommendations identified during the envisioning stage and outlined in the design document must be addressed by the customer before the kick-off of build activities.</w:t>
      </w:r>
    </w:p>
    <w:p>
      <w:pPr>
        <w:pStyle w:val="ListBullet"/>
      </w:pPr>
      <w:r>
        <w:t>All required network communication ports requested during the building/implementation stage should be opened in the firewall within one business day of the request.</w:t>
      </w:r>
    </w:p>
    <w:p>
      <w:pPr>
        <w:pStyle w:val="ListBullet"/>
      </w:pPr>
      <w:r>
        <w:t>The customer should ensure reliable, stable connectivity with all systems involved in this project.</w:t>
      </w:r>
    </w:p>
    <w:p>
      <w:pPr>
        <w:pStyle w:val="ListBullet"/>
      </w:pPr>
      <w:r>
        <w:t>The customer should maintain a complete backup (full, incremental, differential, etc.) of the implemented solutions under this scope from the date of installation.</w:t>
      </w:r>
    </w:p>
    <w:p>
      <w:pPr>
        <w:pStyle w:val="ListBullet"/>
      </w:pPr>
      <w:r>
        <w:t>The customer's technical team should provide all required information about the environment to ensure Verto Wave resources can work effectively both onsite or offsite.</w:t>
      </w:r>
    </w:p>
    <w:p>
      <w:pPr>
        <w:pStyle w:val="ListBullet"/>
      </w:pPr>
      <w:r>
        <w:t>All administrative accounts for the services specified within the scope of this engagement must be prepared and handed over to the Verto Wave team prior to the commencement of deployment.</w:t>
      </w:r>
    </w:p>
    <w:p>
      <w:pPr>
        <w:pStyle w:val="ListBullet"/>
      </w:pPr>
      <w:r>
        <w:t>The customer should provide full administrative access to the existing servers and services, where applicable.</w:t>
      </w:r>
    </w:p>
    <w:p>
      <w:pPr>
        <w:pStyle w:val="ListBullet"/>
      </w:pPr>
      <w:r>
        <w:t>The solution servers must meet all prerequisites outlined in the design documents before deployment.</w:t>
      </w:r>
    </w:p>
    <w:p>
      <w:pPr>
        <w:pStyle w:val="ListBullet"/>
      </w:pPr>
      <w:r>
        <w:t>There is no security policy or firewalls blocking required communication or replication between servers.</w:t>
      </w:r>
    </w:p>
    <w:p>
      <w:pPr>
        <w:pStyle w:val="ListBullet"/>
      </w:pPr>
      <w:r>
        <w:t>During the designing and planning stage, the customer and Verto Wave must finalize the detailed design prior to starting the building stage.</w:t>
      </w:r>
    </w:p>
    <w:p>
      <w:pPr>
        <w:pStyle w:val="ListBullet"/>
      </w:pPr>
      <w:r>
        <w:t>All the implemented firewalls and security policies should allow the required communication or replication between servers.</w:t>
      </w:r>
    </w:p>
    <w:p>
      <w:pPr>
        <w:pStyle w:val="ListBullet"/>
      </w:pPr>
      <w:r>
        <w:t>Any required certificates for securing the solution will be provided by the customer.</w:t>
      </w:r>
    </w:p>
    <w:p>
      <w:pPr>
        <w:pStyle w:val="ListBullet"/>
      </w:pPr>
      <w:r>
        <w:t>The customer will purchase any required operating system, database, or application subscription licenses, where applicable.</w:t>
      </w:r>
    </w:p>
    <w:p>
      <w:pPr>
        <w:pStyle w:val="ListBullet"/>
      </w:pPr>
      <w:r>
        <w:t>The naming convention will be established and agreed upon during the designing and planning stage.</w:t>
      </w:r>
    </w:p>
    <w:p>
      <w:pPr>
        <w:pStyle w:val="ListBullet"/>
      </w:pPr>
      <w:r>
        <w:t>The customer will ensure dedication of stakeholders to participate effectively in the requirement gathering and system design.</w:t>
      </w:r>
    </w:p>
    <w:p>
      <w:pPr>
        <w:pStyle w:val="ListBullet"/>
      </w:pPr>
      <w:r>
        <w:t>Designate stakeholders to participate in meetings.</w:t>
      </w:r>
    </w:p>
    <w:p>
      <w:pPr>
        <w:pStyle w:val="ListBullet"/>
      </w:pPr>
      <w:r>
        <w:t>Facilitate the information-gathering sessions.</w:t>
      </w:r>
    </w:p>
    <w:p>
      <w:pPr>
        <w:pStyle w:val="ListBullet"/>
      </w:pPr>
      <w:r>
        <w:t>Ensure that stakeholders are committed to actively participate in requirement gathering and system design.</w:t>
      </w:r>
    </w:p>
    <w:p>
      <w:pPr>
        <w:pStyle w:val="Heading2"/>
      </w:pPr>
      <w:r>
        <w:t>Figure — &lt;Insert approved generic diagram / screenshot here&gt;</w:t>
      </w:r>
    </w:p>
    <w:p>
      <w:r>
        <w:t>&lt;!-- IMAGE PLACEMENT GUIDANCE — insert approved generic image here --&gt;</w:t>
        <w:br/>
        <w:t>&lt;!-- Recommended image: a generic diagram or screenshot relevant to this section's content (architecture, flow, dashboard, or topology as appropriate). No customer-specific names, environment, architecture, site names, or branding.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image here. See image-placement guidance notes.]*</w:t>
      </w:r>
    </w:p>
    <w:p>
      <w:pPr>
        <w:pStyle w:val="Heading2"/>
      </w:pPr>
      <w:r>
        <w:t>Assumptions Specific to DeviceX/SDX Solution</w:t>
      </w:r>
    </w:p>
    <w:p>
      <w:pPr>
        <w:pStyle w:val="ListBullet"/>
      </w:pPr>
      <w:r>
        <w:t>The solution will be deployed once in a single production environment.</w:t>
      </w:r>
    </w:p>
    <w:p>
      <w:pPr>
        <w:pStyle w:val="ListBullet"/>
      </w:pPr>
      <w:r>
        <w:t>Video retention period, camera recording resolution, frame rate, and video bitrate assumptions (where NVR is in scope) — confirm per bid and document in the design stage. Do not carry forward assumptions from a prior engagement without validation.</w:t>
      </w:r>
    </w:p>
    <w:p>
      <w:pPr>
        <w:pStyle w:val="ListBullet"/>
      </w:pPr>
      <w:r>
        <w:t>The customer should avail reliable stable/high connectivity with all systems contributing to this project and Internet Connectivity.</w:t>
      </w:r>
    </w:p>
    <w:p>
      <w:pPr>
        <w:pStyle w:val="ListBullet"/>
      </w:pPr>
      <w:r>
        <w:t>Where selected, operations activities will take place only on the Verto Wave-implemented solution.</w:t>
      </w:r>
    </w:p>
    <w:p>
      <w:pPr>
        <w:pStyle w:val="Heading2"/>
      </w:pPr>
      <w:r>
        <w:t>Multi-Location / Regulatory Assumptions (where applicable)</w:t>
      </w:r>
    </w:p>
    <w:p>
      <w:r>
        <w:t>*Include this subsection where the engagement spans multiple operating locations or jurisdictions. De-sectorize the wording to match the current engagement; do not assert regulatory positions that have not been confirmed.*</w:t>
      </w:r>
    </w:p>
    <w:p>
      <w:pPr>
        <w:pStyle w:val="ListBullet"/>
      </w:pPr>
      <w:r>
        <w:t>The customer holds, or will obtain, all licenses and regulatory approvals required to operate the service and to carry voice and data traffic in each operating location.</w:t>
      </w:r>
    </w:p>
    <w:p>
      <w:pPr>
        <w:pStyle w:val="ListBullet"/>
      </w:pPr>
      <w:r>
        <w:t>The customer confirms that the intended cross-border flow of data to the central data center is permitted under the data protection and relevant sector regulations of each country of operation.</w:t>
      </w:r>
    </w:p>
    <w:p>
      <w:pPr>
        <w:pStyle w:val="ListBullet"/>
      </w:pPr>
      <w:r>
        <w:t>The customer is responsible for equipment import, customs clearance and in-country delivery of appliances to each site.</w:t>
      </w:r>
    </w:p>
    <w:p>
      <w:pPr>
        <w:pStyle w:val="ListBullet"/>
      </w:pPr>
      <w:r>
        <w:t>Where encryption, lawful interception or numbering restrictions apply in a location, the customer will notify Verto Wave during the envisioning phase so the design can accommodate them.</w:t>
      </w:r>
    </w:p>
    <w:p>
      <w:pPr>
        <w:pStyle w:val="ListBullet"/>
      </w:pPr>
      <w:r>
        <w:t>The customer will procure and have active at each site, and in the central data center, at least one access service meeting the minimum characteristics, before the site build for that location begins. Where a second independent service is required for resilience, the customer will procure it.</w:t>
      </w:r>
    </w:p>
    <w:p>
      <w:pPr>
        <w:pStyle w:val="Heading2"/>
      </w:pPr>
      <w:r>
        <w:t>Dependencies</w:t>
      </w:r>
    </w:p>
    <w:p>
      <w:pPr>
        <w:pStyle w:val="ListBullet"/>
      </w:pPr>
      <w:r>
        <w:t>Delivery of backend and management infrastructure in the customer datacentre as per the design.</w:t>
      </w:r>
    </w:p>
    <w:p>
      <w:pPr>
        <w:pStyle w:val="ListBullet"/>
      </w:pPr>
      <w:r>
        <w:t>Secure communication channels (e.g., VPN, encrypted connections) for internal and external data exchange.</w:t>
      </w:r>
    </w:p>
    <w:p>
      <w:pPr>
        <w:pStyle w:val="ListBullet"/>
      </w:pPr>
      <w:r>
        <w:t>Availability of required network communication ports opened in the firewall per the timelines above.</w:t>
      </w:r>
    </w:p>
    <w:p>
      <w:pPr>
        <w:pStyle w:val="ListBullet"/>
      </w:pPr>
      <w:r>
        <w:t>Availability of customer technical team for requirement gathering, system design, and knowledge transfer.</w:t>
      </w:r>
    </w:p>
    <w:p>
      <w:pPr>
        <w:pStyle w:val="ListBullet"/>
      </w:pPr>
      <w:r>
        <w:t>Availability of customer administrative credentials and access.</w:t>
      </w:r>
    </w:p>
    <w:p>
      <w:pPr>
        <w:pStyle w:val="ListBullet"/>
      </w:pPr>
      <w:r>
        <w:t>Customer datacentre readiness (power, cooling, rack space, physical security) — note: civil/electrical/power/UPS work is out of scope.</w:t>
      </w:r>
    </w:p>
    <w:p>
      <w:pPr>
        <w:pStyle w:val="Heading2"/>
      </w:pPr>
      <w:r>
        <w:t>Risks (to be elaborated per bid in the RAID log)</w:t>
      </w:r>
    </w:p>
    <w:p>
      <w:r>
        <w:t>The following are representative risk themes drawn from prior multi-location deployments. They are starting points for the per-bid RAID log, not a committed risk register. Validate, add, remove and re-weight per engagement.</w:t>
      </w:r>
    </w:p>
    <w:p>
      <w:pPr>
        <w:pStyle w:val="ListBullet"/>
      </w:pPr>
      <w:r>
        <w:t>Customer-provided access quality below service-quality thresholds for priority traffic — mitigate via minimum access characteristics published per bid and validated per site during design; multi-path design so a second customer service can be added where the first is insufficient; quality-based steering and adaptive media degradation; per-site quality baseline recorded before go-live commitment.</w:t>
      </w:r>
    </w:p>
    <w:p>
      <w:pPr>
        <w:pStyle w:val="ListBullet"/>
      </w:pPr>
      <w:r>
        <w:t>Customs or import delay for appliances — mitigate via early hardware forecast issued at design sign-off; core built on temporary or cloud infrastructure so the central side proceeds in parallel; location rollout sequenced by clearance readiness.</w:t>
      </w:r>
    </w:p>
    <w:p>
      <w:pPr>
        <w:pStyle w:val="ListBullet"/>
      </w:pPr>
      <w:r>
        <w:t>Regulatory restriction on cross-border data — mitigate via confirmation per location during envisioning; segmentation model supports in-country retention of designated data classes where required.</w:t>
      </w:r>
    </w:p>
    <w:p>
      <w:pPr>
        <w:pStyle w:val="ListBullet"/>
      </w:pPr>
      <w:r>
        <w:t>Delay in customer-side access, credentials or permits — mitigate via access checklist issued at kick-off with named owners and dates; tracked as a standing item in weekly governance.</w:t>
      </w:r>
    </w:p>
    <w:p>
      <w:pPr>
        <w:pStyle w:val="ListBullet"/>
      </w:pPr>
      <w:r>
        <w:t>Stakeholder availability for call flow / operating-model design — mitigate via design workshop scheduled in the first two weeks; default flows pre-designed so absence delays refinement rather than the build.</w:t>
      </w:r>
    </w:p>
    <w:p>
      <w:pPr>
        <w:pStyle w:val="ListBullet"/>
      </w:pPr>
      <w:r>
        <w:t>Physical theft or tampering of appliances at sites — mitigate via hardware-bound encryption rendering a stolen node unreadable; continuous attestation removing a tampered node from the network automatically; central revocation and remote wipe available on report of loss.</w:t>
      </w:r>
    </w:p>
    <w:p>
      <w:pPr>
        <w:pStyle w:val="Heading2"/>
      </w:pPr>
      <w:r>
        <w:t>Mutual Cooperation</w:t>
      </w:r>
    </w:p>
    <w:p>
      <w:r>
        <w:t>The parties acknowledge that the successful completion of the services requires full and mutual good faith cooperation. Any agreement, approval, acceptance, consent, or similar action required by either party under this proposal will not be unreasonably delayed or withheld. The customer agrees that if its failure to meet its responsibilities causes a delay or failure in Verto Wave's performance under the agreement, Verto Wave will not be liable for such delay or failure.</w:t>
      </w:r>
    </w:p>
    <w:p>
      <w:r>
        <w:t>*This section is a reusable building block. The assumptions above are derived from prior VertoWave proposals and reflect standard engagement conditions. Validate and tailor per bid — do not assert facts about the current customer's environment that have not been confirmed. The "not subject to customer acceptance" clause and the 12-month expiry clause are standard commercial clauses; confirm with Legal/Solution before issuing.*</w:t>
      </w:r>
    </w:p>
    <w:p/>
    <w:p>
      <w:pPr>
        <w:pStyle w:val="Heading1"/>
      </w:pPr>
      <w:r>
        <w:t>Out-of-Scope Activities</w:t>
      </w:r>
    </w:p>
    <w:p>
      <w:r>
        <w:t>The following activities are out of scope, unless explicitly stated otherwise in the in-scope section of this proposal:</w:t>
      </w:r>
    </w:p>
    <w:p>
      <w:pPr>
        <w:pStyle w:val="Heading3"/>
      </w:pPr>
      <w:r>
        <w:t>Hardware, cabling, civil and field work</w:t>
      </w:r>
    </w:p>
    <w:p>
      <w:pPr>
        <w:pStyle w:val="ListBullet"/>
      </w:pPr>
      <w:r>
        <w:t>Supplying and mounting hardware, network equipment, and storage devices, along with the necessary cabling other than DeviceX.</w:t>
      </w:r>
    </w:p>
    <w:p>
      <w:pPr>
        <w:pStyle w:val="ListBullet"/>
      </w:pPr>
      <w:r>
        <w:t>Providing or mounting hardware, network and storage devices including cabling for backend management and monitoring, except devices delivered by Verto Wave.</w:t>
      </w:r>
    </w:p>
    <w:p>
      <w:pPr>
        <w:pStyle w:val="ListBullet"/>
      </w:pPr>
      <w:r>
        <w:t>Any civil or electrical work or resolving any power connectivity availability from UPS to proceed in implementation.</w:t>
      </w:r>
    </w:p>
    <w:p>
      <w:pPr>
        <w:pStyle w:val="ListBullet"/>
      </w:pPr>
      <w:r>
        <w:t>Any activity in the branches/sites including delivery and mounting of devices.</w:t>
      </w:r>
    </w:p>
    <w:p>
      <w:pPr>
        <w:pStyle w:val="ListBullet"/>
      </w:pPr>
      <w:r>
        <w:t>Any field support activities.</w:t>
      </w:r>
    </w:p>
    <w:p>
      <w:pPr>
        <w:pStyle w:val="ListBullet"/>
      </w:pPr>
      <w:r>
        <w:t>Any on-site or field operations.</w:t>
      </w:r>
    </w:p>
    <w:p>
      <w:pPr>
        <w:pStyle w:val="ListBullet"/>
      </w:pPr>
      <w:r>
        <w:t>Any logistical tasks and direct communication with the end user.</w:t>
      </w:r>
    </w:p>
    <w:p>
      <w:pPr>
        <w:pStyle w:val="ListBullet"/>
      </w:pPr>
      <w:r>
        <w:t>Any passive work including mounting hardware, cabling and connecting screens.</w:t>
      </w:r>
    </w:p>
    <w:p>
      <w:pPr>
        <w:pStyle w:val="ListBullet"/>
      </w:pPr>
      <w:r>
        <w:t>Replacement of customer site devices.</w:t>
      </w:r>
    </w:p>
    <w:p>
      <w:pPr>
        <w:pStyle w:val="ListBullet"/>
      </w:pPr>
      <w:r>
        <w:t>Providing any screens or display equipment.</w:t>
      </w:r>
    </w:p>
    <w:p>
      <w:pPr>
        <w:pStyle w:val="Heading3"/>
      </w:pPr>
      <w:r>
        <w:t>Rework, hardware failure and environmental issues</w:t>
      </w:r>
    </w:p>
    <w:p>
      <w:pPr>
        <w:pStyle w:val="ListBullet"/>
      </w:pPr>
      <w:r>
        <w:t>Any rework for the centralized management infrastructure related to hardware availability or hardware failure issues, network connectivity issues, electricity instability or electricity outages.</w:t>
      </w:r>
    </w:p>
    <w:p>
      <w:pPr>
        <w:pStyle w:val="ListBullet"/>
      </w:pPr>
      <w:r>
        <w:t>Any rework related to hardware availability or hardware failure issues.</w:t>
      </w:r>
    </w:p>
    <w:p>
      <w:pPr>
        <w:pStyle w:val="ListBullet"/>
      </w:pPr>
      <w:r>
        <w:t>Troubleshooting and investigating any issues related to hardware, network, or power failures, except devices delivered by Verto Wave.</w:t>
      </w:r>
    </w:p>
    <w:p>
      <w:pPr>
        <w:pStyle w:val="ListBullet"/>
      </w:pPr>
      <w:r>
        <w:t>Any rework for the centralized management infrastructure related to hardware availability or hardware failure issues.</w:t>
      </w:r>
    </w:p>
    <w:p>
      <w:pPr>
        <w:pStyle w:val="Heading3"/>
      </w:pPr>
      <w:r>
        <w:t>Third-party systems, integration and migration</w:t>
      </w:r>
    </w:p>
    <w:p>
      <w:pPr>
        <w:pStyle w:val="ListBullet"/>
      </w:pPr>
      <w:r>
        <w:t>Implementing any third-party systems that are not included in this proposal scope.</w:t>
      </w:r>
    </w:p>
    <w:p>
      <w:pPr>
        <w:pStyle w:val="ListBullet"/>
      </w:pPr>
      <w:r>
        <w:t>Any deployment or configuration of third-party systems not included in this proposal scope.</w:t>
      </w:r>
    </w:p>
    <w:p>
      <w:pPr>
        <w:pStyle w:val="ListBullet"/>
      </w:pPr>
      <w:r>
        <w:t>Any deployment or configuration or integration or troubleshooting of any third-party systems or applications or any new service or products not mentioned in the in-scope section.</w:t>
      </w:r>
    </w:p>
    <w:p>
      <w:pPr>
        <w:pStyle w:val="ListBullet"/>
      </w:pPr>
      <w:r>
        <w:t>Integration with any other third-party products except for those explicitly mentioned under scope of work.</w:t>
      </w:r>
    </w:p>
    <w:p>
      <w:pPr>
        <w:pStyle w:val="ListBullet"/>
      </w:pPr>
      <w:r>
        <w:t>Integrating with components that don't support standard protocols used by DeviceX/SDX.</w:t>
      </w:r>
    </w:p>
    <w:p>
      <w:pPr>
        <w:pStyle w:val="ListBullet"/>
      </w:pPr>
      <w:r>
        <w:t>Integrating with end-of-life (EOL) / end-of-support (EOS) systems and solutions.</w:t>
      </w:r>
    </w:p>
    <w:p>
      <w:pPr>
        <w:pStyle w:val="ListBullet"/>
      </w:pPr>
      <w:r>
        <w:t>Operating third-party systems aside from the systems included in this scope.</w:t>
      </w:r>
    </w:p>
    <w:p>
      <w:pPr>
        <w:pStyle w:val="ListBullet"/>
      </w:pPr>
      <w:r>
        <w:t>Managing and supporting systems and devices not allowing ways of integration.</w:t>
      </w:r>
    </w:p>
    <w:p>
      <w:pPr>
        <w:pStyle w:val="ListBullet"/>
      </w:pPr>
      <w:r>
        <w:t>Managing and supporting systems and devices not allowing ways of integration with StackX Endpoint Management.</w:t>
      </w:r>
    </w:p>
    <w:p>
      <w:pPr>
        <w:pStyle w:val="ListBullet"/>
      </w:pPr>
      <w:r>
        <w:t>Any deployment or configuration of third-party endpoint security products not included in this proposal scope.</w:t>
      </w:r>
    </w:p>
    <w:p>
      <w:pPr>
        <w:pStyle w:val="ListBullet"/>
      </w:pPr>
      <w:r>
        <w:t>Any implementation activities of new systems or solutions, unless explicitly in scope.</w:t>
      </w:r>
    </w:p>
    <w:p>
      <w:pPr>
        <w:pStyle w:val="ListBullet"/>
      </w:pPr>
      <w:r>
        <w:t>Any development and debugging activities not explicitly in scope.</w:t>
      </w:r>
    </w:p>
    <w:p>
      <w:pPr>
        <w:pStyle w:val="ListBullet"/>
      </w:pPr>
      <w:r>
        <w:t>Any development and debugging activities.</w:t>
      </w:r>
    </w:p>
    <w:p>
      <w:pPr>
        <w:pStyle w:val="ListBullet"/>
      </w:pPr>
      <w:r>
        <w:t>Any migration activities.</w:t>
      </w:r>
    </w:p>
    <w:p>
      <w:pPr>
        <w:pStyle w:val="Heading3"/>
      </w:pPr>
      <w:r>
        <w:t>Virtualization, OS/DB and compatibility</w:t>
      </w:r>
    </w:p>
    <w:p>
      <w:pPr>
        <w:pStyle w:val="ListBullet"/>
      </w:pPr>
      <w:r>
        <w:t>Deploying any software on created Virtual Machines unless explicitly in scope.</w:t>
      </w:r>
    </w:p>
    <w:p>
      <w:pPr>
        <w:pStyle w:val="ListBullet"/>
      </w:pPr>
      <w:r>
        <w:t>Configuring or troubleshooting the Business Virtual Machines hosted on DeviceX, unless explicitly in scope.</w:t>
      </w:r>
    </w:p>
    <w:p>
      <w:pPr>
        <w:pStyle w:val="ListBullet"/>
      </w:pPr>
      <w:r>
        <w:t>Setting up or upgrading to newer versions of OS or Database, unless explicitly in scope.</w:t>
      </w:r>
    </w:p>
    <w:p>
      <w:pPr>
        <w:pStyle w:val="ListBullet"/>
      </w:pPr>
      <w:r>
        <w:t>Application compatibility checks or troubleshooting with operating systems.</w:t>
      </w:r>
    </w:p>
    <w:p>
      <w:pPr>
        <w:pStyle w:val="ListBullet"/>
      </w:pPr>
      <w:r>
        <w:t>Applications compatibility check or troubleshooting with Operating Systems.</w:t>
      </w:r>
    </w:p>
    <w:p>
      <w:pPr>
        <w:pStyle w:val="Heading3"/>
      </w:pPr>
      <w:r>
        <w:t>Change to existing environment</w:t>
      </w:r>
    </w:p>
    <w:p>
      <w:pPr>
        <w:pStyle w:val="ListBullet"/>
      </w:pPr>
      <w:r>
        <w:t>Any change to existing customer devices or configurations (switches, routers, existing firewalls, and similar).</w:t>
      </w:r>
    </w:p>
    <w:p>
      <w:pPr>
        <w:pStyle w:val="ListBullet"/>
      </w:pPr>
      <w:r>
        <w:t>Any design changes to the existing environment.</w:t>
      </w:r>
    </w:p>
    <w:p>
      <w:pPr>
        <w:pStyle w:val="ListBullet"/>
      </w:pPr>
      <w:r>
        <w:t>Changes in design to the existing environment.</w:t>
      </w:r>
    </w:p>
    <w:p>
      <w:pPr>
        <w:pStyle w:val="Heading2"/>
      </w:pPr>
      <w:r>
        <w:t>Figure — &lt;Insert approved generic diagram / screenshot here&gt;</w:t>
      </w:r>
    </w:p>
    <w:p>
      <w:r>
        <w:t>&lt;!-- IMAGE PLACEMENT GUIDANCE — insert approved generic image here --&gt;</w:t>
        <w:br/>
        <w:t>&lt;!-- Recommended image: a generic diagram or screenshot relevant to this section's content (architecture, flow, dashboard, or topology as appropriate). No customer-specific names, environment, architecture, site names, or branding.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image here. See image-placement guidance notes.]*</w:t>
      </w:r>
    </w:p>
    <w:p>
      <w:pPr>
        <w:pStyle w:val="Heading3"/>
      </w:pPr>
      <w:r>
        <w:t>Connectivity, carriers and access services</w:t>
      </w:r>
    </w:p>
    <w:p>
      <w:pPr>
        <w:pStyle w:val="ListBullet"/>
      </w:pPr>
      <w:r>
        <w:t>Any communication with the telco operators.</w:t>
      </w:r>
    </w:p>
    <w:p>
      <w:pPr>
        <w:pStyle w:val="ListBullet"/>
      </w:pPr>
      <w:r>
        <w:t>Procurement, supply, resale, contracting or funding of any connectivity service — internet, fiber, DSL, satellite, cellular, MPLS or any other wide-area transport — at any site or in the central data center. All access services are contracted directly by the customer with its chosen providers.</w:t>
      </w:r>
    </w:p>
    <w:p>
      <w:pPr>
        <w:pStyle w:val="ListBullet"/>
      </w:pPr>
      <w:r>
        <w:t>Any communication, negotiation, fault escalation or SLA management with ISPs, carriers or satellite operators on the customer's behalf.</w:t>
      </w:r>
    </w:p>
    <w:p>
      <w:pPr>
        <w:pStyle w:val="ListBullet"/>
      </w:pPr>
      <w:r>
        <w:t>Any responsibility for the availability, throughput, latency or quality of customer-provided access services, and any service credit arising from their failure.</w:t>
      </w:r>
    </w:p>
    <w:p>
      <w:pPr>
        <w:pStyle w:val="ListBullet"/>
      </w:pPr>
      <w:r>
        <w:t>Design, survey, installation or upgrade of last-mile access, including satellite terminal installation, alignment and commissioning.</w:t>
      </w:r>
    </w:p>
    <w:p>
      <w:pPr>
        <w:pStyle w:val="Heading3"/>
      </w:pPr>
      <w:r>
        <w:t>Customs, import and logistics</w:t>
      </w:r>
    </w:p>
    <w:p>
      <w:pPr>
        <w:pStyle w:val="ListBullet"/>
      </w:pPr>
      <w:r>
        <w:t>Customs clearance, import permits, duties, in-country logistics and equipment delivery to site.</w:t>
      </w:r>
    </w:p>
    <w:p>
      <w:pPr>
        <w:pStyle w:val="Heading3"/>
      </w:pPr>
      <w:r>
        <w:t>Licensing, certificates and telecom permissions</w:t>
      </w:r>
    </w:p>
    <w:p>
      <w:pPr>
        <w:pStyle w:val="ListBullet"/>
      </w:pPr>
      <w:r>
        <w:t>Obtaining telecommunications, telephony numbering, VoIP or data-service licenses and regulatory permits in any country of operation.</w:t>
      </w:r>
    </w:p>
    <w:p>
      <w:pPr>
        <w:pStyle w:val="ListBullet"/>
      </w:pPr>
      <w:r>
        <w:t>Procurement of any extra licenses that are not identified as in-scope.</w:t>
      </w:r>
    </w:p>
    <w:p>
      <w:pPr>
        <w:pStyle w:val="ListBullet"/>
      </w:pPr>
      <w:r>
        <w:t>Acquisition of any necessary commercial certificates, unless explicitly in scope.</w:t>
      </w:r>
    </w:p>
    <w:p>
      <w:pPr>
        <w:pStyle w:val="Heading3"/>
      </w:pPr>
      <w:r>
        <w:t>Security testing, video and documentation</w:t>
      </w:r>
    </w:p>
    <w:p>
      <w:pPr>
        <w:pStyle w:val="ListBullet"/>
      </w:pPr>
      <w:r>
        <w:t>Conducting security penetration testing, vulnerability assessments, code reviews, and forensic activities, unless explicitly stated as in scope.</w:t>
      </w:r>
    </w:p>
    <w:p>
      <w:pPr>
        <w:pStyle w:val="ListBullet"/>
      </w:pPr>
      <w:r>
        <w:t>Any video recordings or screenshots, unless explicitly in scope.</w:t>
      </w:r>
    </w:p>
    <w:p>
      <w:pPr>
        <w:pStyle w:val="ListBullet"/>
      </w:pPr>
      <w:r>
        <w:t>Any documentation other than design documents (and agreed deliverables).</w:t>
      </w:r>
    </w:p>
    <w:p>
      <w:pPr>
        <w:pStyle w:val="Heading3"/>
      </w:pPr>
      <w:r>
        <w:t>Backup, DR, network and security activities</w:t>
      </w:r>
    </w:p>
    <w:p>
      <w:pPr>
        <w:pStyle w:val="ListBullet"/>
      </w:pPr>
      <w:r>
        <w:t>Any backup, network, and security activities not explicitly in scope.</w:t>
      </w:r>
    </w:p>
    <w:p>
      <w:pPr>
        <w:pStyle w:val="ListBullet"/>
      </w:pPr>
      <w:r>
        <w:t>Any backup, network, and security activities beyond those explicitly listed as in-scope or explicitly selected from the extended security services.</w:t>
      </w:r>
    </w:p>
    <w:p>
      <w:pPr>
        <w:pStyle w:val="ListBullet"/>
      </w:pPr>
      <w:r>
        <w:t>Any disaster recovery (DR) activities, unless the backup and continuity service is selected and separately quoted.</w:t>
      </w:r>
    </w:p>
    <w:p>
      <w:pPr>
        <w:pStyle w:val="Heading3"/>
      </w:pPr>
      <w:r>
        <w:t>Creating agreements and out-of-scope activities</w:t>
      </w:r>
    </w:p>
    <w:p>
      <w:pPr>
        <w:pStyle w:val="ListBullet"/>
      </w:pPr>
      <w:r>
        <w:t>Creating new SLAs and/or agreements with vendors for systems aside from those explicitly included in this scope.</w:t>
      </w:r>
    </w:p>
    <w:p>
      <w:pPr>
        <w:pStyle w:val="ListBullet"/>
      </w:pPr>
      <w:r>
        <w:t>Adding any NVR or DVR to the platform-NVR.</w:t>
      </w:r>
    </w:p>
    <w:p>
      <w:pPr>
        <w:pStyle w:val="ListBullet"/>
      </w:pPr>
      <w:r>
        <w:t>Adding any analogue cameras to the platform-NVR, unless confirmed per design.</w:t>
      </w:r>
    </w:p>
    <w:p>
      <w:pPr>
        <w:pStyle w:val="ListBullet"/>
      </w:pPr>
      <w:r>
        <w:t>Managing or monitoring any endpoint or workstation, unless explicitly in scope.</w:t>
      </w:r>
    </w:p>
    <w:p>
      <w:pPr>
        <w:pStyle w:val="ListBullet"/>
      </w:pPr>
      <w:r>
        <w:t>Any activity that is not mentioned explicitly in the in-scope activities will be out of scope.</w:t>
      </w:r>
    </w:p>
    <w:p>
      <w:pPr>
        <w:pStyle w:val="ListBullet"/>
      </w:pPr>
      <w:r>
        <w:t>Any activity that is not explicitly mentioned in the in-scope activities will be out of scope.</w:t>
      </w:r>
    </w:p>
    <w:p>
      <w:pPr>
        <w:pStyle w:val="Heading3"/>
      </w:pPr>
      <w:r>
        <w:t>Connectivity boundary (explicit)</w:t>
      </w:r>
    </w:p>
    <w:p>
      <w:pPr>
        <w:pStyle w:val="ListBullet"/>
      </w:pPr>
      <w:r>
        <w:t>Wide-area access services remain a customer procurement. Verto Wave supplies the platform and not the circuits. The customer keeps full commercial freedom to select or change access providers at each location without redesigning the network or renegotiating the engagement.</w:t>
      </w:r>
    </w:p>
    <w:p>
      <w:pPr>
        <w:pStyle w:val="ListBullet"/>
      </w:pPr>
      <w:r>
        <w:t>Where a control depends on equipment or tenancy the customer supplies — access-layer switching, cloud accounts, directory services — Verto Wave's commitment is to design, verify and evidence it, not to operate what it does not supply.</w:t>
      </w:r>
    </w:p>
    <w:p>
      <w:pPr>
        <w:pStyle w:val="Heading3"/>
      </w:pPr>
      <w:r>
        <w:t>Application layer boundary (explicit)</w:t>
      </w:r>
    </w:p>
    <w:p>
      <w:pPr>
        <w:pStyle w:val="ListBullet"/>
      </w:pPr>
      <w:r>
        <w:t>The customer's application / application layer remains its supplier's product. Verto Wave does not write, modify or assume ownership of the application's code. Where a control lives inside that application, Verto Wave's role is independent testing, evidencing and supervision.</w:t>
      </w:r>
    </w:p>
    <w:p>
      <w:pPr>
        <w:pStyle w:val="ListBullet"/>
      </w:pPr>
      <w:r>
        <w:t>Supply, configuration or support of specialised application peripherals, devices, or application software of any kind remains the customer's domain.</w:t>
      </w:r>
    </w:p>
    <w:p>
      <w:pPr>
        <w:pStyle w:val="ListBullet"/>
      </w:pPr>
      <w:r>
        <w:t>Supply or licensing of the customer's core application, and any application data migration, are out of scope.</w:t>
      </w:r>
    </w:p>
    <w:p>
      <w:r>
        <w:t>*This section is a reusable building block. The out-of-scope list above is near-verbatim across prior VertoWave DeviceX/SDX and StackX proposals and represents the standard exclusion boundary, extended with the generic connectivity- and application-layer boundary clauses. Confirm with Legal/Solution that no additional exclusions or inclusions are needed for the current bid. Do not carry forward any customer-specific or sector-specific exclusions from a prior engagement without validation.*</w:t>
      </w:r>
    </w:p>
    <w:p/>
    <w:p>
      <w:pPr>
        <w:pStyle w:val="Heading1"/>
      </w:pPr>
      <w:r>
        <w:t>Change Management Procedure</w:t>
      </w:r>
    </w:p>
    <w:p>
      <w:pPr>
        <w:pStyle w:val="Heading2"/>
      </w:pPr>
      <w:r>
        <w:t>Process</w:t>
      </w:r>
    </w:p>
    <w:p>
      <w:r>
        <w:t>In the event that modifications, additions, or edits to the scope are required, Verto Wave will adhere to its established Change Management Process. Both the customer and Verto Wave have the authority to propose changes to the services, including deliverables, scope, or any other aspect of the project. Such changes may arise based on actual experience or as the customer clarifies or redefines their requirements. Additionally, modifications may be necessary if the customer does not fulfill their responsibilities or obligations outlined in this document, or if there are deviations from any assumptions, constraints, dependencies, or project scope specifications stated herein.</w:t>
      </w:r>
    </w:p>
    <w:p>
      <w:r>
        <w:t>Any request for changes to the services must be submitted in writing. This includes requests for modifications to project plans, scope, specifications, schedules, designs, requirements, service deliverables, software environments, or any other aspect of this document. Verto Wave will not be obligated to undertake any tasks related to changes in time, scope, cost, or contractual obligations until both the customer and Verto Wave agree in writing to the proposed change request form through Verto Wave's authorized Change Management Process.</w:t>
      </w:r>
    </w:p>
    <w:p>
      <w:r>
        <w:t>Verto Wave's change request process is a formalized approach to managing change requests within a project or organization. This process ensures that changes are evaluated, documented, and executed consistently.</w:t>
      </w:r>
    </w:p>
    <w:p>
      <w:pPr>
        <w:pStyle w:val="Heading3"/>
      </w:pPr>
      <w:r>
        <w:t>Change Request Process Steps</w:t>
      </w:r>
    </w:p>
    <w:p>
      <w:pPr>
        <w:pStyle w:val="ListNumber"/>
      </w:pPr>
      <w:r>
        <w:t>Collect Information: When a change is desired, the requestor — whether the customer or Verto Wave — will notify Verto Wave Primary Contact with the details of the requested change. The Primary Contact will then prepare a preliminary Project Change Request Form to outline the nature of the requested change.</w:t>
      </w:r>
    </w:p>
    <w:p>
      <w:pPr>
        <w:pStyle w:val="ListNumber"/>
      </w:pPr>
      <w:r>
        <w:t>Impact Assessment: Verto Wave will conduct an initial Impact Assessment to evaluate any potential positive or negative effects on project deliverables, resources, budget, and timelines. This assessment helps determine the feasibility of the change and its alignment with project goals.</w:t>
      </w:r>
    </w:p>
    <w:p>
      <w:pPr>
        <w:pStyle w:val="ListNumber"/>
      </w:pPr>
      <w:r>
        <w:t>Approve or Reject Change Requests: After assessment, Verto Wave will decide whether to approve or reject the change request. This decision will consider the overall project context, stakeholder input, and alignment with organizational objectives. If the change affects the services schedule or costs, Verto Wave will obtain customer approval before proceeding with a full analysis.</w:t>
      </w:r>
    </w:p>
    <w:p>
      <w:pPr>
        <w:pStyle w:val="Heading2"/>
      </w:pPr>
      <w:r>
        <w:t>Figure — Change Request Process Flow</w:t>
      </w:r>
    </w:p>
    <w:p>
      <w:r>
        <w:t>&lt;!-- IMAGE PLACEMENT GUIDANCE — insert approved generic image here --&gt;</w:t>
        <w:br/>
        <w:t>&lt;!-- Recommended image: a generic change-request process flow diagram showing request submission, impact assessment, approval gate, implementation, validation, and closure — aligned to the change request procedure in this section. No customer-specific committee/approver names, no customer-specific system names, no customer site names. --&gt;</w:t>
        <w:br/>
        <w:t>&lt;!-- Suggested source: generic change-management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change-request process-flow diagram here. See image-placement guidance notes.]*</w:t>
      </w:r>
    </w:p>
    <w:p>
      <w:pPr>
        <w:pStyle w:val="ListNumber"/>
      </w:pPr>
      <w:r>
        <w:t>Prioritize Change Requests: Not all change requests hold the same significance. Verto Wave, in collaboration with the customer, will prioritize change requests based on urgency, impact, and strategic importance. Some changes may require immediate attention, while others can be scheduled for later implementation.</w:t>
      </w:r>
    </w:p>
    <w:p>
      <w:pPr>
        <w:pStyle w:val="ListNumber"/>
      </w:pPr>
      <w:r>
        <w:t>Execution and Reporting: Once approved, Verto Wave will implement the change according to the agreed-upon plan. The status of the Change Request will be included in the Progress Reports.</w:t>
      </w:r>
    </w:p>
    <w:p>
      <w:pPr>
        <w:pStyle w:val="Heading2"/>
      </w:pPr>
      <w:r>
        <w:t>Review and Approval</w:t>
      </w:r>
    </w:p>
    <w:p>
      <w:r>
        <w:t>If both parties approve a full Change Request analysis, Verto Wave will prepare a Project Change Request Form detailing the change and its justification, directing the analysis effort to the appropriate resources. This analysis will result in a final Project Change Request Form that includes estimated costs, schedule and resource requirements, technical feasibility, and recommended actions such as:</w:t>
      </w:r>
    </w:p>
    <w:p>
      <w:pPr>
        <w:pStyle w:val="ListBullet"/>
      </w:pPr>
      <w:r>
        <w:t>Implementation without adjusting current cost or delivery schedule.</w:t>
      </w:r>
    </w:p>
    <w:p>
      <w:pPr>
        <w:pStyle w:val="ListBullet"/>
      </w:pPr>
      <w:r>
        <w:t>Implementation with an impact on customer costs, delivery schedule, or both.</w:t>
      </w:r>
    </w:p>
    <w:p>
      <w:pPr>
        <w:pStyle w:val="ListBullet"/>
      </w:pPr>
      <w:r>
        <w:t>Recommendation for a follow-on project.</w:t>
      </w:r>
    </w:p>
    <w:p>
      <w:r>
        <w:t>If Verto Wave determines that the project is not technically or economically feasible, a detailed explanation will be provided outlining the reasons for this assessment.</w:t>
      </w:r>
    </w:p>
    <w:p>
      <w:r>
        <w:t>Verto Wave will review the Project Change Request Form with the customer. Following this review, it will be marked as "accepted" or "withdrawn," and both parties will sign the form. If marked as "accepted," Verto Wave will revise the services to incorporate the changes agreed upon, and Verto Wave's invoicing will be updated accordingly.</w:t>
      </w:r>
    </w:p>
    <w:p>
      <w:r>
        <w:t>*This section is a reusable building block. The change management procedure above is near-verbatim across prior VertoWave proposals. Storage/configuration change classification and emergency-fix handling (for StackX/DevOps-heavy bids) may require additional detail per bid — see the DevOps module for the release-control framework.*</w:t>
      </w:r>
    </w:p>
    <w:p/>
    <w:p>
      <w:pPr>
        <w:pStyle w:val="Heading1"/>
      </w:pPr>
      <w:r>
        <w:t>Project Management Methodology</w:t>
      </w:r>
    </w:p>
    <w:p>
      <w:pPr>
        <w:pStyle w:val="Heading2"/>
      </w:pPr>
      <w:r>
        <w:t>Overview</w:t>
      </w:r>
    </w:p>
    <w:p>
      <w:r>
        <w:t>Verto Wave Project Management Methodology consists of five stages. The methodology is mapped to the PMI standard Project Management Process Groups, and RAID (Risks, Assumptions, Issues, Dependencies) logging is used throughout the project lifecycle.</w:t>
      </w:r>
    </w:p>
    <w:p>
      <w:pPr>
        <w:pStyle w:val="Heading2"/>
      </w:pPr>
      <w:r>
        <w:t>Project Management Stages</w:t>
      </w:r>
    </w:p>
    <w:p>
      <w:r>
        <w:t>The overall project lifecycle and their interrelations are depicted in the project management stages diagram.</w:t>
      </w:r>
    </w:p>
    <w:p>
      <w:pPr>
        <w:pStyle w:val="ListBullet"/>
      </w:pPr>
      <w:r>
        <w:t>Envisioning</w:t>
      </w:r>
    </w:p>
    <w:p>
      <w:pPr>
        <w:pStyle w:val="ListBullet"/>
      </w:pPr>
      <w:r>
        <w:t>Designing &amp; Planning</w:t>
      </w:r>
    </w:p>
    <w:p>
      <w:pPr>
        <w:pStyle w:val="ListBullet"/>
      </w:pPr>
      <w:r>
        <w:t>Building (Deployment, Stabilization and Testing)</w:t>
      </w:r>
    </w:p>
    <w:p>
      <w:pPr>
        <w:pStyle w:val="ListBullet"/>
      </w:pPr>
      <w:r>
        <w:t>Monitoring &amp; Controlling</w:t>
      </w:r>
    </w:p>
    <w:p>
      <w:pPr>
        <w:pStyle w:val="ListBullet"/>
      </w:pPr>
      <w:r>
        <w:t>Closure</w:t>
      </w:r>
    </w:p>
    <w:p>
      <w:pPr>
        <w:pStyle w:val="Heading2"/>
      </w:pPr>
      <w:r>
        <w:t>PMI Process Group Mapping</w:t>
      </w:r>
    </w:p>
    <w:tbl>
      <w:tblPr>
        <w:tblStyle w:val="TableGrid"/>
        <w:tblW w:type="auto" w:w="0"/>
        <w:tblLook w:firstColumn="1" w:firstRow="1" w:lastColumn="0" w:lastRow="0" w:noHBand="0" w:noVBand="1" w:val="04A0"/>
      </w:tblPr>
      <w:tblGrid>
        <w:gridCol w:w="4320"/>
        <w:gridCol w:w="4320"/>
      </w:tblGrid>
      <w:tr>
        <w:tc>
          <w:tcPr>
            <w:tcW w:type="dxa" w:w="4320"/>
          </w:tcPr>
          <w:p>
            <w:r>
              <w:rPr>
                <w:b/>
              </w:rPr>
              <w:t>PMI Process Group</w:t>
            </w:r>
          </w:p>
        </w:tc>
        <w:tc>
          <w:tcPr>
            <w:tcW w:type="dxa" w:w="4320"/>
          </w:tcPr>
          <w:p>
            <w:r>
              <w:rPr>
                <w:b/>
              </w:rPr>
              <w:t>Verto Wave Project Stage</w:t>
            </w:r>
          </w:p>
        </w:tc>
      </w:tr>
      <w:tr>
        <w:tc>
          <w:tcPr>
            <w:tcW w:type="dxa" w:w="4320"/>
          </w:tcPr>
          <w:p>
            <w:r>
              <w:t>:---</w:t>
            </w:r>
          </w:p>
        </w:tc>
        <w:tc>
          <w:tcPr>
            <w:tcW w:type="dxa" w:w="4320"/>
          </w:tcPr>
          <w:p>
            <w:r>
              <w:t>:---</w:t>
            </w:r>
          </w:p>
        </w:tc>
      </w:tr>
      <w:tr>
        <w:tc>
          <w:tcPr>
            <w:tcW w:type="dxa" w:w="4320"/>
          </w:tcPr>
          <w:p>
            <w:r>
              <w:t>Initiating Process Group</w:t>
            </w:r>
          </w:p>
        </w:tc>
        <w:tc>
          <w:tcPr>
            <w:tcW w:type="dxa" w:w="4320"/>
          </w:tcPr>
          <w:p>
            <w:r>
              <w:t>Envisioning</w:t>
            </w:r>
          </w:p>
        </w:tc>
      </w:tr>
      <w:tr>
        <w:tc>
          <w:tcPr>
            <w:tcW w:type="dxa" w:w="4320"/>
          </w:tcPr>
          <w:p>
            <w:r>
              <w:t>Planning Process Group</w:t>
            </w:r>
          </w:p>
        </w:tc>
        <w:tc>
          <w:tcPr>
            <w:tcW w:type="dxa" w:w="4320"/>
          </w:tcPr>
          <w:p>
            <w:r>
              <w:t>Designing &amp; Planning</w:t>
            </w:r>
          </w:p>
        </w:tc>
      </w:tr>
      <w:tr>
        <w:tc>
          <w:tcPr>
            <w:tcW w:type="dxa" w:w="4320"/>
          </w:tcPr>
          <w:p>
            <w:r>
              <w:t>Executing Process Group</w:t>
            </w:r>
          </w:p>
        </w:tc>
        <w:tc>
          <w:tcPr>
            <w:tcW w:type="dxa" w:w="4320"/>
          </w:tcPr>
          <w:p>
            <w:r>
              <w:t>Building</w:t>
            </w:r>
          </w:p>
        </w:tc>
      </w:tr>
      <w:tr>
        <w:tc>
          <w:tcPr>
            <w:tcW w:type="dxa" w:w="4320"/>
          </w:tcPr>
          <w:p>
            <w:r>
              <w:t>Monitoring &amp; Controlling Process Group</w:t>
            </w:r>
          </w:p>
        </w:tc>
        <w:tc>
          <w:tcPr>
            <w:tcW w:type="dxa" w:w="4320"/>
          </w:tcPr>
          <w:p>
            <w:r>
              <w:t>Monitoring &amp; Controlling</w:t>
            </w:r>
          </w:p>
        </w:tc>
      </w:tr>
      <w:tr>
        <w:tc>
          <w:tcPr>
            <w:tcW w:type="dxa" w:w="4320"/>
          </w:tcPr>
          <w:p>
            <w:r>
              <w:t>Closing Process Group</w:t>
            </w:r>
          </w:p>
        </w:tc>
        <w:tc>
          <w:tcPr>
            <w:tcW w:type="dxa" w:w="4320"/>
          </w:tcPr>
          <w:p>
            <w:r>
              <w:t>Closure</w:t>
            </w:r>
          </w:p>
        </w:tc>
      </w:tr>
    </w:tbl>
    <w:p>
      <w:pPr>
        <w:pStyle w:val="Heading2"/>
      </w:pPr>
      <w:r>
        <w:t>Stage 1 — Envisioning</w:t>
      </w:r>
    </w:p>
    <w:p>
      <w:r>
        <w:t>Envisioning stage is generally when a project is formally approved and assigned to a Project Manager and Tech Lead. Two main activities should be completed during this project stage: developing the project charter and identifying key project stakeholders.</w:t>
      </w:r>
    </w:p>
    <w:p>
      <w:r>
        <w:t>The main objective of this stage is launching the project, getting the required data regarding the customer's environment, and aligning the currently identified stakeholders with the project's objectives, constraints, and timeline.</w:t>
      </w:r>
    </w:p>
    <w:p>
      <w:r>
        <w:t>During this stage, a consecutive series of technical workshops should be held so the project management team deeply goes inside what is already on the ground at the customer side. This can serve as an early form of planning; it sets the stage for the more formal planning process that will take place during the project's Designing &amp; Planning stage.</w:t>
      </w:r>
    </w:p>
    <w:p>
      <w:pPr>
        <w:pStyle w:val="Heading2"/>
      </w:pPr>
      <w:r>
        <w:t>Stage 2 — Designing &amp; Planning</w:t>
      </w:r>
    </w:p>
    <w:p>
      <w:r>
        <w:t>In this stage, the project management team will start the planning process to build a solid ground for the project. The planning stage is where they evaluate and manage the timeframe, and the possible risks of the project.</w:t>
      </w:r>
    </w:p>
    <w:p>
      <w:r>
        <w:t>The most important task here is to develop the project plan which will be used for Project Performance Monitoring throughout the project life cycle in the Monitoring and Controlling stage.</w:t>
      </w:r>
    </w:p>
    <w:p>
      <w:r>
        <w:t>The most important outcomes of this stage are:</w:t>
      </w:r>
    </w:p>
    <w:p>
      <w:pPr>
        <w:pStyle w:val="ListBullet"/>
      </w:pPr>
      <w:r>
        <w:t>A confirmed Scope document, which includes the project detailed scope of work</w:t>
      </w:r>
    </w:p>
    <w:p>
      <w:pPr>
        <w:pStyle w:val="ListBullet"/>
      </w:pPr>
      <w:r>
        <w:t>Confirmed project management deliverables</w:t>
      </w:r>
    </w:p>
    <w:p>
      <w:pPr>
        <w:pStyle w:val="Heading2"/>
      </w:pPr>
      <w:r>
        <w:t>Stage 3 — Building (Deployment, Stabilization and Testing)</w:t>
      </w:r>
    </w:p>
    <w:p>
      <w:pPr>
        <w:pStyle w:val="Heading2"/>
      </w:pPr>
      <w:r>
        <w:t>Figure — Delivery Phasing / Project Stages Diagram</w:t>
      </w:r>
    </w:p>
    <w:p>
      <w:r>
        <w:t>&lt;!-- IMAGE PLACEMENT GUIDANCE — insert approved generic image here --&gt;</w:t>
        <w:br/>
        <w:t>&lt;!-- Recommended image: a generic delivery-phasing / project-stages diagram showing the phases (from the delivery phasing subsection: Phase 1 … through optional Phase 6 managed ops) and the 5-stage PMI-mapped PM methodology + RAID log. No customer-specific milestone names, no customer-specific dates, no customer site names. --&gt;</w:t>
        <w:br/>
        <w:t>&lt;!-- Suggested source: EGYCash "Fig. 1. Verto Wave Project Management Stages" — use only as a composition reference for the PM stages shape; genericise labels; strip any customer-specific milestone names/dates.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delivery-phasing / project-stages diagram here. See image-placement guidance notes.]*</w:t>
      </w:r>
    </w:p>
    <w:p>
      <w:r>
        <w:t>This stage is focused on completing the work defined in the Project Plan, which is completed and approved by the stakeholders at the end of the project planning stage. It involves coordinating all the resources to get the work done efficiently and effectively so that the project keeps delivering the promised objective.</w:t>
      </w:r>
    </w:p>
    <w:p>
      <w:r>
        <w:t>This stage is where most of the work is carried out, and where products and deliverables are built, assembled, constructed, and created.</w:t>
      </w:r>
    </w:p>
    <w:p>
      <w:r>
        <w:t>The most important output here is the Deliverable, which is produced in line with the defined Project Plan.</w:t>
      </w:r>
    </w:p>
    <w:p>
      <w:r>
        <w:t>During this stage, Changes will also be implemented but only those which are Approved by the management or change control board or by the steering committee.</w:t>
      </w:r>
    </w:p>
    <w:p>
      <w:pPr>
        <w:pStyle w:val="Heading2"/>
      </w:pPr>
      <w:r>
        <w:t>Stage 4 — Monitoring &amp; Controlling</w:t>
      </w:r>
    </w:p>
    <w:p>
      <w:r>
        <w:t>Project monitoring activities are performed throughout all project stages. In this stage, project work is required to be tracked, reviewed, in order to regulate the progress and performance of the project; identify any areas in which changes to the plan are required; and initiate the corresponding changes.</w:t>
      </w:r>
    </w:p>
    <w:p>
      <w:r>
        <w:t>RAID technique is used to evaluate the effectiveness of a work assignment. RAID log is created and updated throughout project lifecycle.</w:t>
      </w:r>
    </w:p>
    <w:p>
      <w:r>
        <w:t>The term RAID is an acronym that represents the following terms that apply to project management:</w:t>
      </w:r>
    </w:p>
    <w:p>
      <w:pPr>
        <w:pStyle w:val="ListBullet"/>
      </w:pPr>
      <w:r>
        <w:t>Risks: Risks represent potential challenges that can interfere with the success of the assignment. The RAID log explains the risks and their causes; discusses the effects they can have on the project's goals and develops strategies for avoiding and overcoming them.</w:t>
      </w:r>
    </w:p>
    <w:p>
      <w:pPr>
        <w:pStyle w:val="ListBullet"/>
      </w:pPr>
      <w:r>
        <w:t>Actions: Actions are the tasks team members plan to work on to deliver a quality final product. In this section, project managers identify the employees responsible for the tasks and the timeline for finishing them.</w:t>
      </w:r>
    </w:p>
    <w:p>
      <w:pPr>
        <w:pStyle w:val="ListBullet"/>
      </w:pPr>
      <w:r>
        <w:t>Issues: Issues are hardships project management teams have encountered along the project. The log explains how the issue transpired, who contributed to its occurrence and what team members did to resolve it.</w:t>
      </w:r>
    </w:p>
    <w:p>
      <w:pPr>
        <w:pStyle w:val="ListBullet"/>
      </w:pPr>
      <w:r>
        <w:t>Decisions: Decisions are choices the group made throughout the course of the project, which allow employees to track changes to their objectives. In the log, project managers may write what they decided on, who made the decision and when they agreed on the choice.</w:t>
      </w:r>
    </w:p>
    <w:p>
      <w:pPr>
        <w:pStyle w:val="Heading2"/>
      </w:pPr>
      <w:r>
        <w:t>Stage 5 — Closure</w:t>
      </w:r>
    </w:p>
    <w:p>
      <w:r>
        <w:t>Project closure is the final stage of project management methodology. It is when the project has been completed and finished successfully and authorized by the designated customer authority.</w:t>
      </w:r>
    </w:p>
    <w:p>
      <w:r>
        <w:t>At this stage, the handover and acceptance activities outlined in the scope documentation will be implemented. The key focus of the project closeout is the handover of the product, good, or service to the customer, whether physical or virtual.</w:t>
      </w:r>
    </w:p>
    <w:p>
      <w:pPr>
        <w:pStyle w:val="Heading2"/>
      </w:pPr>
      <w:r>
        <w:t>Change Procedures</w:t>
      </w:r>
    </w:p>
    <w:p>
      <w:r>
        <w:t>Change management is handled per the Change Management Procedure section of this proposal. See `{{section_change_mgmt}}`.</w:t>
      </w:r>
    </w:p>
    <w:p>
      <w:pPr>
        <w:pStyle w:val="Heading2"/>
      </w:pPr>
      <w:r>
        <w:t>Delivery Phasing (separate from the PM methodology above)</w:t>
      </w:r>
    </w:p>
    <w:p>
      <w:r>
        <w:t>The PM stages above describe how we manage the project. The phasing below describes how we sequence the delivery. They are complementary, not the same thing.</w:t>
      </w:r>
    </w:p>
    <w:p>
      <w:r>
        <w:t>Delivery is phased so that the central/core is proven before location rollout begins, and so the first location validates the model end to end before the remaining locations are executed in parallel.</w:t>
      </w:r>
    </w:p>
    <w:p>
      <w:r>
        <w:t>The pilot-then-parallel sequence is deliberate. The first location is where unknowns surface — carrier behaviour, customs, power, user workflow. Absorbing them once, into a template, is what allows the remaining locations to be delivered at pace rather than repeating the same discovery multiple times.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Focus</w:t>
            </w:r>
          </w:p>
        </w:tc>
        <w:tc>
          <w:tcPr>
            <w:tcW w:type="dxa" w:w="2880"/>
          </w:tcPr>
          <w:p>
            <w:r>
              <w:rPr>
                <w:b/>
              </w:rPr>
              <w:t>Key Outcomes</w:t>
            </w:r>
          </w:p>
        </w:tc>
      </w:tr>
      <w:tr>
        <w:tc>
          <w:tcPr>
            <w:tcW w:type="dxa" w:w="2880"/>
          </w:tcPr>
          <w:p>
            <w:r>
              <w:t>:---</w:t>
            </w:r>
          </w:p>
        </w:tc>
        <w:tc>
          <w:tcPr>
            <w:tcW w:type="dxa" w:w="2880"/>
          </w:tcPr>
          <w:p>
            <w:r>
              <w:t>:---</w:t>
            </w:r>
          </w:p>
        </w:tc>
        <w:tc>
          <w:tcPr>
            <w:tcW w:type="dxa" w:w="2880"/>
          </w:tcPr>
          <w:p>
            <w:r>
              <w:t>:---</w:t>
            </w:r>
          </w:p>
        </w:tc>
      </w:tr>
      <w:tr>
        <w:tc>
          <w:tcPr>
            <w:tcW w:type="dxa" w:w="2880"/>
          </w:tcPr>
          <w:p>
            <w:r>
              <w:t>Phase 1 — Envisioning &amp; Design</w:t>
            </w:r>
          </w:p>
        </w:tc>
        <w:tc>
          <w:tcPr>
            <w:tcW w:type="dxa" w:w="2880"/>
          </w:tcPr>
          <w:p>
            <w:r>
              <w:t>Requirements gathered, site profiles completed, classes assigned, traffic and security models agreed, call flows designed, design document signed off, hardware forecast issued.</w:t>
            </w:r>
          </w:p>
        </w:tc>
        <w:tc>
          <w:tcPr>
            <w:tcW w:type="dxa" w:w="2880"/>
          </w:tcPr>
          <w:p>
            <w:r>
              <w:t>Requirements gathered; site profiles completed; traffic and security models agreed; design document signed off; hardware forecast issued.</w:t>
            </w:r>
          </w:p>
        </w:tc>
      </w:tr>
      <w:tr>
        <w:tc>
          <w:tcPr>
            <w:tcW w:type="dxa" w:w="2880"/>
          </w:tcPr>
          <w:p>
            <w:r>
              <w:t>Phase 2 — Core Build</w:t>
            </w:r>
          </w:p>
        </w:tc>
        <w:tc>
          <w:tcPr>
            <w:tcW w:type="dxa" w:w="2880"/>
          </w:tcPr>
          <w:p>
            <w:r>
              <w:t>Backend, hub, certificate authority, monitoring and log management, central platform and remote-room edge in service and validated.</w:t>
            </w:r>
          </w:p>
        </w:tc>
        <w:tc>
          <w:tcPr>
            <w:tcW w:type="dxa" w:w="2880"/>
          </w:tcPr>
          <w:p>
            <w:r>
              <w:t>Core platform components in service and validated.</w:t>
            </w:r>
          </w:p>
        </w:tc>
      </w:tr>
      <w:tr>
        <w:tc>
          <w:tcPr>
            <w:tcW w:type="dxa" w:w="2880"/>
          </w:tcPr>
          <w:p>
            <w:r>
              <w:t>Phase 3 — Pilot Rollout</w:t>
            </w:r>
          </w:p>
        </w:tc>
        <w:tc>
          <w:tcPr>
            <w:tcW w:type="dxa" w:w="2880"/>
          </w:tcPr>
          <w:p>
            <w:r>
              <w:t>First location's sites provisioned via zero-touch, end-to-end session validated against the service quality targets, template hardened from real-world findings.</w:t>
            </w:r>
          </w:p>
        </w:tc>
        <w:tc>
          <w:tcPr>
            <w:tcW w:type="dxa" w:w="2880"/>
          </w:tcPr>
          <w:p>
            <w:r>
              <w:t>First location validated end to end; template hardened.</w:t>
            </w:r>
          </w:p>
        </w:tc>
      </w:tr>
      <w:tr>
        <w:tc>
          <w:tcPr>
            <w:tcW w:type="dxa" w:w="2880"/>
          </w:tcPr>
          <w:p>
            <w:r>
              <w:t>Phase 4 — Parallel Rollout</w:t>
            </w:r>
          </w:p>
        </w:tc>
        <w:tc>
          <w:tcPr>
            <w:tcW w:type="dxa" w:w="2880"/>
          </w:tcPr>
          <w:p>
            <w:r>
              <w:t>Remaining locations deployed against the hardened template, each site closed out with the standard acceptance test.</w:t>
            </w:r>
          </w:p>
        </w:tc>
        <w:tc>
          <w:tcPr>
            <w:tcW w:type="dxa" w:w="2880"/>
          </w:tcPr>
          <w:p>
            <w:r>
              <w:t>Remaining locations delivered at pace against a proven template.</w:t>
            </w:r>
          </w:p>
        </w:tc>
      </w:tr>
      <w:tr>
        <w:tc>
          <w:tcPr>
            <w:tcW w:type="dxa" w:w="2880"/>
          </w:tcPr>
          <w:p>
            <w:r>
              <w:t>Phase 5 — Training &amp; Handover</w:t>
            </w:r>
          </w:p>
        </w:tc>
        <w:tc>
          <w:tcPr>
            <w:tcW w:type="dxa" w:w="2880"/>
          </w:tcPr>
          <w:p>
            <w:r>
              <w:t>Administration training delivered, documentation issued, operational handover completed. This is the final phase of the base scope.</w:t>
            </w:r>
          </w:p>
        </w:tc>
        <w:tc>
          <w:tcPr>
            <w:tcW w:type="dxa" w:w="2880"/>
          </w:tcPr>
          <w:p>
            <w:r>
              <w:t>Training delivered; documentation issued; handover completed.</w:t>
            </w:r>
          </w:p>
        </w:tc>
      </w:tr>
      <w:tr>
        <w:tc>
          <w:tcPr>
            <w:tcW w:type="dxa" w:w="2880"/>
          </w:tcPr>
          <w:p>
            <w:r>
              <w:t>Phase 6 (Optional) — Managed Operations</w:t>
            </w:r>
          </w:p>
        </w:tc>
        <w:tc>
          <w:tcPr>
            <w:tcW w:type="dxa" w:w="2880"/>
          </w:tcPr>
          <w:p>
            <w:r>
              <w:t>Only if the managed service option is selected. Remote managed service commences under the OLA. Where the customer self-operates, the engagement concludes at Phase 5.</w:t>
            </w:r>
          </w:p>
        </w:tc>
        <w:tc>
          <w:tcPr>
            <w:tcW w:type="dxa" w:w="2880"/>
          </w:tcPr>
          <w:p>
            <w:r>
              <w:t>Managed operations commenced under the OLA, or self-operation concluded at handover.</w:t>
            </w:r>
          </w:p>
        </w:tc>
      </w:tr>
    </w:tbl>
    <w:p>
      <w:r>
        <w:t>*This section is a reusable building block. The methodology above is near-verbatim across prior VertoWave proposals. Confirm per bid whether any stage gating, milestone definitions, or RAID review cadence require tailoring for the current engagement. The delivery phasing is platform-agnostic; tailor the phase count, pilot location and parallel-location count to the current engagement.*</w:t>
      </w:r>
    </w:p>
    <w:p/>
    <w:p>
      <w:pPr>
        <w:pStyle w:val="Heading1"/>
      </w:pPr>
      <w:r>
        <w:t>Operations Level Agreement (OLA) Template</w:t>
      </w:r>
    </w:p>
    <w:p>
      <w:pPr>
        <w:pStyle w:val="Heading2"/>
      </w:pPr>
      <w:r>
        <w:t>Introduction</w:t>
      </w:r>
    </w:p>
    <w:p>
      <w:r>
        <w:t>This OLA outlines the level of service, priority definitions, response times, escalation times, authority matrix, and RACI model provided by Verto Wave for the IT managed services to the customer. The aim is to ensure timely and effective handling of incidents and requests to maintain optimal performance and availability of IT services.</w:t>
      </w:r>
    </w:p>
    <w:p>
      <w:r>
        <w:t>*[Note: The OLA below is a reusable template. Response times, escalation times, operations team availability, and the RACI model must be confirmed per bid. Do not issue with placeholder values without validation against the current customer's SLA/OLA requirements.]*</w:t>
      </w:r>
    </w:p>
    <w:p>
      <w:pPr>
        <w:pStyle w:val="Heading2"/>
      </w:pPr>
      <w:r>
        <w:t>Priority Definitions</w:t>
      </w:r>
    </w:p>
    <w:p>
      <w:r>
        <w:t>Incidents and requests are categorized based on their priority and impact on business operations. The following priority levels are defined:</w:t>
      </w:r>
    </w:p>
    <w:p>
      <w:pPr>
        <w:pStyle w:val="Heading3"/>
      </w:pPr>
      <w:r>
        <w:t>Priority 1 (Critical)</w:t>
      </w:r>
    </w:p>
    <w:p>
      <w:r>
        <w:t>Definition: The entire system or a critical business function is down, causing a severe impact on operations with no workaround.</w:t>
      </w:r>
    </w:p>
    <w:p>
      <w:r>
        <w:t>Examples: Loss of overlay connectivity for a location; central platform unavailable; hub down; no session possible at multiple sites.</w:t>
      </w:r>
    </w:p>
    <w:p>
      <w:pPr>
        <w:pStyle w:val="Heading3"/>
      </w:pPr>
      <w:r>
        <w:t>Priority 2 (High)</w:t>
      </w:r>
    </w:p>
    <w:p>
      <w:r>
        <w:t>Definition: A major component of the system or a major business function is severely impacted, causing significant disruption. A workaround may exist but is not sustainable for long-term use.</w:t>
      </w:r>
    </w:p>
    <w:p>
      <w:r>
        <w:t>Examples: Single site offline; session quality persistently below target at a site; NVR not recording; queue misrouting.</w:t>
      </w:r>
    </w:p>
    <w:p>
      <w:pPr>
        <w:pStyle w:val="Heading3"/>
      </w:pPr>
      <w:r>
        <w:t>Priority 3 (Medium)</w:t>
      </w:r>
    </w:p>
    <w:p>
      <w:r>
        <w:t>Definition: A non-critical component is impacted, causing moderate disruption. A workaround exists and operations can continue.</w:t>
      </w:r>
    </w:p>
    <w:p>
      <w:r>
        <w:t>Examples: Single extension fault; monitoring dashboard error; intermittent minor quality degradation on a secondary path.</w:t>
      </w:r>
    </w:p>
    <w:p>
      <w:pPr>
        <w:pStyle w:val="Heading3"/>
      </w:pPr>
      <w:r>
        <w:t>Priority 4 (Low)</w:t>
      </w:r>
    </w:p>
    <w:p>
      <w:r>
        <w:t>Definition: A minor issue or request that has little to no impact on business operations.</w:t>
      </w:r>
    </w:p>
    <w:p>
      <w:r>
        <w:t>Examples: General enquiries, routine service requests, report additions, cosmetic issues.</w:t>
      </w:r>
    </w:p>
    <w:p>
      <w:pPr>
        <w:pStyle w:val="Heading2"/>
      </w:pPr>
      <w:r>
        <w:t>Operations Levels and Response Times</w:t>
      </w:r>
    </w:p>
    <w:p>
      <w:r>
        <w:t>Response times are defined based on the priority of the incident or request and the level required.</w:t>
      </w:r>
    </w:p>
    <w:p>
      <w:r>
        <w:t>*[The response-time table below reflects a common VertoWave baseline from prior proposals. Confirm and adjust per bid.]*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Response Time</w:t>
            </w:r>
          </w:p>
        </w:tc>
        <w:tc>
          <w:tcPr>
            <w:tcW w:type="dxa" w:w="2160"/>
          </w:tcPr>
          <w:p>
            <w:r>
              <w:rPr>
                <w:b/>
              </w:rPr>
              <w:t>Escalation to L2</w:t>
            </w:r>
          </w:p>
        </w:tc>
        <w:tc>
          <w:tcPr>
            <w:tcW w:type="dxa" w:w="2160"/>
          </w:tcPr>
          <w:p>
            <w:r>
              <w:rPr>
                <w:b/>
              </w:rPr>
              <w:t>Escalation to L3</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Priority 1</w:t>
            </w:r>
          </w:p>
        </w:tc>
        <w:tc>
          <w:tcPr>
            <w:tcW w:type="dxa" w:w="2160"/>
          </w:tcPr>
          <w:p>
            <w:r>
              <w:t>30 Business Minutes</w:t>
            </w:r>
          </w:p>
        </w:tc>
        <w:tc>
          <w:tcPr>
            <w:tcW w:type="dxa" w:w="2160"/>
          </w:tcPr>
          <w:p>
            <w:r>
              <w:t>1 Business Hour</w:t>
            </w:r>
          </w:p>
        </w:tc>
        <w:tc>
          <w:tcPr>
            <w:tcW w:type="dxa" w:w="2160"/>
          </w:tcPr>
          <w:p>
            <w:r>
              <w:t>2 Business Hours</w:t>
            </w:r>
          </w:p>
        </w:tc>
      </w:tr>
      <w:tr>
        <w:tc>
          <w:tcPr>
            <w:tcW w:type="dxa" w:w="2160"/>
          </w:tcPr>
          <w:p>
            <w:r>
              <w:t>Priority 2</w:t>
            </w:r>
          </w:p>
        </w:tc>
        <w:tc>
          <w:tcPr>
            <w:tcW w:type="dxa" w:w="2160"/>
          </w:tcPr>
          <w:p>
            <w:r>
              <w:t>1 Business Hour</w:t>
            </w:r>
          </w:p>
        </w:tc>
        <w:tc>
          <w:tcPr>
            <w:tcW w:type="dxa" w:w="2160"/>
          </w:tcPr>
          <w:p>
            <w:r>
              <w:t>2 Business Hours</w:t>
            </w:r>
          </w:p>
        </w:tc>
        <w:tc>
          <w:tcPr>
            <w:tcW w:type="dxa" w:w="2160"/>
          </w:tcPr>
          <w:p>
            <w:r>
              <w:t>4 Business Hours</w:t>
            </w:r>
          </w:p>
        </w:tc>
      </w:tr>
      <w:tr>
        <w:tc>
          <w:tcPr>
            <w:tcW w:type="dxa" w:w="2160"/>
          </w:tcPr>
          <w:p>
            <w:r>
              <w:t>Priority 3</w:t>
            </w:r>
          </w:p>
        </w:tc>
        <w:tc>
          <w:tcPr>
            <w:tcW w:type="dxa" w:w="2160"/>
          </w:tcPr>
          <w:p>
            <w:r>
              <w:t>2 Business Hours</w:t>
            </w:r>
          </w:p>
        </w:tc>
        <w:tc>
          <w:tcPr>
            <w:tcW w:type="dxa" w:w="2160"/>
          </w:tcPr>
          <w:p>
            <w:r>
              <w:t>4 Business Hours</w:t>
            </w:r>
          </w:p>
        </w:tc>
        <w:tc>
          <w:tcPr>
            <w:tcW w:type="dxa" w:w="2160"/>
          </w:tcPr>
          <w:p>
            <w:r>
              <w:t>1 Business Day</w:t>
            </w:r>
          </w:p>
        </w:tc>
      </w:tr>
      <w:tr>
        <w:tc>
          <w:tcPr>
            <w:tcW w:type="dxa" w:w="2160"/>
          </w:tcPr>
          <w:p>
            <w:r>
              <w:t>Priority 4</w:t>
            </w:r>
          </w:p>
        </w:tc>
        <w:tc>
          <w:tcPr>
            <w:tcW w:type="dxa" w:w="2160"/>
          </w:tcPr>
          <w:p>
            <w:r>
              <w:t>4 Business Hours</w:t>
            </w:r>
          </w:p>
        </w:tc>
        <w:tc>
          <w:tcPr>
            <w:tcW w:type="dxa" w:w="2160"/>
          </w:tcPr>
          <w:p>
            <w:r>
              <w:t>1 Business Day</w:t>
            </w:r>
          </w:p>
        </w:tc>
        <w:tc>
          <w:tcPr>
            <w:tcW w:type="dxa" w:w="2160"/>
          </w:tcPr>
          <w:p>
            <w:r>
              <w:t>2 Business Days</w:t>
            </w:r>
          </w:p>
        </w:tc>
      </w:tr>
    </w:tbl>
    <w:p>
      <w:pPr>
        <w:pStyle w:val="Heading2"/>
      </w:pPr>
      <w:r>
        <w:t>Operations Team Availability</w:t>
      </w:r>
    </w:p>
    <w:p>
      <w:r>
        <w:t>Verto Wave commits to providing operations services 8x5 (Sunday to Thursday, 9am–5pm), ensuring continuous availability and quick response to all incidents and requests.</w:t>
      </w:r>
    </w:p>
    <w:p>
      <w:r>
        <w:t>*[If 24x7 or extended coverage is required, this must be explicitly agreed and documented per bid. 24x7 coverage is aligned to service hours across all locations and the central site, and applies where the customer selects the extended operations option.]*</w:t>
      </w:r>
    </w:p>
    <w:p>
      <w:pPr>
        <w:pStyle w:val="Heading2"/>
      </w:pPr>
      <w:r>
        <w:t>Authority Matrix</w:t>
      </w:r>
    </w:p>
    <w:p>
      <w:r>
        <w:t>The following authority matrix outlines the roles and responsibilities for incident management and escalation:</w:t>
      </w:r>
    </w:p>
    <w:p>
      <w:pPr>
        <w:pStyle w:val="Heading2"/>
      </w:pPr>
      <w:r>
        <w:t>Figure — &lt;Insert approved generic diagram / screenshot here&gt;</w:t>
      </w:r>
    </w:p>
    <w:p>
      <w:r>
        <w:t>&lt;!-- IMAGE PLACEMENT GUIDANCE — insert approved generic image here --&gt;</w:t>
        <w:br/>
        <w:t>&lt;!-- Recommended image: a generic diagram or screenshot relevant to this section's content (architecture, flow, dashboard, or topology as appropriate). No customer-specific names, environment, architecture, site names, or branding.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image here. See image-placement guidance notes.]*</w:t>
      </w:r>
    </w:p>
    <w:p>
      <w:pPr>
        <w:pStyle w:val="Heading3"/>
      </w:pPr>
      <w:r>
        <w:t>L1 Operations Engineer</w:t>
      </w:r>
    </w:p>
    <w:p>
      <w:r>
        <w:t>The first point of contact for all IT-related requests/issues.</w:t>
      </w:r>
    </w:p>
    <w:p>
      <w:pPr>
        <w:pStyle w:val="ListBullet"/>
      </w:pPr>
      <w:r>
        <w:t>Receiving calls and incidents from help desk.</w:t>
      </w:r>
    </w:p>
    <w:p>
      <w:pPr>
        <w:pStyle w:val="ListBullet"/>
      </w:pPr>
      <w:r>
        <w:t>Logging tickets.</w:t>
      </w:r>
    </w:p>
    <w:p>
      <w:pPr>
        <w:pStyle w:val="ListBullet"/>
      </w:pPr>
      <w:r>
        <w:t>Verifying the issue and performing basic troubleshooting.</w:t>
      </w:r>
    </w:p>
    <w:p>
      <w:pPr>
        <w:pStyle w:val="ListBullet"/>
      </w:pPr>
      <w:r>
        <w:t>Executing approved standard actions.</w:t>
      </w:r>
    </w:p>
    <w:p>
      <w:pPr>
        <w:pStyle w:val="ListBullet"/>
      </w:pPr>
      <w:r>
        <w:t>Escalating cases beyond their skills to Level 2 specialists.</w:t>
      </w:r>
    </w:p>
    <w:p>
      <w:pPr>
        <w:pStyle w:val="Heading3"/>
      </w:pPr>
      <w:r>
        <w:t>L2 Operations Engineer</w:t>
      </w:r>
    </w:p>
    <w:p>
      <w:r>
        <w:t>Handles more complex technical requests and issues escalated by L1.</w:t>
      </w:r>
    </w:p>
    <w:p>
      <w:pPr>
        <w:pStyle w:val="ListBullet"/>
      </w:pPr>
      <w:r>
        <w:t>Work on escalated cases regarding provided solutions.</w:t>
      </w:r>
    </w:p>
    <w:p>
      <w:pPr>
        <w:pStyle w:val="ListBullet"/>
      </w:pPr>
      <w:r>
        <w:t>Implement approved changes and configurations.</w:t>
      </w:r>
    </w:p>
    <w:p>
      <w:pPr>
        <w:pStyle w:val="ListBullet"/>
      </w:pPr>
      <w:r>
        <w:t>Update, close, and approve closure of tickets.</w:t>
      </w:r>
    </w:p>
    <w:p>
      <w:pPr>
        <w:pStyle w:val="ListBullet"/>
      </w:pPr>
      <w:r>
        <w:t>Escalate cases beyond their skills to Level 3 specialists.</w:t>
      </w:r>
    </w:p>
    <w:p>
      <w:pPr>
        <w:pStyle w:val="Heading3"/>
      </w:pPr>
      <w:r>
        <w:t>L3 Operations Engineer</w:t>
      </w:r>
    </w:p>
    <w:p>
      <w:r>
        <w:t>Subject matter expert responsible for resolving the most advanced IT requests and issues.</w:t>
      </w:r>
    </w:p>
    <w:p>
      <w:pPr>
        <w:pStyle w:val="ListBullet"/>
      </w:pPr>
      <w:r>
        <w:t>Work on escalated cases from Level 2.</w:t>
      </w:r>
    </w:p>
    <w:p>
      <w:pPr>
        <w:pStyle w:val="ListBullet"/>
      </w:pPr>
      <w:r>
        <w:t>Implement approved advanced changes and configurations.</w:t>
      </w:r>
    </w:p>
    <w:p>
      <w:pPr>
        <w:pStyle w:val="ListBullet"/>
      </w:pPr>
      <w:r>
        <w:t>Opening support tickets and managing communication with the vendor.</w:t>
      </w:r>
    </w:p>
    <w:p>
      <w:pPr>
        <w:pStyle w:val="Heading3"/>
      </w:pPr>
      <w:r>
        <w:t>Operations Team Lead</w:t>
      </w:r>
    </w:p>
    <w:p>
      <w:r>
        <w:t>Oversees the L1 and L2 Operations teams, ensuring efficient and effective incident management and service delivery.</w:t>
      </w:r>
    </w:p>
    <w:p>
      <w:pPr>
        <w:pStyle w:val="Heading3"/>
      </w:pPr>
      <w:r>
        <w:t>Operations Manager</w:t>
      </w:r>
    </w:p>
    <w:p>
      <w:r>
        <w:t>Leads the L3 Operations team, focusing on strategic IT initiatives, complex problem resolution, and continuous improvement of IT services.</w:t>
      </w:r>
    </w:p>
    <w:p>
      <w:pPr>
        <w:pStyle w:val="Heading3"/>
      </w:pPr>
      <w:r>
        <w:t>Technical Account Manager</w:t>
      </w:r>
    </w:p>
    <w:p>
      <w:r>
        <w:t>Customer-facing role focusing on managing and supporting the technical aspects and relationship with its clients.</w:t>
      </w:r>
    </w:p>
    <w:p>
      <w:pPr>
        <w:pStyle w:val="Heading2"/>
      </w:pPr>
      <w:r>
        <w:t>RACI Model</w:t>
      </w:r>
    </w:p>
    <w:p>
      <w:r>
        <w:t>The RACI model outlines who is Responsible, Accountable, Consulted, and Informed for various tasks and activities.</w:t>
      </w:r>
    </w:p>
    <w:p>
      <w:r>
        <w:t>*[Attach or insert the RACI matrix per bid. Note: in some cases the Operations Team Lead can assume both functions of L1 and L2 Operations Manager.]*</w:t>
      </w:r>
    </w:p>
    <w:p>
      <w:pPr>
        <w:pStyle w:val="Heading2"/>
      </w:pPr>
      <w:r>
        <w:t>Escalation Process</w:t>
      </w:r>
    </w:p>
    <w:p>
      <w:r>
        <w:t>If an incident is not resolved within the specified resolution time, it will be escalated according to the following hierarchy:</w:t>
      </w:r>
    </w:p>
    <w:p>
      <w:pPr>
        <w:pStyle w:val="ListBullet"/>
      </w:pPr>
      <w:r>
        <w:t>First Escalation: Operations Team Lead</w:t>
      </w:r>
    </w:p>
    <w:p>
      <w:pPr>
        <w:pStyle w:val="ListBullet"/>
      </w:pPr>
      <w:r>
        <w:t>Second Escalation: Operations Manager</w:t>
      </w:r>
    </w:p>
    <w:p>
      <w:pPr>
        <w:pStyle w:val="Heading2"/>
      </w:pPr>
      <w:r>
        <w:t>Reporting and Review</w:t>
      </w:r>
    </w:p>
    <w:p>
      <w:r>
        <w:t>Regular reports on OLA performance will be provided to the customer on a monthly basis. OLA performance reviews will be conducted quarterly to ensure service quality and identify areas for improvement. Reporting includes per-location availability, service quality trend and incident summary.</w:t>
      </w:r>
    </w:p>
    <w:p>
      <w:pPr>
        <w:pStyle w:val="Heading2"/>
      </w:pPr>
      <w:r>
        <w:t>OLA Conditions</w:t>
      </w:r>
    </w:p>
    <w:p>
      <w:pPr>
        <w:pStyle w:val="ListBullet"/>
      </w:pPr>
      <w:r>
        <w:t>The OLA clock will be paused if the case falls outside Verto Wave coverage or is dispatched to the customer team.</w:t>
      </w:r>
    </w:p>
    <w:p>
      <w:pPr>
        <w:pStyle w:val="ListBullet"/>
      </w:pPr>
      <w:r>
        <w:t>Customer-reported critical and major requests must be raised by phone or email to be eligible for the KPIs.</w:t>
      </w:r>
    </w:p>
    <w:p>
      <w:r>
        <w:t>*This section is a reusable building block. The OLA template above reflects the standard 4-priority, 8x5 model used across prior VertoWave proposals. Per-bid: confirm priority definitions, response/escalation times, coverage hours, RACI assignments, and KPI eligibility rules with the customer and with VertoWave Operations before issuance.*</w:t>
      </w:r>
    </w:p>
    <w:p/>
    <w:p>
      <w:pPr>
        <w:pStyle w:val="Heading1"/>
      </w:pPr>
      <w:r>
        <w:t>Training &amp; Knowledge Transfer</w:t>
      </w:r>
    </w:p>
    <w:p>
      <w:pPr>
        <w:pStyle w:val="Heading2"/>
      </w:pPr>
      <w:r>
        <w:t>Overview</w:t>
      </w:r>
    </w:p>
    <w:p>
      <w:r>
        <w:t>Training and knowledge transfer are delivered as a standalone module within the base scope. Training is not contingent on taking the optional managed operations service — it is part of the base deliverable so that self-operation is a realistic choice.</w:t>
      </w:r>
    </w:p>
    <w:p>
      <w:r>
        <w:t>Training is delivered remotely and covers platform administration, site provisioning, policy management, monitoring and log review, call flow administration, NVR administration and first-line troubleshooting. Documentation and a recorded session are provided for onward internal training in each location.</w:t>
      </w:r>
    </w:p>
    <w:p>
      <w:r>
        <w:t>*[Author per bid: confirm the training audience, delivery mode (remote/in-person), session duration, and number of attendees against the customer's staffing model and operating-hours constraints. Do not copy a prior training matrix verbatim without validation.]*</w:t>
      </w:r>
    </w:p>
    <w:p>
      <w:pPr>
        <w:pStyle w:val="Heading2"/>
      </w:pPr>
      <w:r>
        <w:t>Example Training Matrix (format reference — tailor per bid)</w:t>
      </w:r>
    </w:p>
    <w:p>
      <w:r>
        <w:t>The following is an example matrix format only. It shows the level of detail typically provided; the actual courses, durations and attendee counts are set per engagement. Replace the `{{training_*}}` slots with the figures agreed for the current engagement, or remove courses that are not in scope.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Course</w:t>
            </w:r>
          </w:p>
        </w:tc>
        <w:tc>
          <w:tcPr>
            <w:tcW w:type="dxa" w:w="2880"/>
          </w:tcPr>
          <w:p>
            <w:r>
              <w:rPr>
                <w:b/>
              </w:rPr>
              <w:t>Typical Attendees</w:t>
            </w:r>
          </w:p>
        </w:tc>
        <w:tc>
          <w:tcPr>
            <w:tcW w:type="dxa" w:w="2880"/>
          </w:tcPr>
          <w:p>
            <w:r>
              <w:rPr>
                <w:b/>
              </w:rPr>
              <w:t>Session Duration</w:t>
            </w:r>
          </w:p>
        </w:tc>
      </w:tr>
      <w:tr>
        <w:tc>
          <w:tcPr>
            <w:tcW w:type="dxa" w:w="2880"/>
          </w:tcPr>
          <w:p>
            <w:r>
              <w:t>:---</w:t>
            </w:r>
          </w:p>
        </w:tc>
        <w:tc>
          <w:tcPr>
            <w:tcW w:type="dxa" w:w="2880"/>
          </w:tcPr>
          <w:p>
            <w:r>
              <w:t>:---</w:t>
            </w:r>
          </w:p>
        </w:tc>
        <w:tc>
          <w:tcPr>
            <w:tcW w:type="dxa" w:w="2880"/>
          </w:tcPr>
          <w:p>
            <w:r>
              <w:t>:---</w:t>
            </w:r>
          </w:p>
        </w:tc>
      </w:tr>
      <w:tr>
        <w:tc>
          <w:tcPr>
            <w:tcW w:type="dxa" w:w="2880"/>
          </w:tcPr>
          <w:p>
            <w:r>
              <w:t>DeviceX / SDX Administration</w:t>
            </w:r>
          </w:p>
        </w:tc>
        <w:tc>
          <w:tcPr>
            <w:tcW w:type="dxa" w:w="2880"/>
          </w:tcPr>
          <w:p>
            <w:r>
              <w:t>Up to ~5 technical staff</w:t>
            </w:r>
          </w:p>
        </w:tc>
        <w:tc>
          <w:tcPr>
            <w:tcW w:type="dxa" w:w="2880"/>
          </w:tcPr>
          <w:p>
            <w:r>
              <w:t>~3 days</w:t>
            </w:r>
          </w:p>
        </w:tc>
      </w:tr>
      <w:tr>
        <w:tc>
          <w:tcPr>
            <w:tcW w:type="dxa" w:w="2880"/>
          </w:tcPr>
          <w:p>
            <w:r>
              <w:t>StackX Network Monitoring</w:t>
            </w:r>
          </w:p>
        </w:tc>
        <w:tc>
          <w:tcPr>
            <w:tcW w:type="dxa" w:w="2880"/>
          </w:tcPr>
          <w:p>
            <w:r>
              <w:t>Up to ~5 technical staff</w:t>
            </w:r>
          </w:p>
        </w:tc>
        <w:tc>
          <w:tcPr>
            <w:tcW w:type="dxa" w:w="2880"/>
          </w:tcPr>
          <w:p>
            <w:r>
              <w:t>~2 days</w:t>
            </w:r>
          </w:p>
        </w:tc>
      </w:tr>
      <w:tr>
        <w:tc>
          <w:tcPr>
            <w:tcW w:type="dxa" w:w="2880"/>
          </w:tcPr>
          <w:p>
            <w:r>
              <w:t>StackX Log Management</w:t>
            </w:r>
          </w:p>
        </w:tc>
        <w:tc>
          <w:tcPr>
            <w:tcW w:type="dxa" w:w="2880"/>
          </w:tcPr>
          <w:p>
            <w:r>
              <w:t>Up to ~5 technical staff</w:t>
            </w:r>
          </w:p>
        </w:tc>
        <w:tc>
          <w:tcPr>
            <w:tcW w:type="dxa" w:w="2880"/>
          </w:tcPr>
          <w:p>
            <w:r>
              <w:t>~2 days</w:t>
            </w:r>
          </w:p>
        </w:tc>
      </w:tr>
      <w:tr>
        <w:tc>
          <w:tcPr>
            <w:tcW w:type="dxa" w:w="2880"/>
          </w:tcPr>
          <w:p>
            <w:r>
              <w:t>StackX Security Monitoring</w:t>
            </w:r>
          </w:p>
        </w:tc>
        <w:tc>
          <w:tcPr>
            <w:tcW w:type="dxa" w:w="2880"/>
          </w:tcPr>
          <w:p>
            <w:r>
              <w:t>Up to ~5 technical staff</w:t>
            </w:r>
          </w:p>
        </w:tc>
        <w:tc>
          <w:tcPr>
            <w:tcW w:type="dxa" w:w="2880"/>
          </w:tcPr>
          <w:p>
            <w:r>
              <w:t>~2 days</w:t>
            </w:r>
          </w:p>
        </w:tc>
      </w:tr>
      <w:tr>
        <w:tc>
          <w:tcPr>
            <w:tcW w:type="dxa" w:w="2880"/>
          </w:tcPr>
          <w:p>
            <w:r>
              <w:t>StackX Observability</w:t>
            </w:r>
          </w:p>
        </w:tc>
        <w:tc>
          <w:tcPr>
            <w:tcW w:type="dxa" w:w="2880"/>
          </w:tcPr>
          <w:p>
            <w:r>
              <w:t>Up to ~5 technical staff</w:t>
            </w:r>
          </w:p>
        </w:tc>
        <w:tc>
          <w:tcPr>
            <w:tcW w:type="dxa" w:w="2880"/>
          </w:tcPr>
          <w:p>
            <w:r>
              <w:t>~2 days</w:t>
            </w:r>
          </w:p>
        </w:tc>
      </w:tr>
      <w:tr>
        <w:tc>
          <w:tcPr>
            <w:tcW w:type="dxa" w:w="2880"/>
          </w:tcPr>
          <w:p>
            <w:r>
              <w:t>StackX Orchestration</w:t>
            </w:r>
          </w:p>
        </w:tc>
        <w:tc>
          <w:tcPr>
            <w:tcW w:type="dxa" w:w="2880"/>
          </w:tcPr>
          <w:p>
            <w:r>
              <w:t>Up to ~5 technical staff</w:t>
            </w:r>
          </w:p>
        </w:tc>
        <w:tc>
          <w:tcPr>
            <w:tcW w:type="dxa" w:w="2880"/>
          </w:tcPr>
          <w:p>
            <w:r>
              <w:t>~2 days</w:t>
            </w:r>
          </w:p>
        </w:tc>
      </w:tr>
      <w:tr>
        <w:tc>
          <w:tcPr>
            <w:tcW w:type="dxa" w:w="2880"/>
          </w:tcPr>
          <w:p>
            <w:r>
              <w:t>StackX ITSM</w:t>
            </w:r>
          </w:p>
        </w:tc>
        <w:tc>
          <w:tcPr>
            <w:tcW w:type="dxa" w:w="2880"/>
          </w:tcPr>
          <w:p>
            <w:r>
              <w:t>Up to ~5 technical staff</w:t>
            </w:r>
          </w:p>
        </w:tc>
        <w:tc>
          <w:tcPr>
            <w:tcW w:type="dxa" w:w="2880"/>
          </w:tcPr>
          <w:p>
            <w:r>
              <w:t>~3 days</w:t>
            </w:r>
          </w:p>
        </w:tc>
      </w:tr>
      <w:tr>
        <w:tc>
          <w:tcPr>
            <w:tcW w:type="dxa" w:w="2880"/>
          </w:tcPr>
          <w:p>
            <w:r>
              <w:t>StackX Endpoint Management</w:t>
            </w:r>
          </w:p>
        </w:tc>
        <w:tc>
          <w:tcPr>
            <w:tcW w:type="dxa" w:w="2880"/>
          </w:tcPr>
          <w:p>
            <w:r>
              <w:t>Up to ~5 technical staff</w:t>
            </w:r>
          </w:p>
        </w:tc>
        <w:tc>
          <w:tcPr>
            <w:tcW w:type="dxa" w:w="2880"/>
          </w:tcPr>
          <w:p>
            <w:r>
              <w:t>~2 days</w:t>
            </w:r>
          </w:p>
        </w:tc>
      </w:tr>
    </w:tbl>
    <w:p>
      <w:pPr>
        <w:pStyle w:val="Heading2"/>
      </w:pPr>
      <w:r>
        <w:t>Figure — Training Programme / Training Matrix Visual</w:t>
      </w:r>
    </w:p>
    <w:p>
      <w:r>
        <w:t>&lt;!-- IMAGE PLACEMENT GUIDANCE — insert approved generic image here --&gt;</w:t>
        <w:br/>
        <w:t>&lt;!-- Recommended image: a generic training-programme diagram or training-matrix visual (course / attendees / duration format) showing the training approach for the roll-out — aligned to the "how many training attendees" and "how many training sessions" scope-number slots ({{services_training_attendees}}, {{services_training_sessions}}) in the Professional Services module. No customer-specific course names that reveal the customer's business, no customer-specific attendee names, no customer site names. --&gt;</w:t>
        <w:br/>
        <w:t>&lt;!-- Suggested source: generic training reference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training-programme / training-matrix visual here. See image-placement guidance notes.]*</w:t>
      </w:r>
    </w:p>
    <w:p>
      <w:r>
        <w:t>*[The matrix above is a format example; do not present these specific courses as a default catalogue. Replace the `{{training_*}}` slots or remove courses as appropriate for the current engagement.]*</w:t>
      </w:r>
    </w:p>
    <w:p>
      <w:pPr>
        <w:pStyle w:val="Heading2"/>
      </w:pPr>
      <w:r>
        <w:t>Training Scope Notes</w:t>
      </w:r>
    </w:p>
    <w:p>
      <w:pPr>
        <w:pStyle w:val="ListBullet"/>
      </w:pPr>
      <w:r>
        <w:t>Administration training covers platform administration, site provisioning, policy management, monitoring and log review, call flow administration, NVR administration and first-line troubleshooting.</w:t>
      </w:r>
    </w:p>
    <w:p>
      <w:pPr>
        <w:pStyle w:val="ListBullet"/>
      </w:pPr>
      <w:r>
        <w:t>Documentation and a recorded session are provided for onward internal training in each location.</w:t>
      </w:r>
    </w:p>
    <w:p>
      <w:pPr>
        <w:pStyle w:val="ListBullet"/>
      </w:pPr>
      <w:r>
        <w:t>Where the customer self-operates, the operational tooling and knowledge transfer are identical to what a managed-service customer receives — what differs is who sits in front of the console.</w:t>
      </w:r>
    </w:p>
    <w:p>
      <w:pPr>
        <w:pStyle w:val="Heading2"/>
      </w:pPr>
      <w:r>
        <w:t>Out-of-Scope (explicitly)</w:t>
      </w:r>
    </w:p>
    <w:p>
      <w:pPr>
        <w:pStyle w:val="ListBullet"/>
      </w:pPr>
      <w:r>
        <w:t>Any training on third-party systems not included in this proposal scope.</w:t>
      </w:r>
    </w:p>
    <w:p>
      <w:pPr>
        <w:pStyle w:val="ListBullet"/>
      </w:pPr>
      <w:r>
        <w:t>Any custom training material development outside the agreed scope.</w:t>
      </w:r>
    </w:p>
    <w:p>
      <w:r>
        <w:t>*This section is a reusable building block. Training is a standalone included module. Confirm the course set, audience size, delivery mode and duration per bid. The example matrix is a format reference only — replace the `{{training_*}}` slots or remove courses as appropriate for the current engagement.*</w:t>
      </w:r>
    </w:p>
    <w:p/>
    <w:p>
      <w:pPr>
        <w:pStyle w:val="Heading1"/>
      </w:pPr>
      <w:r>
        <w:t>Roles &amp; Responsibilities (VertoWave + Customer)</w:t>
      </w:r>
    </w:p>
    <w:p>
      <w:pPr>
        <w:pStyle w:val="Heading2"/>
      </w:pPr>
      <w:r>
        <w:t>Engagement Organization</w:t>
      </w:r>
    </w:p>
    <w:p>
      <w:r>
        <w:t>The engagement is governed through a joint VertoWave–Customer structure comprising project governance, technical delivery, build/implementation, and operations teams.</w:t>
      </w:r>
    </w:p>
    <w:p>
      <w:r>
        <w:t>*[The organization chart below is a reusable frame — populate per bid with named roles/contacts as agreed.]*</w:t>
      </w:r>
    </w:p>
    <w:p>
      <w:pPr>
        <w:pStyle w:val="Heading2"/>
      </w:pPr>
      <w:r>
        <w:t>Project Organization Chart (Reusable Frame)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VertoWave</w:t>
            </w:r>
          </w:p>
        </w:tc>
        <w:tc>
          <w:tcPr>
            <w:tcW w:type="dxa" w:w="2880"/>
          </w:tcPr>
          <w:p>
            <w:r>
              <w:rPr>
                <w:b/>
              </w:rPr>
              <w:t>Customer</w:t>
            </w:r>
          </w:p>
        </w:tc>
      </w:tr>
      <w:tr>
        <w:tc>
          <w:tcPr>
            <w:tcW w:type="dxa" w:w="2880"/>
          </w:tcPr>
          <w:p>
            <w:r>
              <w:t>:---</w:t>
            </w:r>
          </w:p>
        </w:tc>
        <w:tc>
          <w:tcPr>
            <w:tcW w:type="dxa" w:w="2880"/>
          </w:tcPr>
          <w:p>
            <w:r>
              <w:t>:---</w:t>
            </w:r>
          </w:p>
        </w:tc>
        <w:tc>
          <w:tcPr>
            <w:tcW w:type="dxa" w:w="2880"/>
          </w:tcPr>
          <w:p>
            <w:r>
              <w:t>:---</w:t>
            </w:r>
          </w:p>
        </w:tc>
      </w:tr>
      <w:tr>
        <w:tc>
          <w:tcPr>
            <w:tcW w:type="dxa" w:w="2880"/>
          </w:tcPr>
          <w:p>
            <w:r>
              <w:t>Governance / Steering</w:t>
            </w:r>
          </w:p>
        </w:tc>
        <w:tc>
          <w:tcPr>
            <w:tcW w:type="dxa" w:w="2880"/>
          </w:tcPr>
          <w:p>
            <w:r>
              <w:t>VertoWave Project Management and Governance Office</w:t>
            </w:r>
          </w:p>
        </w:tc>
        <w:tc>
          <w:tcPr>
            <w:tcW w:type="dxa" w:w="2880"/>
          </w:tcPr>
          <w:p>
            <w:r>
              <w:t>Steering Committee / Project Owner / Executives Management / Middle Management</w:t>
            </w:r>
          </w:p>
        </w:tc>
      </w:tr>
      <w:tr>
        <w:tc>
          <w:tcPr>
            <w:tcW w:type="dxa" w:w="2880"/>
          </w:tcPr>
          <w:p>
            <w:r>
              <w:t>Project Leadership</w:t>
            </w:r>
          </w:p>
        </w:tc>
        <w:tc>
          <w:tcPr>
            <w:tcW w:type="dxa" w:w="2880"/>
          </w:tcPr>
          <w:p>
            <w:r>
              <w:t>Project Manager, Tech Lead</w:t>
            </w:r>
          </w:p>
        </w:tc>
        <w:tc>
          <w:tcPr>
            <w:tcW w:type="dxa" w:w="2880"/>
          </w:tcPr>
          <w:p>
            <w:r>
              <w:t>Customer Project Manager</w:t>
            </w:r>
          </w:p>
        </w:tc>
      </w:tr>
      <w:tr>
        <w:tc>
          <w:tcPr>
            <w:tcW w:type="dxa" w:w="2880"/>
          </w:tcPr>
          <w:p>
            <w:r>
              <w:t>Delivery / Build / Implementation</w:t>
            </w:r>
          </w:p>
        </w:tc>
        <w:tc>
          <w:tcPr>
            <w:tcW w:type="dxa" w:w="2880"/>
          </w:tcPr>
          <w:p>
            <w:r>
              <w:t>Technical Team Lead, Build Team, Consultancy Team, Implementation Team, Project Team</w:t>
            </w:r>
          </w:p>
        </w:tc>
        <w:tc>
          <w:tcPr>
            <w:tcW w:type="dxa" w:w="2880"/>
          </w:tcPr>
          <w:p>
            <w:r>
              <w:t>Customer Team 1 … Customer Team n</w:t>
            </w:r>
          </w:p>
        </w:tc>
      </w:tr>
      <w:tr>
        <w:tc>
          <w:tcPr>
            <w:tcW w:type="dxa" w:w="2880"/>
          </w:tcPr>
          <w:p>
            <w:r>
              <w:t>Supporting / Operations</w:t>
            </w:r>
          </w:p>
        </w:tc>
        <w:tc>
          <w:tcPr>
            <w:tcW w:type="dxa" w:w="2880"/>
          </w:tcPr>
          <w:p>
            <w:r>
              <w:t>Operations Team, NOC, L1/L2/L3 engineers, Technical Account Manager</w:t>
            </w:r>
          </w:p>
        </w:tc>
        <w:tc>
          <w:tcPr>
            <w:tcW w:type="dxa" w:w="2880"/>
          </w:tcPr>
          <w:p>
            <w:r>
              <w:t>Customer Technical Teams, Direct Communications / Reporting Line, Support Communication</w:t>
            </w:r>
          </w:p>
        </w:tc>
      </w:tr>
    </w:tbl>
    <w:p>
      <w:pPr>
        <w:pStyle w:val="ListBullet"/>
      </w:pPr>
      <w:r>
        <w:t>Direct Communications / Reporting Line — primary reporting path between VertoWave and customer project management.</w:t>
      </w:r>
    </w:p>
    <w:p>
      <w:pPr>
        <w:pStyle w:val="ListBullet"/>
      </w:pPr>
      <w:r>
        <w:t>Project Related Reporting Line — project status, RAID, deliverables reporting.</w:t>
      </w:r>
    </w:p>
    <w:p>
      <w:pPr>
        <w:pStyle w:val="ListBullet"/>
      </w:pPr>
      <w:r>
        <w:t>Support Communication — operational support, L1/L2/L3 escalation, vendor coordination.</w:t>
      </w:r>
    </w:p>
    <w:p>
      <w:pPr>
        <w:pStyle w:val="Heading2"/>
      </w:pPr>
      <w:r>
        <w:t>VertoWave 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t>:---</w:t>
            </w:r>
          </w:p>
        </w:tc>
        <w:tc>
          <w:tcPr>
            <w:tcW w:type="dxa" w:w="4320"/>
          </w:tcPr>
          <w:p>
            <w:r>
              <w:t>:---</w:t>
            </w:r>
          </w:p>
        </w:tc>
      </w:tr>
      <w:tr>
        <w:tc>
          <w:tcPr>
            <w:tcW w:type="dxa" w:w="4320"/>
          </w:tcPr>
          <w:p>
            <w:r>
              <w:t>Project Manager</w:t>
            </w:r>
          </w:p>
        </w:tc>
        <w:tc>
          <w:tcPr>
            <w:tcW w:type="dxa" w:w="4320"/>
          </w:tcPr>
          <w:p>
            <w:r>
              <w:t>Oversee the project throughout its entire lifecycle. Collaborate with the project Tech Lead to create and maintain project plans as needed. Communicate project status to relevant stakeholders according to the VertoWave communication matrix. Monitor the overall project and RAID (Risks, Assumptions, Issues, Dependencies) status, addressing any issues and updating the RAID register as necessary. Ensure the final project sign-off by confirming all customer requirements are met according to the agreed-upon project scope.</w:t>
            </w:r>
          </w:p>
        </w:tc>
      </w:tr>
      <w:tr>
        <w:tc>
          <w:tcPr>
            <w:tcW w:type="dxa" w:w="4320"/>
          </w:tcPr>
          <w:p>
            <w:r>
              <w:t>VertoWave Tech Lead</w:t>
            </w:r>
          </w:p>
        </w:tc>
        <w:tc>
          <w:tcPr>
            <w:tcW w:type="dxa" w:w="4320"/>
          </w:tcPr>
          <w:p>
            <w:r>
              <w:t>Lead the VertoWave Build/Technical team throughout the project lifecycle. Engage in delivering technical and procedural activities to customers during various project stages. Participate in envisioning, planning, and design activities. Conduct solution requirements analysis through sessions and interviews with customer stakeholders. Develop design documents and ensure they are agreed upon with the customer. Provide technical consultation as needed throughout the project lifecycle. Conduct impact analysis and estimation for any change requests. Ensure successful system testing in accordance with UAT standards. Contribute to the final project sign-off to confirm all client requirements are met as per the approved project scope. Contribute to the delivery of technical and procedural activities to customers throughout various project stages.</w:t>
            </w:r>
          </w:p>
        </w:tc>
      </w:tr>
      <w:tr>
        <w:tc>
          <w:tcPr>
            <w:tcW w:type="dxa" w:w="4320"/>
          </w:tcPr>
          <w:p>
            <w:r>
              <w:t>VertoWave Build / Consultancy / Implementation Team</w:t>
            </w:r>
          </w:p>
        </w:tc>
        <w:tc>
          <w:tcPr>
            <w:tcW w:type="dxa" w:w="4320"/>
          </w:tcPr>
          <w:p>
            <w:r>
              <w:t>Contribute to the delivery of technical and procedural activities to customers throughout various project stages. Assist in conducting solution requirements analysis through sessions and interviews with customer stakeholders. Help create necessary design documents. Execute technical project activities. Collaborate in developing project documentation. Participate in the final project sign-off to ensure all client requirements are met as per the approved project scope.</w:t>
            </w:r>
          </w:p>
        </w:tc>
      </w:tr>
      <w:tr>
        <w:tc>
          <w:tcPr>
            <w:tcW w:type="dxa" w:w="4320"/>
          </w:tcPr>
          <w:p>
            <w:r>
              <w:t>VertoWave Project Management and Governance Office</w:t>
            </w:r>
          </w:p>
        </w:tc>
        <w:tc>
          <w:tcPr>
            <w:tcW w:type="dxa" w:w="4320"/>
          </w:tcPr>
          <w:p>
            <w:r>
              <w:t>Supporting IT infrastructure projects. Providing governance, oversight, and standardized practices. Helping ensure that project stages are successful, deliver value, and align with the organization's strategic goals.</w:t>
            </w:r>
          </w:p>
        </w:tc>
      </w:tr>
      <w:tr>
        <w:tc>
          <w:tcPr>
            <w:tcW w:type="dxa" w:w="4320"/>
          </w:tcPr>
          <w:p>
            <w:r>
              <w:t>Operations Team (L1/L2/L3)</w:t>
            </w:r>
          </w:p>
        </w:tc>
        <w:tc>
          <w:tcPr>
            <w:tcW w:type="dxa" w:w="4320"/>
          </w:tcPr>
          <w:p>
            <w:r>
              <w:t>Provide operational support for in-scope systems and services per the OLA. L1: first-line incident handling, ticket logging, basic troubleshooting, escalation. L2: deeper troubleshooting, approved change/configuration implementation, ticket closure. L3: advanced issue resolution, vendor communication, strategic guidance on system improvements.</w:t>
            </w:r>
          </w:p>
        </w:tc>
      </w:tr>
      <w:tr>
        <w:tc>
          <w:tcPr>
            <w:tcW w:type="dxa" w:w="4320"/>
          </w:tcPr>
          <w:p>
            <w:r>
              <w:t>Technical Account Manager</w:t>
            </w:r>
          </w:p>
        </w:tc>
        <w:tc>
          <w:tcPr>
            <w:tcW w:type="dxa" w:w="4320"/>
          </w:tcPr>
          <w:p>
            <w:r>
              <w:t>Customer-facing role focusing on managing and supporting the technical aspects and relationship with the customer.</w:t>
            </w:r>
          </w:p>
        </w:tc>
      </w:tr>
    </w:tbl>
    <w:p>
      <w:pPr>
        <w:pStyle w:val="Heading2"/>
      </w:pPr>
      <w:r>
        <w:t>Figure — &lt;Insert approved generic diagram / screenshot here&gt;</w:t>
      </w:r>
    </w:p>
    <w:p>
      <w:r>
        <w:t>&lt;!-- IMAGE PLACEMENT GUIDANCE — insert approved generic image here --&gt;</w:t>
        <w:br/>
        <w:t>&lt;!-- Recommended image: a generic diagram or screenshot relevant to this section's content (architecture, flow, dashboard, or topology as appropriate). No customer-specific names, environment, architecture, site names, or branding.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image here. See image-placement guidance notes.]*</w:t>
      </w:r>
    </w:p>
    <w:p>
      <w:pPr>
        <w:pStyle w:val="Heading2"/>
      </w:pPr>
      <w:r>
        <w:t>Customer 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t>:---</w:t>
            </w:r>
          </w:p>
        </w:tc>
        <w:tc>
          <w:tcPr>
            <w:tcW w:type="dxa" w:w="4320"/>
          </w:tcPr>
          <w:p>
            <w:r>
              <w:t>:---</w:t>
            </w:r>
          </w:p>
        </w:tc>
      </w:tr>
      <w:tr>
        <w:tc>
          <w:tcPr>
            <w:tcW w:type="dxa" w:w="4320"/>
          </w:tcPr>
          <w:p>
            <w:r>
              <w:t>VertoWave Project Manager / Project Owner</w:t>
            </w:r>
          </w:p>
        </w:tc>
        <w:tc>
          <w:tcPr>
            <w:tcW w:type="dxa" w:w="4320"/>
          </w:tcPr>
          <w:p>
            <w:r>
              <w:t>Primary point of accountability on the customer side; coordinates stakeholders, approves deliverables, manages customer-side RAID inputs, supports timely feedback and decisions.</w:t>
            </w:r>
          </w:p>
        </w:tc>
      </w:tr>
      <w:tr>
        <w:tc>
          <w:tcPr>
            <w:tcW w:type="dxa" w:w="4320"/>
          </w:tcPr>
          <w:p>
            <w:r>
              <w:t>Steering Committee / Executives Management / Middle Management</w:t>
            </w:r>
          </w:p>
        </w:tc>
        <w:tc>
          <w:tcPr>
            <w:tcW w:type="dxa" w:w="4320"/>
          </w:tcPr>
          <w:p>
            <w:r>
              <w:t>Provides strategic direction, approves major scope/change decisions, resolves escalated issues, supports resource commitment.</w:t>
            </w:r>
          </w:p>
        </w:tc>
      </w:tr>
      <w:tr>
        <w:tc>
          <w:tcPr>
            <w:tcW w:type="dxa" w:w="4320"/>
          </w:tcPr>
          <w:p>
            <w:r>
              <w:t>Customer Technical Teams (Team 1 … Team n)</w:t>
            </w:r>
          </w:p>
        </w:tc>
        <w:tc>
          <w:tcPr>
            <w:tcW w:type="dxa" w:w="4320"/>
          </w:tcPr>
          <w:p>
            <w:r>
              <w:t>Provide environment information, access, and subject-matter support; participate in requirements gathering and design; perform customer-side operational tasks per the RACI; escalate issues as needed.</w:t>
            </w:r>
          </w:p>
        </w:tc>
      </w:tr>
      <w:tr>
        <w:tc>
          <w:tcPr>
            <w:tcW w:type="dxa" w:w="4320"/>
          </w:tcPr>
          <w:p>
            <w:r>
              <w:t>Customer Stakeholders</w:t>
            </w:r>
          </w:p>
        </w:tc>
        <w:tc>
          <w:tcPr>
            <w:tcW w:type="dxa" w:w="4320"/>
          </w:tcPr>
          <w:p>
            <w:r>
              <w:t>Dedicated participation in requirement gathering and system design; timely feedback and approvals to avoid schedule delays.</w:t>
            </w:r>
          </w:p>
        </w:tc>
      </w:tr>
    </w:tbl>
    <w:p>
      <w:pPr>
        <w:pStyle w:val="Heading2"/>
      </w:pPr>
      <w:r>
        <w:t>Communication &amp; Reporting</w:t>
      </w:r>
    </w:p>
    <w:p>
      <w:pPr>
        <w:pStyle w:val="ListBullet"/>
      </w:pPr>
      <w:r>
        <w:t>Project status reporting per the VertoWave communication matrix.</w:t>
      </w:r>
    </w:p>
    <w:p>
      <w:pPr>
        <w:pStyle w:val="ListBullet"/>
      </w:pPr>
      <w:r>
        <w:t>RAID register updates throughout the project lifecycle.</w:t>
      </w:r>
    </w:p>
    <w:p>
      <w:pPr>
        <w:pStyle w:val="ListBullet"/>
      </w:pPr>
      <w:r>
        <w:t>Monthly OLA/operations performance reports (where operations are in scope).</w:t>
      </w:r>
    </w:p>
    <w:p>
      <w:pPr>
        <w:pStyle w:val="ListBullet"/>
      </w:pPr>
      <w:r>
        <w:t>Quarterly OLA/operations performance reviews (where operations are in scope).</w:t>
      </w:r>
    </w:p>
    <w:p>
      <w:pPr>
        <w:pStyle w:val="ListBullet"/>
      </w:pPr>
      <w:r>
        <w:t>Change request submissions in writing per the Change Management Procedure.</w:t>
      </w:r>
    </w:p>
    <w:p>
      <w:pPr>
        <w:pStyle w:val="ListBullet"/>
      </w:pPr>
      <w:r>
        <w:t>Customer to notify VertoWave Primary Contact of any change request, with details of the requested change.</w:t>
      </w:r>
    </w:p>
    <w:p>
      <w:r>
        <w:t>*This section is a reusable building block. Populate named roles, contacts, escalation contacts, and customer-side team structure per bid. Do not assert specific named individuals without confirmation.*</w:t>
      </w:r>
    </w:p>
    <w:p/>
    <w:p>
      <w:pPr>
        <w:pStyle w:val="Heading1"/>
      </w:pPr>
      <w:r>
        <w:t>Professional Services — Architecture, Design, Implementation &amp; Roll-out</w:t>
      </w:r>
    </w:p>
    <w:p>
      <w:pPr>
        <w:pStyle w:val="Heading2"/>
      </w:pPr>
      <w:r>
        <w:t>Overview</w:t>
      </w:r>
    </w:p>
    <w:p>
      <w:r>
        <w:t>This section defines the professional services engagement for architecture, design, implementation, and roll-out. It is a standalone services engagement and is defined independently of the platform modules it supports.</w:t>
      </w:r>
    </w:p>
    <w:p>
      <w:r>
        <w:t>*[Author per bid: fill all `{{services_*}}` slots with the figures confirmed for the current engagement. Do not carry forward numbers from a prior engagement without validation against the current customer's environment and requirements. The in-scope and out-of-scope below are drafted to complete each other — every in-scope line has a matching out-of-scope boundary.]*</w:t>
      </w:r>
    </w:p>
    <w:p>
      <w:pPr>
        <w:pStyle w:val="Heading2"/>
      </w:pPr>
      <w:r>
        <w:t>Master Scope-Numbers Table</w:t>
      </w:r>
    </w:p>
    <w:p>
      <w:r>
        <w:t>All slots below are mandatory for now. Fill every slot for the current engagement; each number tightens the scope.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Dimension</w:t>
            </w:r>
          </w:p>
        </w:tc>
        <w:tc>
          <w:tcPr>
            <w:tcW w:type="dxa" w:w="2160"/>
          </w:tcPr>
          <w:p>
            <w:r>
              <w:rPr>
                <w:b/>
              </w:rPr>
              <w:t>Slot</w:t>
            </w:r>
          </w:p>
        </w:tc>
        <w:tc>
          <w:tcPr>
            <w:tcW w:type="dxa" w:w="2160"/>
          </w:tcPr>
          <w:p>
            <w:r>
              <w:rPr>
                <w:b/>
              </w:rPr>
              <w:t>Confirmed figure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1</w:t>
            </w:r>
          </w:p>
        </w:tc>
        <w:tc>
          <w:tcPr>
            <w:tcW w:type="dxa" w:w="2160"/>
          </w:tcPr>
          <w:p>
            <w:r>
              <w:t>Number of branches / sites</w:t>
            </w:r>
          </w:p>
        </w:tc>
        <w:tc>
          <w:tcPr>
            <w:tcW w:type="dxa" w:w="2160"/>
          </w:tcPr>
          <w:p>
            <w:r>
              <w:t>`{{services_branches}}`</w:t>
            </w:r>
          </w:p>
        </w:tc>
        <w:tc>
          <w:tcPr>
            <w:tcW w:type="dxa" w:w="2160"/>
          </w:tcPr>
          <w:p>
            <w:r/>
          </w:p>
        </w:tc>
      </w:tr>
      <w:tr>
        <w:tc>
          <w:tcPr>
            <w:tcW w:type="dxa" w:w="2160"/>
          </w:tcPr>
          <w:p>
            <w:r>
              <w:t>2</w:t>
            </w:r>
          </w:p>
        </w:tc>
        <w:tc>
          <w:tcPr>
            <w:tcW w:type="dxa" w:w="2160"/>
          </w:tcPr>
          <w:p>
            <w:r>
              <w:t>Network devices to be monitored</w:t>
            </w:r>
          </w:p>
        </w:tc>
        <w:tc>
          <w:tcPr>
            <w:tcW w:type="dxa" w:w="2160"/>
          </w:tcPr>
          <w:p>
            <w:r>
              <w:t>`{{services_network_devices}}`</w:t>
            </w:r>
          </w:p>
        </w:tc>
        <w:tc>
          <w:tcPr>
            <w:tcW w:type="dxa" w:w="2160"/>
          </w:tcPr>
          <w:p>
            <w:r/>
          </w:p>
        </w:tc>
      </w:tr>
      <w:tr>
        <w:tc>
          <w:tcPr>
            <w:tcW w:type="dxa" w:w="2160"/>
          </w:tcPr>
          <w:p>
            <w:r>
              <w:t>3</w:t>
            </w:r>
          </w:p>
        </w:tc>
        <w:tc>
          <w:tcPr>
            <w:tcW w:type="dxa" w:w="2160"/>
          </w:tcPr>
          <w:p>
            <w:r>
              <w:t>Applications to be monitored</w:t>
            </w:r>
          </w:p>
        </w:tc>
        <w:tc>
          <w:tcPr>
            <w:tcW w:type="dxa" w:w="2160"/>
          </w:tcPr>
          <w:p>
            <w:r>
              <w:t>`{{services_apps_monitored}}`</w:t>
            </w:r>
          </w:p>
        </w:tc>
        <w:tc>
          <w:tcPr>
            <w:tcW w:type="dxa" w:w="2160"/>
          </w:tcPr>
          <w:p>
            <w:r/>
          </w:p>
        </w:tc>
      </w:tr>
      <w:tr>
        <w:tc>
          <w:tcPr>
            <w:tcW w:type="dxa" w:w="2160"/>
          </w:tcPr>
          <w:p>
            <w:r>
              <w:t>4</w:t>
            </w:r>
          </w:p>
        </w:tc>
        <w:tc>
          <w:tcPr>
            <w:tcW w:type="dxa" w:w="2160"/>
          </w:tcPr>
          <w:p>
            <w:r>
              <w:t>Automation &amp; orchestration workflows</w:t>
            </w:r>
          </w:p>
        </w:tc>
        <w:tc>
          <w:tcPr>
            <w:tcW w:type="dxa" w:w="2160"/>
          </w:tcPr>
          <w:p>
            <w:r>
              <w:t>`{{services_workflows}}`</w:t>
            </w:r>
          </w:p>
        </w:tc>
        <w:tc>
          <w:tcPr>
            <w:tcW w:type="dxa" w:w="2160"/>
          </w:tcPr>
          <w:p>
            <w:r/>
          </w:p>
        </w:tc>
      </w:tr>
      <w:tr>
        <w:tc>
          <w:tcPr>
            <w:tcW w:type="dxa" w:w="2160"/>
          </w:tcPr>
          <w:p>
            <w:r>
              <w:t>5</w:t>
            </w:r>
          </w:p>
        </w:tc>
        <w:tc>
          <w:tcPr>
            <w:tcW w:type="dxa" w:w="2160"/>
          </w:tcPr>
          <w:p>
            <w:r>
              <w:t>Endpoints to roll out</w:t>
            </w:r>
          </w:p>
        </w:tc>
        <w:tc>
          <w:tcPr>
            <w:tcW w:type="dxa" w:w="2160"/>
          </w:tcPr>
          <w:p>
            <w:r>
              <w:t>`{{services_endpoints}}`</w:t>
            </w:r>
          </w:p>
        </w:tc>
        <w:tc>
          <w:tcPr>
            <w:tcW w:type="dxa" w:w="2160"/>
          </w:tcPr>
          <w:p>
            <w:r/>
          </w:p>
        </w:tc>
      </w:tr>
      <w:tr>
        <w:tc>
          <w:tcPr>
            <w:tcW w:type="dxa" w:w="2160"/>
          </w:tcPr>
          <w:p>
            <w:r>
              <w:t>6</w:t>
            </w:r>
          </w:p>
        </w:tc>
        <w:tc>
          <w:tcPr>
            <w:tcW w:type="dxa" w:w="2160"/>
          </w:tcPr>
          <w:p>
            <w:r>
              <w:t>NVR cameras</w:t>
            </w:r>
          </w:p>
        </w:tc>
        <w:tc>
          <w:tcPr>
            <w:tcW w:type="dxa" w:w="2160"/>
          </w:tcPr>
          <w:p>
            <w:r>
              <w:t>`{{services_nvr_cameras}}`</w:t>
            </w:r>
          </w:p>
        </w:tc>
        <w:tc>
          <w:tcPr>
            <w:tcW w:type="dxa" w:w="2160"/>
          </w:tcPr>
          <w:p>
            <w:r/>
          </w:p>
        </w:tc>
      </w:tr>
      <w:tr>
        <w:tc>
          <w:tcPr>
            <w:tcW w:type="dxa" w:w="2160"/>
          </w:tcPr>
          <w:p>
            <w:r>
              <w:t>7</w:t>
            </w:r>
          </w:p>
        </w:tc>
        <w:tc>
          <w:tcPr>
            <w:tcW w:type="dxa" w:w="2160"/>
          </w:tcPr>
          <w:p>
            <w:r>
              <w:t>IoT devices</w:t>
            </w:r>
          </w:p>
        </w:tc>
        <w:tc>
          <w:tcPr>
            <w:tcW w:type="dxa" w:w="2160"/>
          </w:tcPr>
          <w:p>
            <w:r>
              <w:t>`{{services_iot_devices}}`</w:t>
            </w:r>
          </w:p>
        </w:tc>
        <w:tc>
          <w:tcPr>
            <w:tcW w:type="dxa" w:w="2160"/>
          </w:tcPr>
          <w:p>
            <w:r/>
          </w:p>
        </w:tc>
      </w:tr>
      <w:tr>
        <w:tc>
          <w:tcPr>
            <w:tcW w:type="dxa" w:w="2160"/>
          </w:tcPr>
          <w:p>
            <w:r>
              <w:t>8</w:t>
            </w:r>
          </w:p>
        </w:tc>
        <w:tc>
          <w:tcPr>
            <w:tcW w:type="dxa" w:w="2160"/>
          </w:tcPr>
          <w:p>
            <w:r>
              <w:t>SD-WAN tunnels / overlay connections</w:t>
            </w:r>
          </w:p>
        </w:tc>
        <w:tc>
          <w:tcPr>
            <w:tcW w:type="dxa" w:w="2160"/>
          </w:tcPr>
          <w:p>
            <w:r>
              <w:t>`{{services_tunnels}}`</w:t>
            </w:r>
          </w:p>
        </w:tc>
        <w:tc>
          <w:tcPr>
            <w:tcW w:type="dxa" w:w="2160"/>
          </w:tcPr>
          <w:p>
            <w:r/>
          </w:p>
        </w:tc>
      </w:tr>
      <w:tr>
        <w:tc>
          <w:tcPr>
            <w:tcW w:type="dxa" w:w="2160"/>
          </w:tcPr>
          <w:p>
            <w:r>
              <w:t>9</w:t>
            </w:r>
          </w:p>
        </w:tc>
        <w:tc>
          <w:tcPr>
            <w:tcW w:type="dxa" w:w="2160"/>
          </w:tcPr>
          <w:p>
            <w:r>
              <w:t>Firewall policies</w:t>
            </w:r>
          </w:p>
        </w:tc>
        <w:tc>
          <w:tcPr>
            <w:tcW w:type="dxa" w:w="2160"/>
          </w:tcPr>
          <w:p>
            <w:r>
              <w:t>`{{services_firewall_policies}}`</w:t>
            </w:r>
          </w:p>
        </w:tc>
        <w:tc>
          <w:tcPr>
            <w:tcW w:type="dxa" w:w="2160"/>
          </w:tcPr>
          <w:p>
            <w:r/>
          </w:p>
        </w:tc>
      </w:tr>
      <w:tr>
        <w:tc>
          <w:tcPr>
            <w:tcW w:type="dxa" w:w="2160"/>
          </w:tcPr>
          <w:p>
            <w:r>
              <w:t>10</w:t>
            </w:r>
          </w:p>
        </w:tc>
        <w:tc>
          <w:tcPr>
            <w:tcW w:type="dxa" w:w="2160"/>
          </w:tcPr>
          <w:p>
            <w:r>
              <w:t>PBX extensions</w:t>
            </w:r>
          </w:p>
        </w:tc>
        <w:tc>
          <w:tcPr>
            <w:tcW w:type="dxa" w:w="2160"/>
          </w:tcPr>
          <w:p>
            <w:r>
              <w:t>`{{services_pbx_extensions}}`</w:t>
            </w:r>
          </w:p>
        </w:tc>
        <w:tc>
          <w:tcPr>
            <w:tcW w:type="dxa" w:w="2160"/>
          </w:tcPr>
          <w:p>
            <w:r/>
          </w:p>
        </w:tc>
      </w:tr>
      <w:tr>
        <w:tc>
          <w:tcPr>
            <w:tcW w:type="dxa" w:w="2160"/>
          </w:tcPr>
          <w:p>
            <w:r>
              <w:t>11</w:t>
            </w:r>
          </w:p>
        </w:tc>
        <w:tc>
          <w:tcPr>
            <w:tcW w:type="dxa" w:w="2160"/>
          </w:tcPr>
          <w:p>
            <w:r>
              <w:t>Virtualisation workloads</w:t>
            </w:r>
          </w:p>
        </w:tc>
        <w:tc>
          <w:tcPr>
            <w:tcW w:type="dxa" w:w="2160"/>
          </w:tcPr>
          <w:p>
            <w:r>
              <w:t>`{{services_virtualization_workloads}}`</w:t>
            </w:r>
          </w:p>
        </w:tc>
        <w:tc>
          <w:tcPr>
            <w:tcW w:type="dxa" w:w="2160"/>
          </w:tcPr>
          <w:p>
            <w:r/>
          </w:p>
        </w:tc>
      </w:tr>
      <w:tr>
        <w:tc>
          <w:tcPr>
            <w:tcW w:type="dxa" w:w="2160"/>
          </w:tcPr>
          <w:p>
            <w:r>
              <w:t>12</w:t>
            </w:r>
          </w:p>
        </w:tc>
        <w:tc>
          <w:tcPr>
            <w:tcW w:type="dxa" w:w="2160"/>
          </w:tcPr>
          <w:p>
            <w:r>
              <w:t>Integration points</w:t>
            </w:r>
          </w:p>
        </w:tc>
        <w:tc>
          <w:tcPr>
            <w:tcW w:type="dxa" w:w="2160"/>
          </w:tcPr>
          <w:p>
            <w:r>
              <w:t>`{{services_integrations}}`</w:t>
            </w:r>
          </w:p>
        </w:tc>
        <w:tc>
          <w:tcPr>
            <w:tcW w:type="dxa" w:w="2160"/>
          </w:tcPr>
          <w:p>
            <w:r/>
          </w:p>
        </w:tc>
      </w:tr>
      <w:tr>
        <w:tc>
          <w:tcPr>
            <w:tcW w:type="dxa" w:w="2160"/>
          </w:tcPr>
          <w:p>
            <w:r>
              <w:t>13</w:t>
            </w:r>
          </w:p>
        </w:tc>
        <w:tc>
          <w:tcPr>
            <w:tcW w:type="dxa" w:w="2160"/>
          </w:tcPr>
          <w:p>
            <w:r>
              <w:t>User personas / roles</w:t>
            </w:r>
          </w:p>
        </w:tc>
        <w:tc>
          <w:tcPr>
            <w:tcW w:type="dxa" w:w="2160"/>
          </w:tcPr>
          <w:p>
            <w:r>
              <w:t>`{{services_roles}}`</w:t>
            </w:r>
          </w:p>
        </w:tc>
        <w:tc>
          <w:tcPr>
            <w:tcW w:type="dxa" w:w="2160"/>
          </w:tcPr>
          <w:p>
            <w:r/>
          </w:p>
        </w:tc>
      </w:tr>
      <w:tr>
        <w:tc>
          <w:tcPr>
            <w:tcW w:type="dxa" w:w="2160"/>
          </w:tcPr>
          <w:p>
            <w:r>
              <w:t>14</w:t>
            </w:r>
          </w:p>
        </w:tc>
        <w:tc>
          <w:tcPr>
            <w:tcW w:type="dxa" w:w="2160"/>
          </w:tcPr>
          <w:p>
            <w:r>
              <w:t>Training attendees</w:t>
            </w:r>
          </w:p>
        </w:tc>
        <w:tc>
          <w:tcPr>
            <w:tcW w:type="dxa" w:w="2160"/>
          </w:tcPr>
          <w:p>
            <w:r>
              <w:t>`{{services_training_attendees}}`</w:t>
            </w:r>
          </w:p>
        </w:tc>
        <w:tc>
          <w:tcPr>
            <w:tcW w:type="dxa" w:w="2160"/>
          </w:tcPr>
          <w:p>
            <w:r/>
          </w:p>
        </w:tc>
      </w:tr>
      <w:tr>
        <w:tc>
          <w:tcPr>
            <w:tcW w:type="dxa" w:w="2160"/>
          </w:tcPr>
          <w:p>
            <w:r>
              <w:t>15</w:t>
            </w:r>
          </w:p>
        </w:tc>
        <w:tc>
          <w:tcPr>
            <w:tcW w:type="dxa" w:w="2160"/>
          </w:tcPr>
          <w:p>
            <w:r>
              <w:t>Training sessions</w:t>
            </w:r>
          </w:p>
        </w:tc>
        <w:tc>
          <w:tcPr>
            <w:tcW w:type="dxa" w:w="2160"/>
          </w:tcPr>
          <w:p>
            <w:r>
              <w:t>`{{services_training_sessions}}`</w:t>
            </w:r>
          </w:p>
        </w:tc>
        <w:tc>
          <w:tcPr>
            <w:tcW w:type="dxa" w:w="2160"/>
          </w:tcPr>
          <w:p>
            <w:r/>
          </w:p>
        </w:tc>
      </w:tr>
      <w:tr>
        <w:tc>
          <w:tcPr>
            <w:tcW w:type="dxa" w:w="2160"/>
          </w:tcPr>
          <w:p>
            <w:r>
              <w:t>16</w:t>
            </w:r>
          </w:p>
        </w:tc>
        <w:tc>
          <w:tcPr>
            <w:tcW w:type="dxa" w:w="2160"/>
          </w:tcPr>
          <w:p>
            <w:r>
              <w:t>Acceptance-test sites</w:t>
            </w:r>
          </w:p>
        </w:tc>
        <w:tc>
          <w:tcPr>
            <w:tcW w:type="dxa" w:w="2160"/>
          </w:tcPr>
          <w:p>
            <w:r>
              <w:t>`{{services_acceptance_sites}}`</w:t>
            </w:r>
          </w:p>
        </w:tc>
        <w:tc>
          <w:tcPr>
            <w:tcW w:type="dxa" w:w="2160"/>
          </w:tcPr>
          <w:p>
            <w:r/>
          </w:p>
        </w:tc>
      </w:tr>
      <w:tr>
        <w:tc>
          <w:tcPr>
            <w:tcW w:type="dxa" w:w="2160"/>
          </w:tcPr>
          <w:p>
            <w:r>
              <w:t>17</w:t>
            </w:r>
          </w:p>
        </w:tc>
        <w:tc>
          <w:tcPr>
            <w:tcW w:type="dxa" w:w="2160"/>
          </w:tcPr>
          <w:p>
            <w:r>
              <w:t>Architecture / design workshops</w:t>
            </w:r>
          </w:p>
        </w:tc>
        <w:tc>
          <w:tcPr>
            <w:tcW w:type="dxa" w:w="2160"/>
          </w:tcPr>
          <w:p>
            <w:r>
              <w:t>`{{services_arch_workshops}}`</w:t>
            </w:r>
          </w:p>
        </w:tc>
        <w:tc>
          <w:tcPr>
            <w:tcW w:type="dxa" w:w="2160"/>
          </w:tcPr>
          <w:p>
            <w:r/>
          </w:p>
        </w:tc>
      </w:tr>
      <w:tr>
        <w:tc>
          <w:tcPr>
            <w:tcW w:type="dxa" w:w="2160"/>
          </w:tcPr>
          <w:p>
            <w:r>
              <w:t>18</w:t>
            </w:r>
          </w:p>
        </w:tc>
        <w:tc>
          <w:tcPr>
            <w:tcW w:type="dxa" w:w="2160"/>
          </w:tcPr>
          <w:p>
            <w:r>
              <w:t>Architecture diagrams to be produced</w:t>
            </w:r>
          </w:p>
        </w:tc>
        <w:tc>
          <w:tcPr>
            <w:tcW w:type="dxa" w:w="2160"/>
          </w:tcPr>
          <w:p>
            <w:r>
              <w:t>`{{services_arch_diagrams}}`</w:t>
            </w:r>
          </w:p>
        </w:tc>
        <w:tc>
          <w:tcPr>
            <w:tcW w:type="dxa" w:w="2160"/>
          </w:tcPr>
          <w:p>
            <w:r/>
          </w:p>
        </w:tc>
      </w:tr>
    </w:tbl>
    <w:p>
      <w:pPr>
        <w:pStyle w:val="Heading2"/>
      </w:pPr>
      <w:r>
        <w:t>Phase 1 — Architecture</w:t>
      </w:r>
    </w:p>
    <w:p>
      <w:pPr>
        <w:pStyle w:val="Heading3"/>
      </w:pPr>
      <w:r>
        <w:t>In-scope</w:t>
      </w:r>
    </w:p>
    <w:p>
      <w:pPr>
        <w:pStyle w:val="ListBullet"/>
      </w:pPr>
      <w:r>
        <w:t>Conduct `{{services_arch_workshops}}` architecture / envisioning workshops.</w:t>
      </w:r>
    </w:p>
    <w:p>
      <w:pPr>
        <w:pStyle w:val="ListBullet"/>
      </w:pPr>
      <w:r>
        <w:t>Produce a high-level architecture design covering `{{services_branches}}` branches.</w:t>
      </w:r>
    </w:p>
    <w:p>
      <w:pPr>
        <w:pStyle w:val="ListBullet"/>
      </w:pPr>
      <w:r>
        <w:t>Produce the monitoring architecture design covering `{{services_apps_monitored}}` applications and `{{services_network_devices}}` network devices.</w:t>
      </w:r>
    </w:p>
    <w:p>
      <w:pPr>
        <w:pStyle w:val="ListBullet"/>
      </w:pPr>
      <w:r>
        <w:t>Produce the automation / orchestration framework design for `{{services_workflows}}` workflows.</w:t>
      </w:r>
    </w:p>
    <w:p>
      <w:pPr>
        <w:pStyle w:val="ListBullet"/>
      </w:pPr>
      <w:r>
        <w:t>Produce the endpoint rollout architecture for `{{services_endpoints}}` endpoints.</w:t>
      </w:r>
    </w:p>
    <w:p>
      <w:pPr>
        <w:pStyle w:val="ListBullet"/>
      </w:pPr>
      <w:r>
        <w:t>Produce the NVR architecture design for `{{services_nvr_cameras}}` cameras.</w:t>
      </w:r>
    </w:p>
    <w:p>
      <w:pPr>
        <w:pStyle w:val="ListBullet"/>
      </w:pPr>
      <w:r>
        <w:t>Produce the IoT device integration architecture for `{{services_iot_devices}}` IoT devices.</w:t>
      </w:r>
    </w:p>
    <w:p>
      <w:pPr>
        <w:pStyle w:val="ListBullet"/>
      </w:pPr>
      <w:r>
        <w:t>Produce the SD-WAN overlay topology design for `{{services_tunnels}}` tunnels.</w:t>
      </w:r>
    </w:p>
    <w:p>
      <w:pPr>
        <w:pStyle w:val="ListBullet"/>
      </w:pPr>
      <w:r>
        <w:t>Produce the firewall policy architecture design for `{{services_firewall_policies}}` policies.</w:t>
      </w:r>
    </w:p>
    <w:p>
      <w:pPr>
        <w:pStyle w:val="ListBullet"/>
      </w:pPr>
      <w:r>
        <w:t>Produce the PBX numbering-plan and call-flow design for `{{services_pbx_extensions}}` extensions.</w:t>
      </w:r>
    </w:p>
    <w:p>
      <w:pPr>
        <w:pStyle w:val="ListBullet"/>
      </w:pPr>
      <w:r>
        <w:t>Produce the virtualisation workload architecture for `{{services_virtualization_workloads}}` workloads.</w:t>
      </w:r>
    </w:p>
    <w:p>
      <w:pPr>
        <w:pStyle w:val="ListBullet"/>
      </w:pPr>
      <w:r>
        <w:t>Produce the integration design for `{{services_integrations}}` integration points.</w:t>
      </w:r>
    </w:p>
    <w:p>
      <w:pPr>
        <w:pStyle w:val="ListBullet"/>
      </w:pPr>
      <w:r>
        <w:t>Produce the user-persona / role and access model design covering `{{services_roles}}` roles.</w:t>
      </w:r>
    </w:p>
    <w:p>
      <w:pPr>
        <w:pStyle w:val="ListBullet"/>
      </w:pPr>
      <w:r>
        <w:t>Produce `{{services_arch_diagrams}}` architecture diagrams.</w:t>
      </w:r>
    </w:p>
    <w:p>
      <w:pPr>
        <w:pStyle w:val="ListBullet"/>
      </w:pPr>
      <w:r>
        <w:t>Hold an architecture review and obtain sign-off.</w:t>
      </w:r>
    </w:p>
    <w:p>
      <w:pPr>
        <w:pStyle w:val="Heading3"/>
      </w:pPr>
      <w:r>
        <w:t>Out-of-scope</w:t>
      </w:r>
    </w:p>
    <w:p>
      <w:pPr>
        <w:pStyle w:val="ListBullet"/>
      </w:pPr>
      <w:r>
        <w:t>Any architecture, design, diagram, or review for anything not listed in the Phase 1 in-scope above.</w:t>
      </w:r>
    </w:p>
    <w:p>
      <w:pPr>
        <w:pStyle w:val="ListBullet"/>
      </w:pPr>
      <w:r>
        <w:t>Detailed branch-by-branch design (that is Phase 2).</w:t>
      </w:r>
    </w:p>
    <w:p>
      <w:pPr>
        <w:pStyle w:val="ListBullet"/>
      </w:pPr>
      <w:r>
        <w:t>Implementation of any architecture or design (that is Phase 3).</w:t>
      </w:r>
    </w:p>
    <w:p>
      <w:pPr>
        <w:pStyle w:val="ListBullet"/>
      </w:pPr>
      <w:r>
        <w:t>The customer's core application architecture.</w:t>
      </w:r>
    </w:p>
    <w:p>
      <w:pPr>
        <w:pStyle w:val="ListBullet"/>
      </w:pPr>
      <w:r>
        <w:t>Procurement of hardware, software, licences, or connectivity.</w:t>
      </w:r>
    </w:p>
    <w:p>
      <w:pPr>
        <w:pStyle w:val="ListBullet"/>
      </w:pPr>
      <w:r>
        <w:t>Any architecture or diagram carried forward from a prior engagement without validation against the current customer's environment.</w:t>
      </w:r>
    </w:p>
    <w:p>
      <w:pPr>
        <w:pStyle w:val="ListBullet"/>
      </w:pPr>
      <w:r>
        <w:t>Any diagram that names or depicts the customer's specific environment, application, or architecture from a prior engagement.</w:t>
      </w:r>
    </w:p>
    <w:p>
      <w:pPr>
        <w:pStyle w:val="ListBullet"/>
      </w:pPr>
      <w:r>
        <w:t>Any diagram or architecture for components not listed in the Phase 1 in-scope above.</w:t>
      </w:r>
    </w:p>
    <w:p>
      <w:pPr>
        <w:pStyle w:val="Heading3"/>
      </w:pPr>
      <w:r>
        <w:t>Deliverables</w:t>
      </w:r>
    </w:p>
    <w:p>
      <w:pPr>
        <w:pStyle w:val="ListBullet"/>
      </w:pPr>
      <w:r>
        <w:t>Architecture design document.</w:t>
      </w:r>
    </w:p>
    <w:p>
      <w:pPr>
        <w:pStyle w:val="ListBullet"/>
      </w:pPr>
      <w:r>
        <w:t>`{{services_arch_diagrams}}` architecture diagrams.</w:t>
      </w:r>
    </w:p>
    <w:p>
      <w:pPr>
        <w:pStyle w:val="ListBullet"/>
      </w:pPr>
      <w:r>
        <w:t>Architecture review sign-off record.</w:t>
      </w:r>
    </w:p>
    <w:p>
      <w:pPr>
        <w:pStyle w:val="Heading2"/>
      </w:pPr>
      <w:r>
        <w:t>Phase 2 — Design</w:t>
      </w:r>
    </w:p>
    <w:p>
      <w:pPr>
        <w:pStyle w:val="Heading3"/>
      </w:pPr>
      <w:r>
        <w:t>In-scope</w:t>
      </w:r>
    </w:p>
    <w:p>
      <w:pPr>
        <w:pStyle w:val="ListBullet"/>
      </w:pPr>
      <w:r>
        <w:t>Produce the detailed design for `{{services_branches}}` branches / sites.</w:t>
      </w:r>
    </w:p>
    <w:p>
      <w:pPr>
        <w:pStyle w:val="ListBullet"/>
      </w:pPr>
      <w:r>
        <w:t>Produce the detailed monitoring design for `{{services_apps_monitored}}` applications and `{{services_network_devices}}` network devices.</w:t>
      </w:r>
    </w:p>
    <w:p>
      <w:pPr>
        <w:pStyle w:val="ListBullet"/>
      </w:pPr>
      <w:r>
        <w:t>Produce the detailed automation / orchestration design for `{{services_workflows}}` workflows.</w:t>
      </w:r>
    </w:p>
    <w:p>
      <w:pPr>
        <w:pStyle w:val="ListBullet"/>
      </w:pPr>
      <w:r>
        <w:t>Produce the detailed endpoint rollout design for `{{services_endpoints}}` endpoints.</w:t>
      </w:r>
    </w:p>
    <w:p>
      <w:pPr>
        <w:pStyle w:val="ListBullet"/>
      </w:pPr>
      <w:r>
        <w:t>Produce the detailed NVR design for `{{services_nvr_cameras}}` cameras.</w:t>
      </w:r>
    </w:p>
    <w:p>
      <w:pPr>
        <w:pStyle w:val="ListBullet"/>
      </w:pPr>
      <w:r>
        <w:t>Produce the detailed IoT design for `{{services_iot_devices}}` devices.</w:t>
      </w:r>
    </w:p>
    <w:p>
      <w:pPr>
        <w:pStyle w:val="ListBullet"/>
      </w:pPr>
      <w:r>
        <w:t>Produce the detailed SD-WAN design for `{{services_tunnels}}` tunnels.</w:t>
      </w:r>
    </w:p>
    <w:p>
      <w:pPr>
        <w:pStyle w:val="ListBullet"/>
      </w:pPr>
      <w:r>
        <w:t>Produce the detailed firewall design for `{{services_firewall_policies}}` policies.</w:t>
      </w:r>
    </w:p>
    <w:p>
      <w:pPr>
        <w:pStyle w:val="ListBullet"/>
      </w:pPr>
      <w:r>
        <w:t>Produce the detailed PBX design for `{{services_pbx_extensions}}` extensions.</w:t>
      </w:r>
    </w:p>
    <w:p>
      <w:pPr>
        <w:pStyle w:val="ListBullet"/>
      </w:pPr>
      <w:r>
        <w:t>Produce the detailed virtualisation design for `{{services_virtualization_workloads}}` workloads.</w:t>
      </w:r>
    </w:p>
    <w:p>
      <w:pPr>
        <w:pStyle w:val="ListBullet"/>
      </w:pPr>
      <w:r>
        <w:t>Produce the detailed design for `{{services_integrations}}` integrations.</w:t>
      </w:r>
    </w:p>
    <w:p>
      <w:pPr>
        <w:pStyle w:val="ListBullet"/>
      </w:pPr>
      <w:r>
        <w:t>Produce the detailed access / role design for `{{services_roles}}` roles.</w:t>
      </w:r>
    </w:p>
    <w:p>
      <w:pPr>
        <w:pStyle w:val="ListBullet"/>
      </w:pPr>
      <w:r>
        <w:t>Produce configuration and policy design documents per component.</w:t>
      </w:r>
    </w:p>
    <w:p>
      <w:pPr>
        <w:pStyle w:val="Heading3"/>
      </w:pPr>
      <w:r>
        <w:t>Out-of-scope</w:t>
      </w:r>
    </w:p>
    <w:p>
      <w:pPr>
        <w:pStyle w:val="ListBullet"/>
      </w:pPr>
      <w:r>
        <w:t>Any detailed design, configuration document, or policy document for anything not listed in the Phase 2 in-scope above.</w:t>
      </w:r>
    </w:p>
    <w:p>
      <w:pPr>
        <w:pStyle w:val="ListBullet"/>
      </w:pPr>
      <w:r>
        <w:t>Implementation of any design (that is Phase 3).</w:t>
      </w:r>
    </w:p>
    <w:p>
      <w:pPr>
        <w:pStyle w:val="ListBullet"/>
      </w:pPr>
      <w:r>
        <w:t>Design of the customer's core application.</w:t>
      </w:r>
    </w:p>
    <w:p>
      <w:pPr>
        <w:pStyle w:val="ListBullet"/>
      </w:pPr>
      <w:r>
        <w:t>Design changes to the existing customer environment unless explicitly in scope.</w:t>
      </w:r>
    </w:p>
    <w:p>
      <w:pPr>
        <w:pStyle w:val="ListBullet"/>
      </w:pPr>
      <w:r>
        <w:t>Any design copied verbatim from a prior engagement without validation against the current customer's environment and requirements.</w:t>
      </w:r>
    </w:p>
    <w:p>
      <w:pPr>
        <w:pStyle w:val="ListBullet"/>
      </w:pPr>
      <w:r>
        <w:t>Any detailed design, configuration, or policy document for components not listed in the Phase 2 in-scope above.</w:t>
      </w:r>
    </w:p>
    <w:p>
      <w:pPr>
        <w:pStyle w:val="Heading3"/>
      </w:pPr>
      <w:r>
        <w:t>Deliverables</w:t>
      </w:r>
    </w:p>
    <w:p>
      <w:pPr>
        <w:pStyle w:val="Heading2"/>
      </w:pPr>
      <w:r>
        <w:t>Figure — Architecture &amp; Engagement Diagram (Design Phase Input)</w:t>
      </w:r>
    </w:p>
    <w:p>
      <w:r>
        <w:t>&lt;!-- IMAGE PLACEMENT GUIDANCE — insert approved generic image here --&gt;</w:t>
        <w:br/>
        <w:t>&lt;!-- Recommended image: a generic engagement architecture diagram showing the Architecture, Design, Implementation &amp; Roll-out engagement flow — architecture workshops ({{services_arch_workshops}} sessions), architecture diagrams produced ({{services_arch_diagrams}} diagrams), design outputs, and the handover into implementation/roll-out. No customer-specific architecture names, no customer-specific environment depiction, no customer site names. --&gt;</w:t>
        <w:br/>
        <w:t>&lt;!-- Suggested source: generic professional-services engagement model — no customer-specific content from prior proposals is carried.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professional-services engagement / architecture diagram here. See image-placement guidance notes.]*</w:t>
      </w:r>
    </w:p>
    <w:p>
      <w:pPr>
        <w:pStyle w:val="ListBullet"/>
      </w:pPr>
      <w:r>
        <w:t>Detailed design documents — per site and per component.</w:t>
      </w:r>
    </w:p>
    <w:p>
      <w:pPr>
        <w:pStyle w:val="ListBullet"/>
      </w:pPr>
      <w:r>
        <w:t>Configuration and policy design documents.</w:t>
      </w:r>
    </w:p>
    <w:p>
      <w:pPr>
        <w:pStyle w:val="ListBullet"/>
      </w:pPr>
      <w:r>
        <w:t>Integration design documents.</w:t>
      </w:r>
    </w:p>
    <w:p>
      <w:pPr>
        <w:pStyle w:val="ListBullet"/>
      </w:pPr>
      <w:r>
        <w:t>Design sign-off record.</w:t>
      </w:r>
    </w:p>
    <w:p>
      <w:pPr>
        <w:pStyle w:val="Heading2"/>
      </w:pPr>
      <w:r>
        <w:t>Phase 3 — Implementation &amp; Roll-out</w:t>
      </w:r>
    </w:p>
    <w:p>
      <w:pPr>
        <w:pStyle w:val="Heading3"/>
      </w:pPr>
      <w:r>
        <w:t>In-scope</w:t>
      </w:r>
    </w:p>
    <w:p>
      <w:pPr>
        <w:pStyle w:val="ListBullet"/>
      </w:pPr>
      <w:r>
        <w:t>Implement and roll out the architecture and design across `{{services_branches}}` branches / sites.</w:t>
      </w:r>
    </w:p>
    <w:p>
      <w:pPr>
        <w:pStyle w:val="ListBullet"/>
      </w:pPr>
      <w:r>
        <w:t>Deploy monitoring for `{{services_apps_monitored}}` applications and `{{services_network_devices}}` network devices.</w:t>
      </w:r>
    </w:p>
    <w:p>
      <w:pPr>
        <w:pStyle w:val="ListBullet"/>
      </w:pPr>
      <w:r>
        <w:t>Implement `{{services_workflows}}` automation / orchestration workflows.</w:t>
      </w:r>
    </w:p>
    <w:p>
      <w:pPr>
        <w:pStyle w:val="ListBullet"/>
      </w:pPr>
      <w:r>
        <w:t>Roll out `{{services_endpoints}}` endpoints.</w:t>
      </w:r>
    </w:p>
    <w:p>
      <w:pPr>
        <w:pStyle w:val="ListBullet"/>
      </w:pPr>
      <w:r>
        <w:t>Deploy NVR for `{{services_nvr_cameras}}` cameras.</w:t>
      </w:r>
    </w:p>
    <w:p>
      <w:pPr>
        <w:pStyle w:val="ListBullet"/>
      </w:pPr>
      <w:r>
        <w:t>Integrate `{{services_iot_devices}}` IoT devices.</w:t>
      </w:r>
    </w:p>
    <w:p>
      <w:pPr>
        <w:pStyle w:val="ListBullet"/>
      </w:pPr>
      <w:r>
        <w:t>Deploy the SD-WAN overlay for `{{services_tunnels}}` tunnels.</w:t>
      </w:r>
    </w:p>
    <w:p>
      <w:pPr>
        <w:pStyle w:val="ListBullet"/>
      </w:pPr>
      <w:r>
        <w:t>Implement `{{services_firewall_policies}}` firewall policies.</w:t>
      </w:r>
    </w:p>
    <w:p>
      <w:pPr>
        <w:pStyle w:val="ListBullet"/>
      </w:pPr>
      <w:r>
        <w:t>Deploy the PBX for `{{services_pbx_extensions}}` extensions.</w:t>
      </w:r>
    </w:p>
    <w:p>
      <w:pPr>
        <w:pStyle w:val="ListBullet"/>
      </w:pPr>
      <w:r>
        <w:t>Deploy `{{services_virtualization_workloads}}` virtualisation workloads.</w:t>
      </w:r>
    </w:p>
    <w:p>
      <w:pPr>
        <w:pStyle w:val="ListBullet"/>
      </w:pPr>
      <w:r>
        <w:t>Implement `{{services_integrations}}` integrations.</w:t>
      </w:r>
    </w:p>
    <w:p>
      <w:pPr>
        <w:pStyle w:val="ListBullet"/>
      </w:pPr>
      <w:r>
        <w:t>Implement the access / role model for `{{services_roles}}` roles.</w:t>
      </w:r>
    </w:p>
    <w:p>
      <w:pPr>
        <w:pStyle w:val="ListBullet"/>
      </w:pPr>
      <w:r>
        <w:t>Test and validate each branch / site.</w:t>
      </w:r>
    </w:p>
    <w:p>
      <w:pPr>
        <w:pStyle w:val="ListBullet"/>
      </w:pPr>
      <w:r>
        <w:t>Execute acceptance testing at `{{services_acceptance_sites}}` sites.</w:t>
      </w:r>
    </w:p>
    <w:p>
      <w:pPr>
        <w:pStyle w:val="Heading3"/>
      </w:pPr>
      <w:r>
        <w:t>Out-of-scope</w:t>
      </w:r>
    </w:p>
    <w:p>
      <w:pPr>
        <w:pStyle w:val="ListBullet"/>
      </w:pPr>
      <w:r>
        <w:t>Any implementation, deployment, rollout, testing, or validation for anything not listed in the Phase 3 in-scope above.</w:t>
      </w:r>
    </w:p>
    <w:p>
      <w:pPr>
        <w:pStyle w:val="ListBullet"/>
      </w:pPr>
      <w:r>
        <w:t>Hardware procurement, cabling, civil / electrical / power / UPS work.</w:t>
      </w:r>
    </w:p>
    <w:p>
      <w:pPr>
        <w:pStyle w:val="ListBullet"/>
      </w:pPr>
      <w:r>
        <w:t>Customs, import, logistics, and delivery of equipment to site.</w:t>
      </w:r>
    </w:p>
    <w:p>
      <w:pPr>
        <w:pStyle w:val="ListBullet"/>
      </w:pPr>
      <w:r>
        <w:t>The customer's core application implementation, supply, licensing, or data migration.</w:t>
      </w:r>
    </w:p>
    <w:p>
      <w:pPr>
        <w:pStyle w:val="ListBullet"/>
      </w:pPr>
      <w:r>
        <w:t>Connectivity procurement and carrier management.</w:t>
      </w:r>
    </w:p>
    <w:p>
      <w:pPr>
        <w:pStyle w:val="ListBullet"/>
      </w:pPr>
      <w:r>
        <w:t>Third-party systems not included in this scope.</w:t>
      </w:r>
    </w:p>
    <w:p>
      <w:pPr>
        <w:pStyle w:val="ListBullet"/>
      </w:pPr>
      <w:r>
        <w:t>Any implementation copied verbatim from a prior engagement without validation against the current customer's environment and requirements.</w:t>
      </w:r>
    </w:p>
    <w:p>
      <w:pPr>
        <w:pStyle w:val="ListBullet"/>
      </w:pPr>
      <w:r>
        <w:t>Any activity not explicitly listed in the Phase 3 in-scope above.</w:t>
      </w:r>
    </w:p>
    <w:p>
      <w:pPr>
        <w:pStyle w:val="ListBullet"/>
      </w:pPr>
      <w:r>
        <w:t>Any implementation, deployment, rollout, testing, or validation for components not listed in the Phase 3 in-scope above.</w:t>
      </w:r>
    </w:p>
    <w:p>
      <w:pPr>
        <w:pStyle w:val="Heading3"/>
      </w:pPr>
      <w:r>
        <w:t>Deliverables</w:t>
      </w:r>
    </w:p>
    <w:p>
      <w:pPr>
        <w:pStyle w:val="ListBullet"/>
      </w:pPr>
      <w:r>
        <w:t>Implemented and deployed solution across `{{services_branches}}` branches.</w:t>
      </w:r>
    </w:p>
    <w:p>
      <w:pPr>
        <w:pStyle w:val="ListBullet"/>
      </w:pPr>
      <w:r>
        <w:t>Test and validation reports — per site.</w:t>
      </w:r>
    </w:p>
    <w:p>
      <w:pPr>
        <w:pStyle w:val="ListBullet"/>
      </w:pPr>
      <w:r>
        <w:t>Acceptance test records for `{{services_acceptance_sites}}` sites.</w:t>
      </w:r>
    </w:p>
    <w:p>
      <w:pPr>
        <w:pStyle w:val="ListBullet"/>
      </w:pPr>
      <w:r>
        <w:t>As-built documentation.</w:t>
      </w:r>
    </w:p>
    <w:p>
      <w:pPr>
        <w:pStyle w:val="Heading2"/>
      </w:pPr>
      <w:r>
        <w:t>Global Assumptions</w:t>
      </w:r>
    </w:p>
    <w:p>
      <w:pPr>
        <w:pStyle w:val="ListBullet"/>
      </w:pPr>
      <w:r>
        <w:t>The numbers in the master scope-numbers table are confirmed per engagement and documented in the design stage; they are not carried forward from a prior engagement without validation.</w:t>
      </w:r>
    </w:p>
    <w:p>
      <w:pPr>
        <w:pStyle w:val="ListBullet"/>
      </w:pPr>
      <w:r>
        <w:t>Architecture is completed and signed off before detailed design begins; detailed design is completed and signed off before implementation begins.</w:t>
      </w:r>
    </w:p>
    <w:p>
      <w:pPr>
        <w:pStyle w:val="ListBullet"/>
      </w:pPr>
      <w:r>
        <w:t>The customer provides the access, credentials, and environment information required for architecture, design, and implementation.</w:t>
      </w:r>
    </w:p>
    <w:p>
      <w:pPr>
        <w:pStyle w:val="ListBullet"/>
      </w:pPr>
      <w:r>
        <w:t>The customer procures its own hardware, software, licences, and connectivity unless explicitly included in this scope.</w:t>
      </w:r>
    </w:p>
    <w:p>
      <w:pPr>
        <w:pStyle w:val="ListBullet"/>
      </w:pPr>
      <w:r>
        <w:t>Implementation is performed remotely; on-site work is excluded unless explicitly added by change request.</w:t>
      </w:r>
    </w:p>
    <w:p>
      <w:pPr>
        <w:pStyle w:val="ListBullet"/>
      </w:pPr>
      <w:r>
        <w:t>Implementation applies only to systems and configurations meeting the requirements defined in the signed-off design.</w:t>
      </w:r>
    </w:p>
    <w:p>
      <w:pPr>
        <w:pStyle w:val="ListBullet"/>
      </w:pPr>
      <w:r>
        <w:t>The customer's technical team is available and dedicated throughout implementation as needed.</w:t>
      </w:r>
    </w:p>
    <w:p>
      <w:pPr>
        <w:pStyle w:val="ListBullet"/>
      </w:pPr>
      <w:r>
        <w:t>The customer holds a full backup of the implemented solutions from the installation date onward.</w:t>
      </w:r>
    </w:p>
    <w:p>
      <w:pPr>
        <w:pStyle w:val="ListBullet"/>
      </w:pPr>
      <w:r>
        <w:t>Timeline depends on customer responsiveness, access, and delivery of prerequisites.</w:t>
      </w:r>
    </w:p>
    <w:p>
      <w:pPr>
        <w:pStyle w:val="ListBullet"/>
      </w:pPr>
      <w:r>
        <w:t>Where the engagement spans multiple operating locations, the customer confirms licensing, telephony permissions, and any cross-border data transfer approval per location before design sign-off.</w:t>
      </w:r>
    </w:p>
    <w:p>
      <w:pPr>
        <w:pStyle w:val="ListBullet"/>
      </w:pPr>
      <w:r>
        <w:t>No security policy or firewall blocks required communication or replication between servers.</w:t>
      </w:r>
    </w:p>
    <w:p>
      <w:pPr>
        <w:pStyle w:val="ListBullet"/>
      </w:pPr>
      <w:r>
        <w:t>Any modification or additional requirement beyond the stated scope is handled through a change request.</w:t>
      </w:r>
    </w:p>
    <w:p>
      <w:pPr>
        <w:pStyle w:val="ListBullet"/>
      </w:pPr>
      <w:r>
        <w:t>Scope is limited to the solutions mentioned in this document and not any other solution, even those in the same portfolio.</w:t>
      </w:r>
    </w:p>
    <w:p>
      <w:pPr>
        <w:pStyle w:val="ListBullet"/>
      </w:pPr>
      <w:r>
        <w:t>Services that include configured, installed, upgraded, or implemented software are not subject to customer acceptance.</w:t>
      </w:r>
    </w:p>
    <w:p>
      <w:pPr>
        <w:pStyle w:val="Heading2"/>
      </w:pPr>
      <w:r>
        <w:t>Global Out-of-Scope</w:t>
      </w:r>
    </w:p>
    <w:p>
      <w:pPr>
        <w:pStyle w:val="ListBullet"/>
      </w:pPr>
      <w:r>
        <w:t>Hardware, network, and storage procurement, supply, mounting, and cabling — including for backend management and monitoring — except devices delivered by Verto Wave.</w:t>
      </w:r>
    </w:p>
    <w:p>
      <w:pPr>
        <w:pStyle w:val="ListBullet"/>
      </w:pPr>
      <w:r>
        <w:t>Any civil or electrical work, or resolving power-connectivity availability from UPS to proceed with implementation.</w:t>
      </w:r>
    </w:p>
    <w:p>
      <w:pPr>
        <w:pStyle w:val="ListBullet"/>
      </w:pPr>
      <w:r>
        <w:t>Any activity at branches / sites including delivery and mounting of devices.</w:t>
      </w:r>
    </w:p>
    <w:p>
      <w:pPr>
        <w:pStyle w:val="ListBullet"/>
      </w:pPr>
      <w:r>
        <w:t>Any field support activities, on-site or field operations, or logistical work and direct communication with the end user.</w:t>
      </w:r>
    </w:p>
    <w:p>
      <w:pPr>
        <w:pStyle w:val="ListBullet"/>
      </w:pPr>
      <w:r>
        <w:t>Any rework related to hardware availability or hardware failure issues, network connectivity issues, electricity instability, or electricity outages.</w:t>
      </w:r>
    </w:p>
    <w:p>
      <w:pPr>
        <w:pStyle w:val="ListBullet"/>
      </w:pPr>
      <w:r>
        <w:t>Customs clearance, import permits, duties, in-country logistics, and equipment delivery to site.</w:t>
      </w:r>
    </w:p>
    <w:p>
      <w:pPr>
        <w:pStyle w:val="ListBullet"/>
      </w:pPr>
      <w:r>
        <w:t>Procurement, supply, resale, contracting, or funding of any connectivity service — internet, fiber, DSL, satellite, cellular, MPLS, or any other wide-area transport — at any site or in the central data center. All access services are contracted directly by the customer with its chosen providers.</w:t>
      </w:r>
    </w:p>
    <w:p>
      <w:pPr>
        <w:pStyle w:val="ListBullet"/>
      </w:pPr>
      <w:r>
        <w:t>Any communication, negotiation, fault escalation, or SLA management with ISPs, carriers, or satellite operators on the customer's behalf.</w:t>
      </w:r>
    </w:p>
    <w:p>
      <w:pPr>
        <w:pStyle w:val="ListBullet"/>
      </w:pPr>
      <w:r>
        <w:t>Any responsibility for the availability, throughput, latency, or quality of customer-provided access services, and any service credit arising from their failure.</w:t>
      </w:r>
    </w:p>
    <w:p>
      <w:pPr>
        <w:pStyle w:val="ListBullet"/>
      </w:pPr>
      <w:r>
        <w:t>Design, survey, installation, or upgrade of last-mile access, including satellite terminal installation, alignment, and commissioning.</w:t>
      </w:r>
    </w:p>
    <w:p>
      <w:pPr>
        <w:pStyle w:val="ListBullet"/>
      </w:pPr>
      <w:r>
        <w:t>Obtaining telecommunications, telephony numbering, VoIP, or data-service licences and regulatory permits in any country of operation.</w:t>
      </w:r>
    </w:p>
    <w:p>
      <w:pPr>
        <w:pStyle w:val="ListBullet"/>
      </w:pPr>
      <w:r>
        <w:t>The customer's core application — its design, supply, configuration, licensing, and any application data migration.</w:t>
      </w:r>
    </w:p>
    <w:p>
      <w:pPr>
        <w:pStyle w:val="ListBullet"/>
      </w:pPr>
      <w:r>
        <w:t>Any validation, certification, or regulatory approval of the customer's service that is the customer's or a third party's responsibility.</w:t>
      </w:r>
    </w:p>
    <w:p>
      <w:pPr>
        <w:pStyle w:val="ListBullet"/>
      </w:pPr>
      <w:r>
        <w:t>Any backup, network, and security activities not explicitly in scope.</w:t>
      </w:r>
    </w:p>
    <w:p>
      <w:pPr>
        <w:pStyle w:val="ListBullet"/>
      </w:pPr>
      <w:r>
        <w:t>Any disaster-recovery activities unless the backup and continuity service is selected and separately quoted.</w:t>
      </w:r>
    </w:p>
    <w:p>
      <w:pPr>
        <w:pStyle w:val="ListBullet"/>
      </w:pPr>
      <w:r>
        <w:t>Security penetration testing, vulnerability assessment, code review, and forensics activities — unless explicitly stated as in scope.</w:t>
      </w:r>
    </w:p>
    <w:p>
      <w:pPr>
        <w:pStyle w:val="ListBullet"/>
      </w:pPr>
      <w:r>
        <w:t>Any deployment or configuration of third-party systems, products, or applications not included in this proposal scope.</w:t>
      </w:r>
    </w:p>
    <w:p>
      <w:pPr>
        <w:pStyle w:val="ListBullet"/>
      </w:pPr>
      <w:r>
        <w:t>Integration with components that do not support standard protocols used by DeviceX/SDX.</w:t>
      </w:r>
    </w:p>
    <w:p>
      <w:pPr>
        <w:pStyle w:val="ListBullet"/>
      </w:pPr>
      <w:r>
        <w:t>Integration with end-of-life / end-of-support systems and solutions.</w:t>
      </w:r>
    </w:p>
    <w:p>
      <w:pPr>
        <w:pStyle w:val="ListBullet"/>
      </w:pPr>
      <w:r>
        <w:t>Creating new SLAs and agreements with vendors for systems aside from those explicitly included in this scope.</w:t>
      </w:r>
    </w:p>
    <w:p>
      <w:pPr>
        <w:pStyle w:val="ListBullet"/>
      </w:pPr>
      <w:r>
        <w:t>Operating third-party systems aside from the systems included in this scope.</w:t>
      </w:r>
    </w:p>
    <w:p>
      <w:pPr>
        <w:pStyle w:val="ListBullet"/>
      </w:pPr>
      <w:r>
        <w:t>Managing and supporting systems and devices not allowing ways of integration.</w:t>
      </w:r>
    </w:p>
    <w:p>
      <w:pPr>
        <w:pStyle w:val="ListBullet"/>
      </w:pPr>
      <w:r>
        <w:t>Any configuration or troubleshooting of business virtual machines hosted on DeviceX, unless explicitly in scope.</w:t>
      </w:r>
    </w:p>
    <w:p>
      <w:pPr>
        <w:pStyle w:val="ListBullet"/>
      </w:pPr>
      <w:r>
        <w:t>Deploying any software on created virtual machines unless explicitly in scope.</w:t>
      </w:r>
    </w:p>
    <w:p>
      <w:pPr>
        <w:pStyle w:val="ListBullet"/>
      </w:pPr>
      <w:r>
        <w:t>Setting up or upgrading to newer versions of OS or database unless explicitly in scope.</w:t>
      </w:r>
    </w:p>
    <w:p>
      <w:pPr>
        <w:pStyle w:val="ListBullet"/>
      </w:pPr>
      <w:r>
        <w:t>Application compatibility checks or troubleshooting with operating systems.</w:t>
      </w:r>
    </w:p>
    <w:p>
      <w:pPr>
        <w:pStyle w:val="ListBullet"/>
      </w:pPr>
      <w:r>
        <w:t>Any migration activities.</w:t>
      </w:r>
    </w:p>
    <w:p>
      <w:pPr>
        <w:pStyle w:val="ListBullet"/>
      </w:pPr>
      <w:r>
        <w:t>Any change to existing customer devices or configurations — switches, routers, existing firewalls, and similar.</w:t>
      </w:r>
    </w:p>
    <w:p>
      <w:pPr>
        <w:pStyle w:val="ListBullet"/>
      </w:pPr>
      <w:r>
        <w:t>Any design changes to the existing environment.</w:t>
      </w:r>
    </w:p>
    <w:p>
      <w:pPr>
        <w:pStyle w:val="ListBullet"/>
      </w:pPr>
      <w:r>
        <w:t>Procurement of any extra licences not identified as in-scope.</w:t>
      </w:r>
    </w:p>
    <w:p>
      <w:pPr>
        <w:pStyle w:val="ListBullet"/>
      </w:pPr>
      <w:r>
        <w:t>Acquisition of any necessary commercial certificates unless explicitly in scope.</w:t>
      </w:r>
    </w:p>
    <w:p>
      <w:pPr>
        <w:pStyle w:val="ListBullet"/>
      </w:pPr>
      <w:r>
        <w:t>Any documentation other than the design documents and agreed deliverables.</w:t>
      </w:r>
    </w:p>
    <w:p>
      <w:pPr>
        <w:pStyle w:val="ListBullet"/>
      </w:pPr>
      <w:r>
        <w:t>Any development and debugging activities not explicitly in scope.</w:t>
      </w:r>
    </w:p>
    <w:p>
      <w:pPr>
        <w:pStyle w:val="ListBullet"/>
      </w:pPr>
      <w:r>
        <w:t>Any activity not explicitly mentioned in the in-scope activities above.</w:t>
      </w:r>
    </w:p>
    <w:p>
      <w:pPr>
        <w:pStyle w:val="ListBullet"/>
      </w:pPr>
      <w:r>
        <w:t>Any implementation, deployment, rollout, testing, or validation for anything not explicitly listed in the in-scope activities above.</w:t>
      </w:r>
    </w:p>
    <w:p>
      <w:r>
        <w:t>*This section is a reusable standalone services module. Include when professional services (architecture, design, implementation, and roll-out) are offered as a standalone engagement. Fill all `{{services_*}}` slots per bid — every number tightens the scope. The in-scope and out-of-scope are written to complete each other; confirm with Legal/Solution that no additional inclusions or exclusions are needed for the current bid. This section is separate from the platform capability modules (e.g. `{{module_sdwan}}`, `{{module_firewall}}`, `{{module_nvr}}`, `{{module_ipbx}}`, `{{module_virtualization}}`, `{{module_stackx_observability_apm}}`, `{{module_stackx_automation_orchestration}}`, `{{module_stackx_endpoint_mgmt}}`); include both where a customer requires platform capability and professional services together.*</w:t>
      </w:r>
    </w:p>
    <w:p/>
    <w:p>
      <w:pPr>
        <w:pStyle w:val="Heading1"/>
      </w:pPr>
      <w:r>
        <w:t>Proposal Validity / Expiry Clause</w:t>
      </w:r>
    </w:p>
    <w:p>
      <w:pPr>
        <w:pStyle w:val="Heading2"/>
      </w:pPr>
      <w:r>
        <w:t>Validity</w:t>
      </w:r>
    </w:p>
    <w:p>
      <w:r>
        <w:t>*[Note: The validity clause below is a reusable frame based on a prior VertoWave proposal. The default period and effective-date logic must be confirmed per bid and reviewed by Legal before issuance.]*</w:t>
      </w:r>
    </w:p>
    <w:p>
      <w:r>
        <w:t>If no engagement end date is specified in this Agreement, the terms and conditions of this proposal will expire 12 months from the Effective Date.</w:t>
      </w:r>
    </w:p>
    <w:p>
      <w:pPr>
        <w:pStyle w:val="Heading2"/>
      </w:pPr>
      <w:r>
        <w:t>Figure — &lt;Insert approved generic diagram / screenshot here&gt;</w:t>
      </w:r>
    </w:p>
    <w:p>
      <w:r>
        <w:t>&lt;!-- IMAGE PLACEMENT GUIDANCE — insert approved generic image here --&gt;</w:t>
        <w:br/>
        <w:t>&lt;!-- Recommended image: a generic diagram or screenshot relevant to this section's content (architecture, flow, dashboard, or topology as appropriate). No customer-specific names, environment, architecture, site names, or branding.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image here. See image-placement guidance notes.]*</w:t>
      </w:r>
    </w:p>
    <w:p>
      <w:r>
        <w:t>If either party wishes to extend it, both parties must mutually agree to the extension at least three (3) months before the expiration date. If the expiration date has passed, a new and independent contractual agreement must be created and agreed upon by both parties.</w:t>
      </w:r>
    </w:p>
    <w:p>
      <w:pPr>
        <w:pStyle w:val="Heading2"/>
      </w:pPr>
      <w:r>
        <w:t>Effective Date</w:t>
      </w:r>
    </w:p>
    <w:p>
      <w:r>
        <w:t>to be agreed</w:t>
      </w:r>
    </w:p>
    <w:p>
      <w:r>
        <w:t>*[The Effective Date is the date from which the validity period is calculated, as agreed with the customer. Confirm definition of "Effective Date" per bid — e.g., date of acceptance, date of signed agreement, or proposal issue date.]*</w:t>
      </w:r>
    </w:p>
    <w:p>
      <w:r>
        <w:t>*This section is a reusable building block. Confirm the validity period (default placeholder is 12 months) and the definition of Effective Date with Legal/Sales per bid. Do not issue without Legal review.*</w:t>
      </w:r>
    </w:p>
    <w:p/>
    <w:p>
      <w:pPr>
        <w:pStyle w:val="Heading1"/>
      </w:pPr>
      <w:r>
        <w:t>Document Control</w:t>
      </w:r>
    </w:p>
    <w:p>
      <w:pPr>
        <w:pStyle w:val="Heading2"/>
      </w:pPr>
      <w:r>
        <w:t>Document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w:t>
            </w:r>
          </w:p>
        </w:tc>
        <w:tc>
          <w:tcPr>
            <w:tcW w:type="dxa" w:w="4320"/>
          </w:tcPr>
          <w:p>
            <w:r>
              <w:t>:---</w:t>
            </w:r>
          </w:p>
        </w:tc>
      </w:tr>
      <w:tr>
        <w:tc>
          <w:tcPr>
            <w:tcW w:type="dxa" w:w="4320"/>
          </w:tcPr>
          <w:p>
            <w:r>
              <w:t>Document Title</w:t>
            </w:r>
          </w:p>
        </w:tc>
        <w:tc>
          <w:tcPr>
            <w:tcW w:type="dxa" w:w="4320"/>
          </w:tcPr>
          <w:p>
            <w:r>
              <w:t>DeviceX/SDX &amp; StackX Technical Proposal — Technical Proposal</w:t>
            </w:r>
          </w:p>
        </w:tc>
      </w:tr>
      <w:tr>
        <w:tc>
          <w:tcPr>
            <w:tcW w:type="dxa" w:w="4320"/>
          </w:tcPr>
          <w:p>
            <w:r>
              <w:t>Prepared for</w:t>
            </w:r>
          </w:p>
        </w:tc>
        <w:tc>
          <w:tcPr>
            <w:tcW w:type="dxa" w:w="4320"/>
          </w:tcPr>
          <w:p>
            <w:r>
              <w:t>Example Customer Egypt S.A.E.</w:t>
            </w:r>
          </w:p>
        </w:tc>
      </w:tr>
      <w:tr>
        <w:tc>
          <w:tcPr>
            <w:tcW w:type="dxa" w:w="4320"/>
          </w:tcPr>
          <w:p>
            <w:r>
              <w:t>Prepared by</w:t>
            </w:r>
          </w:p>
        </w:tc>
        <w:tc>
          <w:tcPr>
            <w:tcW w:type="dxa" w:w="4320"/>
          </w:tcPr>
          <w:p>
            <w:r>
              <w:t>VertoWave</w:t>
            </w:r>
          </w:p>
        </w:tc>
      </w:tr>
      <w:tr>
        <w:tc>
          <w:tcPr>
            <w:tcW w:type="dxa" w:w="4320"/>
          </w:tcPr>
          <w:p>
            <w:r>
              <w:t>Proposal Date</w:t>
            </w:r>
          </w:p>
        </w:tc>
        <w:tc>
          <w:tcPr>
            <w:tcW w:type="dxa" w:w="4320"/>
          </w:tcPr>
          <w:p>
            <w:r>
              <w:t>2 September 2026</w:t>
            </w:r>
          </w:p>
        </w:tc>
      </w:tr>
      <w:tr>
        <w:tc>
          <w:tcPr>
            <w:tcW w:type="dxa" w:w="4320"/>
          </w:tcPr>
          <w:p>
            <w:r>
              <w:t>Proposal Reference</w:t>
            </w:r>
          </w:p>
        </w:tc>
        <w:tc>
          <w:tcPr>
            <w:tcW w:type="dxa" w:w="4320"/>
          </w:tcPr>
          <w:p>
            <w:r>
              <w:t>EC-2026-001</w:t>
            </w:r>
          </w:p>
        </w:tc>
      </w:tr>
      <w:tr>
        <w:tc>
          <w:tcPr>
            <w:tcW w:type="dxa" w:w="4320"/>
          </w:tcPr>
          <w:p>
            <w:r>
              <w:t>Version</w:t>
            </w:r>
          </w:p>
        </w:tc>
        <w:tc>
          <w:tcPr>
            <w:tcW w:type="dxa" w:w="4320"/>
          </w:tcPr>
          <w:p>
            <w:r>
              <w:t>1.0</w:t>
            </w:r>
          </w:p>
        </w:tc>
      </w:tr>
      <w:tr>
        <w:tc>
          <w:tcPr>
            <w:tcW w:type="dxa" w:w="4320"/>
          </w:tcPr>
          <w:p>
            <w:r>
              <w:t>Status</w:t>
            </w:r>
          </w:p>
        </w:tc>
        <w:tc>
          <w:tcPr>
            <w:tcW w:type="dxa" w:w="4320"/>
          </w:tcPr>
          <w:p>
            <w:r>
              <w:t>Draft</w:t>
            </w:r>
          </w:p>
        </w:tc>
      </w:tr>
      <w:tr>
        <w:tc>
          <w:tcPr>
            <w:tcW w:type="dxa" w:w="4320"/>
          </w:tcPr>
          <w:p>
            <w:r>
              <w:t>Classification</w:t>
            </w:r>
          </w:p>
        </w:tc>
        <w:tc>
          <w:tcPr>
            <w:tcW w:type="dxa" w:w="4320"/>
          </w:tcPr>
          <w:p>
            <w:r>
              <w:t>Confidential and Proprietary — Property of Verto Wave. Do Not Copy or Distribute.</w:t>
            </w:r>
          </w:p>
        </w:tc>
      </w:tr>
    </w:tbl>
    <w:p>
      <w:pPr>
        <w:pStyle w:val="Heading2"/>
      </w:pPr>
      <w:r>
        <w:t>Change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Description of Change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1.0</w:t>
            </w:r>
          </w:p>
        </w:tc>
        <w:tc>
          <w:tcPr>
            <w:tcW w:type="dxa" w:w="2160"/>
          </w:tcPr>
          <w:p>
            <w:r>
              <w:t>2026-09-02</w:t>
            </w:r>
          </w:p>
        </w:tc>
        <w:tc>
          <w:tcPr>
            <w:tcW w:type="dxa" w:w="2160"/>
          </w:tcPr>
          <w:p>
            <w:r>
              <w:t>VertoWave Proposal Team</w:t>
            </w:r>
          </w:p>
        </w:tc>
        <w:tc>
          <w:tcPr>
            <w:tcW w:type="dxa" w:w="2160"/>
          </w:tcPr>
          <w:p>
            <w:r>
              <w:t>Initial issue</w:t>
            </w:r>
          </w:p>
        </w:tc>
      </w:tr>
      <w:tr>
        <w:tc>
          <w:tcPr>
            <w:tcW w:type="dxa" w:w="2160"/>
          </w:tcPr>
          <w:p>
            <w:r/>
          </w:p>
        </w:tc>
        <w:tc>
          <w:tcPr>
            <w:tcW w:type="dxa" w:w="2160"/>
          </w:tcPr>
          <w:p>
            <w:r/>
          </w:p>
        </w:tc>
        <w:tc>
          <w:tcPr>
            <w:tcW w:type="dxa" w:w="2160"/>
          </w:tcPr>
          <w:p>
            <w:r/>
          </w:p>
        </w:tc>
        <w:tc>
          <w:tcPr>
            <w:tcW w:type="dxa" w:w="2160"/>
          </w:tcPr>
          <w:p>
            <w:r/>
          </w:p>
        </w:tc>
      </w:tr>
    </w:tbl>
    <w:p>
      <w:r>
        <w:t>*[Maintain this change-history table for each revision. Each new version is a new entry. Do not overwrite prior approved/submitted versions — preserve automatic document versioning.]*</w:t>
      </w:r>
    </w:p>
    <w:p>
      <w:pPr>
        <w:pStyle w:val="Heading2"/>
      </w:pPr>
      <w:r>
        <w:t>Deliverables by Phase</w:t>
      </w:r>
    </w:p>
    <w:p>
      <w:pPr>
        <w:pStyle w:val="Heading2"/>
      </w:pPr>
      <w:r>
        <w:t>Figure — &lt;Insert approved generic diagram / screenshot here&gt;</w:t>
      </w:r>
    </w:p>
    <w:p>
      <w:r>
        <w:t>&lt;!-- IMAGE PLACEMENT GUIDANCE — insert approved generic image here --&gt;</w:t>
        <w:br/>
        <w:t>&lt;!-- Recommended image: a generic diagram or screenshot relevant to this section's content (architecture, flow, dashboard, or topology as appropriate). No customer-specific names, environment, architecture, site names, or branding. --&gt;</w:t>
        <w:br/>
        <w:t>&lt;!-- Generic-only rule: do not insert any image that names or depicts the customer's specific environment, architecture, site names, or branding. Replace customer-specific labels before use. --&gt;</w:t>
        <w:br/>
        <w:t>&lt;!-- To embed: place the approved image file at this location in the final docx (deferred — combine.py is text-only for now). --&gt;</w:t>
      </w:r>
    </w:p>
    <w:p>
      <w:r>
        <w:t>*[Figure placeholder — insert approved generic image here. See image-placement guidance notes.]*</w:t>
      </w:r>
    </w:p>
    <w:p>
      <w:r>
        <w:t>The following deliverables are provided for each phase of the engagement. They are shown as a reusable template; the exact deliverable set, format and acceptance criteria are confirmed per bid.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Activity</w:t>
            </w:r>
          </w:p>
        </w:tc>
        <w:tc>
          <w:tcPr>
            <w:tcW w:type="dxa" w:w="2880"/>
          </w:tcPr>
          <w:p>
            <w:r>
              <w:rPr>
                <w:b/>
              </w:rPr>
              <w:t>Deliverable</w:t>
            </w:r>
          </w:p>
        </w:tc>
      </w:tr>
      <w:tr>
        <w:tc>
          <w:tcPr>
            <w:tcW w:type="dxa" w:w="2880"/>
          </w:tcPr>
          <w:p>
            <w:r>
              <w:t>:---</w:t>
            </w:r>
          </w:p>
        </w:tc>
        <w:tc>
          <w:tcPr>
            <w:tcW w:type="dxa" w:w="2880"/>
          </w:tcPr>
          <w:p>
            <w:r>
              <w:t>:---</w:t>
            </w:r>
          </w:p>
        </w:tc>
        <w:tc>
          <w:tcPr>
            <w:tcW w:type="dxa" w:w="2880"/>
          </w:tcPr>
          <w:p>
            <w:r>
              <w:t>:---</w:t>
            </w:r>
          </w:p>
        </w:tc>
      </w:tr>
      <w:tr>
        <w:tc>
          <w:tcPr>
            <w:tcW w:type="dxa" w:w="2880"/>
          </w:tcPr>
          <w:p>
            <w:r>
              <w:t>Envisioning &amp; Design</w:t>
            </w:r>
          </w:p>
        </w:tc>
        <w:tc>
          <w:tcPr>
            <w:tcW w:type="dxa" w:w="2880"/>
          </w:tcPr>
          <w:p>
            <w:r>
              <w:t>Envisioning &amp; Design</w:t>
            </w:r>
          </w:p>
        </w:tc>
        <w:tc>
          <w:tcPr>
            <w:tcW w:type="dxa" w:w="2880"/>
          </w:tcPr>
          <w:p>
            <w:r>
              <w:t>Design document for each solution. Site profile and class assignment per site. Traffic classification, QoS and security segmentation model. Security baseline: integrity policy, certificate lifetimes and measurement baselines. Access service validation record per site. Numbering plan and session/call flow design.</w:t>
            </w:r>
          </w:p>
        </w:tc>
      </w:tr>
      <w:tr>
        <w:tc>
          <w:tcPr>
            <w:tcW w:type="dxa" w:w="2880"/>
          </w:tcPr>
          <w:p>
            <w:r>
              <w:t>Build</w:t>
            </w:r>
          </w:p>
        </w:tc>
        <w:tc>
          <w:tcPr>
            <w:tcW w:type="dxa" w:w="2880"/>
          </w:tcPr>
          <w:p>
            <w:r>
              <w:t>Build Activities</w:t>
            </w:r>
          </w:p>
        </w:tc>
        <w:tc>
          <w:tcPr>
            <w:tcW w:type="dxa" w:w="2880"/>
          </w:tcPr>
          <w:p>
            <w:r>
              <w:t>In-scope build activities (core + sites). Per-site acceptance test record.</w:t>
            </w:r>
          </w:p>
        </w:tc>
      </w:tr>
      <w:tr>
        <w:tc>
          <w:tcPr>
            <w:tcW w:type="dxa" w:w="2880"/>
          </w:tcPr>
          <w:p>
            <w:r>
              <w:t>Optional Managed Operations (where selected)</w:t>
            </w:r>
          </w:p>
        </w:tc>
        <w:tc>
          <w:tcPr>
            <w:tcW w:type="dxa" w:w="2880"/>
          </w:tcPr>
          <w:p>
            <w:r>
              <w:t>Operations Activities</w:t>
            </w:r>
          </w:p>
        </w:tc>
        <w:tc>
          <w:tcPr>
            <w:tcW w:type="dxa" w:w="2880"/>
          </w:tcPr>
          <w:p>
            <w:r>
              <w:t>Delivered only if the managed operations option is selected. Operations activities per the managed operations section. OLA. Operations reports and enhancement recommendations.</w:t>
            </w:r>
          </w:p>
        </w:tc>
      </w:tr>
      <w:tr>
        <w:tc>
          <w:tcPr>
            <w:tcW w:type="dxa" w:w="2880"/>
          </w:tcPr>
          <w:p>
            <w:r>
              <w:t>Training &amp; Handover</w:t>
            </w:r>
          </w:p>
        </w:tc>
        <w:tc>
          <w:tcPr>
            <w:tcW w:type="dxa" w:w="2880"/>
          </w:tcPr>
          <w:p>
            <w:r>
              <w:t>Training and Handover</w:t>
            </w:r>
          </w:p>
        </w:tc>
        <w:tc>
          <w:tcPr>
            <w:tcW w:type="dxa" w:w="2880"/>
          </w:tcPr>
          <w:p>
            <w:r>
              <w:t>Training activities. Training documentation and recorded session. Operational handover pack.</w:t>
            </w:r>
          </w:p>
        </w:tc>
      </w:tr>
    </w:tbl>
    <w:p>
      <w:r>
        <w:t>*[The deliverables table above is a generic reusable format. Confirm the actual deliverable set, format, and acceptance criteria per bid — do not issue a deliverables list copied verbatim from a prior proposal without validation.]*</w:t>
      </w:r>
    </w:p>
    <w:p>
      <w:pPr>
        <w:pStyle w:val="Heading2"/>
      </w:pPr>
      <w:r>
        <w:t>Reference Screenshots Guidance (for the bid team)</w:t>
      </w:r>
    </w:p>
    <w:p>
      <w:r>
        <w:t>Where a module references platform screenshots to illustrate the underlying technology:</w:t>
      </w:r>
    </w:p>
    <w:p>
      <w:pPr>
        <w:pStyle w:val="ListBullet"/>
      </w:pPr>
      <w:r>
        <w:t>Equivalent platform reference screenshots may be included to illustrate the underlying technology.</w:t>
      </w:r>
    </w:p>
    <w:p>
      <w:pPr>
        <w:pStyle w:val="ListBullet"/>
      </w:pPr>
      <w:r>
        <w:t>In the StackX service, equivalent screens would be presented under the StackX brand and configured with the customer's entities, categories, workflows, assets and service catalog.</w:t>
      </w:r>
    </w:p>
    <w:p>
      <w:pPr>
        <w:pStyle w:val="ListBullet"/>
      </w:pPr>
      <w:r>
        <w:t>Any screenshots are included transparently and are not represented as screenshots of a separately developed product.</w:t>
      </w:r>
    </w:p>
    <w:p>
      <w:pPr>
        <w:pStyle w:val="ListBullet"/>
      </w:pPr>
      <w:r>
        <w:t>Do not include third-party product screenshots, vendor product diagrams, or images that imply a separately developed or rebranded product.</w:t>
      </w:r>
    </w:p>
    <w:p>
      <w:pPr>
        <w:pStyle w:val="Heading2"/>
      </w:pPr>
      <w:r>
        <w:t>Document Control Notes</w:t>
      </w:r>
    </w:p>
    <w:p>
      <w:pPr>
        <w:pStyle w:val="ListBullet"/>
      </w:pPr>
      <w:r>
        <w:t>This document is confidential and proprietary to Verto Wave.</w:t>
      </w:r>
    </w:p>
    <w:p>
      <w:pPr>
        <w:pStyle w:val="ListBullet"/>
      </w:pPr>
      <w:r>
        <w:t>Distribution is limited to authorized recipients.</w:t>
      </w:r>
    </w:p>
    <w:p>
      <w:pPr>
        <w:pStyle w:val="ListBullet"/>
      </w:pPr>
      <w:r>
        <w:t>Any changes to scope, assumptions, or deliverables after issuance must be handled through the Change Management Procedure (`{{section_change_mgmt}}`).</w:t>
      </w:r>
    </w:p>
    <w:p>
      <w:pPr>
        <w:pStyle w:val="ListBullet"/>
      </w:pPr>
      <w:r>
        <w:t>This is a technical proposal. Pricing is excluded from this document and attached separately, outside this proposal template.</w:t>
      </w:r>
    </w:p>
    <w:p>
      <w:r>
        <w:t>*This section is a reusable building block. Populate the cover metadata and change-history table per bid. Never issue a proposal with placeholder metadata unresolved.*</w:t>
      </w:r>
    </w:p>
    <w:p/>
    <w:p>
      <w:r>
        <w:rPr>
          <w:i/>
          <w:color w:val="707070"/>
          <w:sz w:val="18"/>
        </w:rPr>
        <w:t>Table of Contents — if entries are missing or show "No table of contents entries found", select the table below, right-click, and choose "Update Field" → "Update entire table".</w:t>
      </w:r>
    </w:p>
    <w:p>
      <w:r>
        <w:fldChar w:fldCharType="begin"/>
        <w:instrText xml:space="preserve"> TOC \o "1-3" \h \z \u </w:instrText>
        <w:fldChar w:fldCharType="separate"/>
        <w:r>
          <w:t xml:space="preserve">Right-click and choose "Update Field" to build the Table of Contents.</w:t>
        </w:r>
        <w:fldChar w:fldCharType="end"/>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