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360"/>
      </w:pPr>
      <w:r>
        <w:drawing>
          <wp:inline distT="0" distB="0" distL="0" distR="0">
            <wp:extent cx="2381250" cy="561975"/>
            <wp:effectExtent t="0" r="0" b="0" l="0"/>
            <wp:docPr id="1" name="Fleet Studio logo" descr="Fleet Studio by Verto Wave" title="Fleet St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381250" cy="561975"/>
                    </a:xfrm>
                    <a:prstGeom prst="rect">
                      <a:avLst/>
                    </a:prstGeom>
                  </pic:spPr>
                </pic:pic>
              </a:graphicData>
            </a:graphic>
          </wp:inline>
        </w:drawing>
      </w:r>
    </w:p>
    <w:p>
      <w:pPr>
        <w:spacing w:after="120" w:before="0"/>
      </w:pPr>
      <w:r>
        <w:rPr>
          <w:b/>
          <w:bCs/>
          <w:color w:val="1570B8"/>
          <w:spacing w:val="40"/>
          <w:sz w:val="22"/>
          <w:szCs w:val="22"/>
        </w:rPr>
        <w:t xml:space="preserve">RESPONSE TO PROPOSAL</w:t>
      </w:r>
    </w:p>
    <w:p>
      <w:pPr>
        <w:spacing w:after="200"/>
      </w:pPr>
      <w:r>
        <w:rPr>
          <w:b/>
          <w:bCs/>
          <w:color w:val="0B2545"/>
          <w:sz w:val="56"/>
          <w:szCs w:val="56"/>
        </w:rPr>
        <w:t xml:space="preserve">Agentic GRC on SAS</w:t>
      </w:r>
    </w:p>
    <w:p>
      <w:pPr>
        <w:spacing w:after="600"/>
      </w:pPr>
      <w:r>
        <w:rPr>
          <w:color w:val="5B6770"/>
          <w:sz w:val="26"/>
          <w:szCs w:val="26"/>
        </w:rPr>
        <w:t xml:space="preserve">Assessment of “Agentic GRC with SAS Viya”, the current limits of SAS technology, and a delivery plan for our own solution</w:t>
      </w:r>
    </w:p>
    <w:p>
      <w:pPr>
        <w:pBdr>
          <w:bottom w:val="single" w:color="1570B8" w:sz="8" w:space="4"/>
        </w:pBdr>
      </w:pPr>
    </w:p>
    <w:p>
      <w:pPr>
        <w:spacing w:after="60"/>
      </w:pPr>
    </w:p>
    <w:p>
      <w:pPr>
        <w:spacing w:after="120" w:line="276"/>
      </w:pPr>
      <w:r>
        <w:rPr>
          <w:b/>
          <w:bCs/>
        </w:rPr>
        <w:t xml:space="preserve">Date:</w:t>
      </w:r>
      <w:r>
        <w:t xml:space="preserve"> 1 October 2026</w:t>
      </w:r>
    </w:p>
    <w:p>
      <w:pPr>
        <w:spacing w:after="120" w:line="276"/>
      </w:pPr>
      <w:r>
        <w:rPr>
          <w:b/>
          <w:bCs/>
        </w:rPr>
        <w:t xml:space="preserve">Status:</w:t>
      </w:r>
      <w:r>
        <w:t xml:space="preserve"> Draft for discussion</w:t>
      </w:r>
    </w:p>
    <w:p>
      <w:pPr>
        <w:spacing w:after="120" w:line="276"/>
      </w:pPr>
      <w:r>
        <w:rPr>
          <w:b/>
          <w:bCs/>
        </w:rPr>
        <w:t xml:space="preserve">Responds to:</w:t>
      </w:r>
      <w:r>
        <w:t xml:space="preserve"> Internal proposal “Agentic GRC with SAS Viya”</w:t>
      </w:r>
    </w:p>
    <w:p>
      <w:pPr>
        <w:spacing w:after="120" w:line="276"/>
      </w:pPr>
      <w:r>
        <w:rPr>
          <w:b/>
          <w:bCs/>
        </w:rPr>
        <w:t xml:space="preserve">Basis:</w:t>
      </w:r>
      <w:r>
        <w:t xml:space="preserve"> Our own SAS Viya MCP Server integration (lab, September 2026), SAS public documentation and product pages as of 1 October 2026</w:t>
      </w:r>
    </w:p>
    <w:p>
      <w:r>
        <w:br w:type="page"/>
      </w:r>
    </w:p>
    <w:p>
      <w:pPr>
        <w:pStyle w:val="Heading1"/>
      </w:pPr>
      <w:r>
        <w:t xml:space="preserve">1. Executive summary</w:t>
      </w:r>
    </w:p>
    <w:p>
      <w:pPr>
        <w:spacing w:after="120" w:line="276"/>
      </w:pPr>
      <w:r>
        <w:t xml:space="preserve">The proposal is right about the direction and right about the architecture. Agents should reason and orchestrate. SAS Governance &amp; Compliance Manager (GCM) should stay the system of record. SAS Viya should do the data, analytics and deterministic rules. People should stay accountable for material conclusions. We endorse it, and we recommend moving now.</w:t>
      </w:r>
    </w:p>
    <w:p>
      <w:pPr>
        <w:spacing w:after="120" w:line="276"/>
      </w:pPr>
      <w:r>
        <w:t xml:space="preserve">It does, however, rest on an integration that does not exist. </w:t>
      </w:r>
      <w:r>
        <w:rPr>
          <w:b/>
          <w:bCs/>
        </w:rPr>
        <w:t xml:space="preserve">The SAS Viya MCP Server, the way SAS offers for AI agents to reach Viya, has no tools for GCM, SAS Risk Cirrus or any SAS risk solution.</w:t>
      </w:r>
      <w:r>
        <w:t xml:space="preserve"> It covers data, reports, jobs, AutoML, models, Intelligent Decisioning and the business glossary. None of the GRC records the three use cases depend on (risks, controls, incidents, KRIs as GRC objects, loss events, policies, obligations, issues and action plans) can be reached through it. The proposal’s “Governed Integration Layer” box hides this gap.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AF1F8" w:sz="4"/>
              <w:left w:val="single" w:color="1570B8" w:sz="24"/>
              <w:bottom w:val="single" w:color="EAF1F8" w:sz="4"/>
              <w:right w:val="single" w:color="EAF1F8" w:sz="4"/>
            </w:tcBorders>
            <w:shd w:fill="EAF1F8" w:color="auto" w:val="clear"/>
            <w:tcMar>
              <w:top w:type="dxa" w:w="120"/>
              <w:left w:type="dxa" w:w="200"/>
              <w:bottom w:type="dxa" w:w="120"/>
              <w:right w:type="dxa" w:w="200"/>
            </w:tcMar>
          </w:tcPr>
          <w:p>
            <w:pPr>
              <w:spacing w:after="80"/>
            </w:pPr>
            <w:r>
              <w:rPr>
                <w:b/>
                <w:bCs/>
                <w:color w:val="1570B8"/>
                <w:sz w:val="20"/>
                <w:szCs w:val="20"/>
              </w:rPr>
              <w:t xml:space="preserve">What this means for us</w:t>
            </w:r>
          </w:p>
          <w:p>
            <w:pPr>
              <w:spacing w:after="60"/>
            </w:pPr>
            <w:r>
              <w:rPr>
                <w:b/>
                <w:bCs/>
                <w:sz w:val="20"/>
                <w:szCs w:val="20"/>
              </w:rPr>
              <w:t xml:space="preserve">The gap is the opportunity.</w:t>
            </w:r>
            <w:r>
              <w:rPr>
                <w:sz w:val="20"/>
                <w:szCs w:val="20"/>
              </w:rPr>
              <w:t xml:space="preserve"> SAS’s April 2026 agentic announcements include no GRC or risk agents. A GRC connector for SAS, a governed agent fleet for GRC work and the governance layer around them are what we would own. Prompts and agent personas are easy to copy; this is not.</w:t>
            </w:r>
          </w:p>
          <w:p>
            <w:pPr>
              <w:spacing w:after="60"/>
            </w:pPr>
            <w:r>
              <w:rPr>
                <w:b/>
                <w:bCs/>
                <w:sz w:val="20"/>
                <w:szCs w:val="20"/>
              </w:rPr>
              <w:t xml:space="preserve">We already have half of it.</w:t>
            </w:r>
            <w:r>
              <w:rPr>
                <w:sz w:val="20"/>
                <w:szCs w:val="20"/>
              </w:rPr>
              <w:t xml:space="preserve"> Fleet Studio, our control plane for agent fleets, already enforces policies, tests agents before production, grades evidence (Evidence found / No evidence / Not verifiable / Policy blocked), runs workflows with human gates and records decisions in Decision Rooms. It has run end to end against the SAS Viya MCP Server on our lab.</w:t>
            </w:r>
          </w:p>
          <w:p>
            <w:pPr>
              <w:spacing w:after="60"/>
            </w:pPr>
            <w:r>
              <w:rPr>
                <w:b/>
                <w:bCs/>
                <w:sz w:val="20"/>
                <w:szCs w:val="20"/>
              </w:rPr>
              <w:t xml:space="preserve">The missing half is a GCM connector.</w:t>
            </w:r>
            <w:r>
              <w:rPr>
                <w:sz w:val="20"/>
                <w:szCs w:val="20"/>
              </w:rPr>
              <w:t xml:space="preserve"> We build it as our own MCP server on the Risk Cirrus REST API, read first, with writes only as drafts that a person approves.</w:t>
            </w:r>
          </w:p>
        </w:tc>
      </w:tr>
    </w:tbl>
    <w:p>
      <w:pPr>
        <w:spacing w:after="60"/>
      </w:pPr>
    </w:p>
    <w:p>
      <w:pPr>
        <w:spacing w:after="120" w:line="276"/>
      </w:pPr>
      <w:r>
        <w:rPr>
          <w:b/>
          <w:bCs/>
        </w:rPr>
        <w:t xml:space="preserve">Plan, in short:</w:t>
      </w:r>
      <w:r>
        <w:t xml:space="preserve"> five overlapping phases over about 22 weeks. The first customer-facing demo comes in week 6, using use case 3 (regulatory change), which does not need the GCM connector. The first production deployment with a design-partner customer comes around week 22. </w:t>
      </w:r>
      <w:r>
        <w:rPr>
          <w:b/>
          <w:bCs/>
        </w:rPr>
        <w:t xml:space="preserve">The critical path is access to a GCM environment.</w:t>
      </w:r>
      <w:r>
        <w:t xml:space="preserve"> Everything that touches live GRC records waits for it, so we should start that request this week.</w:t>
      </w:r>
    </w:p>
    <w:p>
      <w:pPr>
        <w:spacing w:after="120" w:line="276"/>
      </w:pPr>
      <w:r>
        <w:rPr>
          <w:b/>
          <w:bCs/>
        </w:rPr>
        <w:t xml:space="preserve">Decisions needed now</w:t>
      </w:r>
      <w:r>
        <w:t xml:space="preserve"> (section 9): a route to a GCM environment, a design-partner customer, where the language model runs, and a dedicated team of five to six people.</w:t>
      </w:r>
    </w:p>
    <w:p>
      <w:pPr>
        <w:pStyle w:val="Heading1"/>
      </w:pPr>
      <w:r>
        <w:t xml:space="preserve">2. Assessment of the proposal</w:t>
      </w:r>
    </w:p>
    <w:p>
      <w:pPr>
        <w:pStyle w:val="Heading2"/>
      </w:pPr>
      <w:r>
        <w:t xml:space="preserve">2.1 What the proposal gets right</w:t>
      </w:r>
    </w:p>
    <w:p>
      <w:pPr>
        <w:pStyle w:val="ListParagraph"/>
        <w:numPr>
          <w:ilvl w:val="0"/>
          <w:numId w:val="2"/>
        </w:numPr>
        <w:spacing w:after="60" w:line="264"/>
      </w:pPr>
      <w:r>
        <w:rPr>
          <w:b/>
          <w:bCs/>
        </w:rPr>
        <w:t xml:space="preserve">The division of labour.</w:t>
      </w:r>
      <w:r>
        <w:t xml:space="preserve"> Agents interpret, GCM records, Viya computes, people decide. This is the rule our SAS pilot already enforces: the agent never estimates a number SAS could have computed.</w:t>
      </w:r>
    </w:p>
    <w:p>
      <w:pPr>
        <w:pStyle w:val="ListParagraph"/>
        <w:numPr>
          <w:ilvl w:val="0"/>
          <w:numId w:val="2"/>
        </w:numPr>
        <w:spacing w:after="60" w:line="264"/>
      </w:pPr>
      <w:r>
        <w:rPr>
          <w:b/>
          <w:bCs/>
        </w:rPr>
        <w:t xml:space="preserve">The guardrails.</w:t>
      </w:r>
      <w:r>
        <w:t xml:space="preserve"> Root cause is a hypothesis, not a fact. Findings cite their records. Thresholds and risk appetite stay deterministic. Material conclusions need human approval. Each of these maps onto a mechanism Fleet Studio already enforces (section 5.4).</w:t>
      </w:r>
    </w:p>
    <w:p>
      <w:pPr>
        <w:pStyle w:val="ListParagraph"/>
        <w:numPr>
          <w:ilvl w:val="0"/>
          <w:numId w:val="2"/>
        </w:numPr>
        <w:spacing w:after="60" w:line="264"/>
      </w:pPr>
      <w:r>
        <w:rPr>
          <w:b/>
          <w:bCs/>
        </w:rPr>
        <w:t xml:space="preserve">One fleet, three workflows.</w:t>
      </w:r>
      <w:r>
        <w:t xml:space="preserve"> A shared set of agents, of which the orchestrator activates only those a task needs, is cheaper to govern and test than three separate AI applications.</w:t>
      </w:r>
    </w:p>
    <w:p>
      <w:pPr>
        <w:pStyle w:val="ListParagraph"/>
        <w:numPr>
          <w:ilvl w:val="0"/>
          <w:numId w:val="2"/>
        </w:numPr>
        <w:spacing w:after="60" w:line="264"/>
      </w:pPr>
      <w:r>
        <w:rPr>
          <w:b/>
          <w:bCs/>
        </w:rPr>
        <w:t xml:space="preserve">The positioning.</w:t>
      </w:r>
      <w:r>
        <w:t xml:space="preserve"> “Not a chatbot on top of GRC” and “the value starts where the alert ends” are credible, and so is treating quantitative models as optional tools rather than the centre of the architecture.</w:t>
      </w:r>
    </w:p>
    <w:p>
      <w:pPr>
        <w:pStyle w:val="Heading2"/>
      </w:pPr>
      <w:r>
        <w:t xml:space="preserve">2.2 What needs to change</w:t>
      </w:r>
    </w:p>
    <w:p>
      <w:pPr>
        <w:pStyle w:val="ListParagraph"/>
        <w:numPr>
          <w:ilvl w:val="0"/>
          <w:numId w:val="3"/>
        </w:numPr>
        <w:spacing w:after="80" w:line="264"/>
      </w:pPr>
      <w:r>
        <w:rPr>
          <w:b/>
          <w:bCs/>
        </w:rPr>
        <w:t xml:space="preserve">The central dependency is not stated.</w:t>
      </w:r>
      <w:r>
        <w:t xml:space="preserve"> Every arrow from an agent to GCM needs a connector that neither SAS nor anyone else ships today (section 3). The proposal must say that we build it, and plan for it.</w:t>
      </w:r>
    </w:p>
    <w:p>
      <w:pPr>
        <w:pStyle w:val="ListParagraph"/>
        <w:numPr>
          <w:ilvl w:val="0"/>
          <w:numId w:val="3"/>
        </w:numPr>
        <w:spacing w:after="80" w:line="264"/>
      </w:pPr>
      <w:r>
        <w:rPr>
          <w:b/>
          <w:bCs/>
        </w:rPr>
        <w:t xml:space="preserve">Write-back is not addressed.</w:t>
      </w:r>
      <w:r>
        <w:t xml:space="preserve"> “Prepare remediation” and “action plan” mean creating issues and action plans in GCM, which is a write. We propose agents draft, a person approves in a Decision Room, and only then does the connector write, as that person or as a named service identity.</w:t>
      </w:r>
    </w:p>
    <w:p>
      <w:pPr>
        <w:pStyle w:val="ListParagraph"/>
        <w:numPr>
          <w:ilvl w:val="0"/>
          <w:numId w:val="3"/>
        </w:numPr>
        <w:spacing w:after="80" w:line="264"/>
      </w:pPr>
      <w:r>
        <w:rPr>
          <w:b/>
          <w:bCs/>
        </w:rPr>
        <w:t xml:space="preserve">Unattended surveillance is not feasible with today’s SAS authentication.</w:t>
      </w:r>
      <w:r>
        <w:t xml:space="preserve"> On our lab, an agent’s SAS login lasts 24 hours and can only be renewed by a person in a browser (section 3.2). Use case 2 needs a headless identity per agent, which has to be designed.</w:t>
      </w:r>
    </w:p>
    <w:p>
      <w:pPr>
        <w:pStyle w:val="ListParagraph"/>
        <w:numPr>
          <w:ilvl w:val="0"/>
          <w:numId w:val="3"/>
        </w:numPr>
        <w:spacing w:after="80" w:line="264"/>
      </w:pPr>
      <w:r>
        <w:rPr>
          <w:b/>
          <w:bCs/>
        </w:rPr>
        <w:t xml:space="preserve">Too many agents, and the figures disagree.</w:t>
      </w:r>
      <w:r>
        <w:t xml:space="preserve"> Figure 1 shows 7 specialists; the table and figures 2–4 add Root Cause, Remediation, Appetite, Obligation and Evidence, for about 12. Most are “read one GCM object type”, which is a tool, not an agent. Every agent is another identity, another consent and another test suite. We propose five (section 5.3).</w:t>
      </w:r>
    </w:p>
    <w:p>
      <w:pPr>
        <w:pStyle w:val="ListParagraph"/>
        <w:numPr>
          <w:ilvl w:val="0"/>
          <w:numId w:val="3"/>
        </w:numPr>
        <w:spacing w:after="80" w:line="264"/>
      </w:pPr>
      <w:r>
        <w:rPr>
          <w:b/>
          <w:bCs/>
        </w:rPr>
        <w:t xml:space="preserve">Nothing says where the model runs or what data it may see.</w:t>
      </w:r>
      <w:r>
        <w:t xml:space="preserve"> Incidents and loss events are sensitive. For a bank, model hosting and data residency are the first question, not the last.</w:t>
      </w:r>
    </w:p>
    <w:p>
      <w:pPr>
        <w:pStyle w:val="ListParagraph"/>
        <w:numPr>
          <w:ilvl w:val="0"/>
          <w:numId w:val="3"/>
        </w:numPr>
        <w:spacing w:after="80" w:line="264"/>
      </w:pPr>
      <w:r>
        <w:rPr>
          <w:b/>
          <w:bCs/>
        </w:rPr>
        <w:t xml:space="preserve">Nothing says how the agents themselves are governed.</w:t>
      </w:r>
      <w:r>
        <w:t xml:space="preserve"> A GRC buyer will treat the agent fleet as a model that needs validation. Our answer (tests that gate production, graded evidence, drift detection, immutable released versions) should be in the proposal.</w:t>
      </w:r>
    </w:p>
    <w:p>
      <w:pPr>
        <w:pStyle w:val="ListParagraph"/>
        <w:numPr>
          <w:ilvl w:val="0"/>
          <w:numId w:val="3"/>
        </w:numPr>
        <w:spacing w:after="80" w:line="264"/>
      </w:pPr>
      <w:r>
        <w:rPr>
          <w:b/>
          <w:bCs/>
        </w:rPr>
        <w:t xml:space="preserve">No trigger.</w:t>
      </w:r>
      <w:r>
        <w:t xml:space="preserve"> Use case 2 starts “where the alert ends”, but nothing says how a Viya alert reaches the fleet.</w:t>
      </w:r>
    </w:p>
    <w:p>
      <w:pPr>
        <w:pStyle w:val="ListParagraph"/>
        <w:numPr>
          <w:ilvl w:val="0"/>
          <w:numId w:val="3"/>
        </w:numPr>
        <w:spacing w:after="80" w:line="264"/>
      </w:pPr>
      <w:r>
        <w:rPr>
          <w:b/>
          <w:bCs/>
        </w:rPr>
        <w:t xml:space="preserve">Minor:</w:t>
      </w:r>
      <w:r>
        <w:t xml:space="preserve"> one reference is the legacy SAS Enterprise GRC (SAS 9) support page and invites confusion with GCM; there are no success measures, pilot scope or customer prerequisites.</w:t>
      </w:r>
    </w:p>
    <w:p>
      <w:r>
        <w:br w:type="page"/>
      </w:r>
    </w:p>
    <w:p>
      <w:pPr>
        <w:pStyle w:val="Heading1"/>
      </w:pPr>
      <w:r>
        <w:t xml:space="preserve">3. Current state of the SAS technology</w:t>
      </w:r>
    </w:p>
    <w:p>
      <w:pPr>
        <w:pStyle w:val="Heading2"/>
      </w:pPr>
      <w:r>
        <w:t xml:space="preserve">3.1 The SAS Viya MCP Server: what it offers</w:t>
      </w:r>
    </w:p>
    <w:p>
      <w:pPr>
        <w:spacing w:after="120" w:line="276"/>
      </w:pPr>
      <w:r>
        <w:t xml:space="preserve">SAS publishes the MCP server as open source (github.com/sassoftware/sas-mcp-server) and positions it as the governed way for external agents to call Viya. It offers </w:t>
      </w:r>
      <w:r>
        <w:rPr>
          <w:b/>
          <w:bCs/>
        </w:rPr>
        <w:t xml:space="preserve">92 tools in 10 selectable tiers</w:t>
      </w:r>
      <w:r>
        <w:t xml:space="preserve"> (v1.18.0, released 29 September 2026). In read-only mode it exposes </w:t>
      </w:r>
      <w:r>
        <w:rPr>
          <w:b/>
          <w:bCs/>
        </w:rPr>
        <w:t xml:space="preserve">51</w:t>
      </w:r>
      <w:r>
        <w:t xml:space="preserve"> of them, which is how we run it. Appendix A lists every tool with its description, access class and relevance to GRC.</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7"/>
        <w:gridCol w:w="4626"/>
        <w:gridCol w:w="3855"/>
      </w:tblGrid>
      <w:tr>
        <w:trPr>
          <w:tblHeader/>
        </w:trPr>
        <w:tc>
          <w:tcPr>
            <w:tcW w:type="dxa" w:w="1157"/>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Tier</w:t>
            </w:r>
          </w:p>
        </w:tc>
        <w:tc>
          <w:tcPr>
            <w:tcW w:type="dxa" w:w="4626"/>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Area</w:t>
            </w:r>
          </w:p>
        </w:tc>
        <w:tc>
          <w:tcPr>
            <w:tcW w:type="dxa" w:w="385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Useful for GRC?</w:t>
            </w:r>
          </w:p>
        </w:tc>
      </w:tr>
      <w:tr>
        <w:trPr>
          <w:cantSplit/>
        </w:trPr>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0 / 8</w:t>
            </w:r>
          </w:p>
        </w:tc>
        <w:tc>
          <w:tcPr>
            <w:tcW w:type="dxa" w:w="4626"/>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Compute contexts, SAS code execution</w:t>
            </w:r>
          </w:p>
        </w:tc>
        <w:tc>
          <w:tcPr>
            <w:tcW w:type="dxa" w:w="385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No. Code execution is a write; we block it by policy.</w:t>
            </w:r>
          </w:p>
        </w:tc>
      </w:tr>
      <w:tr>
        <w:trPr>
          <w:cantSplit/>
        </w:trPr>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1</w:t>
            </w:r>
          </w:p>
        </w:tc>
        <w:tc>
          <w:tcPr>
            <w:tcW w:type="dxa" w:w="4626"/>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Data discovery: catalog search, CAS and compute tables, table profiles, SQL queries</w:t>
            </w:r>
          </w:p>
        </w:tc>
        <w:tc>
          <w:tcPr>
            <w:tcW w:type="dxa" w:w="385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sz w:val="18"/>
                <w:szCs w:val="18"/>
              </w:rPr>
              <w:t xml:space="preserve">Yes.</w:t>
            </w:r>
            <w:r>
              <w:rPr>
                <w:sz w:val="18"/>
                <w:szCs w:val="18"/>
              </w:rPr>
              <w:t xml:space="preserve"> KRI source data, loss and incident tables held in Viya. SQL (query_data) is classed as a write and is not in read-only mode.</w:t>
            </w:r>
          </w:p>
        </w:tc>
      </w:tr>
      <w:tr>
        <w:trPr>
          <w:cantSplit/>
        </w:trPr>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2</w:t>
            </w:r>
          </w:p>
        </w:tc>
        <w:tc>
          <w:tcPr>
            <w:tcW w:type="dxa" w:w="4626"/>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Data upload, files</w:t>
            </w:r>
          </w:p>
        </w:tc>
        <w:tc>
          <w:tcPr>
            <w:tcW w:type="dxa" w:w="385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Download only.</w:t>
            </w:r>
          </w:p>
        </w:tc>
      </w:tr>
      <w:tr>
        <w:trPr>
          <w:cantSplit/>
        </w:trPr>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3</w:t>
            </w:r>
          </w:p>
        </w:tc>
        <w:tc>
          <w:tcPr>
            <w:tcW w:type="dxa" w:w="4626"/>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Visual Analytics reports</w:t>
            </w:r>
          </w:p>
        </w:tc>
        <w:tc>
          <w:tcPr>
            <w:tcW w:type="dxa" w:w="385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sz w:val="18"/>
                <w:szCs w:val="18"/>
              </w:rPr>
              <w:t xml:space="preserve">Yes.</w:t>
            </w:r>
            <w:r>
              <w:rPr>
                <w:sz w:val="18"/>
                <w:szCs w:val="18"/>
              </w:rPr>
              <w:t xml:space="preserve"> Read existing risk and KRI dashboards.</w:t>
            </w:r>
          </w:p>
        </w:tc>
      </w:tr>
      <w:tr>
        <w:trPr>
          <w:cantSplit/>
        </w:trPr>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4</w:t>
            </w:r>
          </w:p>
        </w:tc>
        <w:tc>
          <w:tcPr>
            <w:tcW w:type="dxa" w:w="4626"/>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Batch jobs</w:t>
            </w:r>
          </w:p>
        </w:tc>
        <w:tc>
          <w:tcPr>
            <w:tcW w:type="dxa" w:w="385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Status and logs only.</w:t>
            </w:r>
          </w:p>
        </w:tc>
      </w:tr>
      <w:tr>
        <w:trPr>
          <w:cantSplit/>
        </w:trPr>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5</w:t>
            </w:r>
          </w:p>
        </w:tc>
        <w:tc>
          <w:tcPr>
            <w:tcW w:type="dxa" w:w="4626"/>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Automated machine learning</w:t>
            </w:r>
          </w:p>
        </w:tc>
        <w:tc>
          <w:tcPr>
            <w:tcW w:type="dxa" w:w="385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No (writes).</w:t>
            </w:r>
          </w:p>
        </w:tc>
      </w:tr>
      <w:tr>
        <w:trPr>
          <w:cantSplit/>
        </w:trPr>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6</w:t>
            </w:r>
          </w:p>
        </w:tc>
        <w:tc>
          <w:tcPr>
            <w:tcW w:type="dxa" w:w="4626"/>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Model registry, publishing, MAS scoring</w:t>
            </w:r>
          </w:p>
        </w:tc>
        <w:tc>
          <w:tcPr>
            <w:tcW w:type="dxa" w:w="385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Listing only; scoring is a write.</w:t>
            </w:r>
          </w:p>
        </w:tc>
      </w:tr>
      <w:tr>
        <w:trPr>
          <w:cantSplit/>
        </w:trPr>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7</w:t>
            </w:r>
          </w:p>
        </w:tc>
        <w:tc>
          <w:tcPr>
            <w:tcW w:type="dxa" w:w="4626"/>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SAS Intelligent Decisioning: rulesets, rules, decision flows</w:t>
            </w:r>
          </w:p>
        </w:tc>
        <w:tc>
          <w:tcPr>
            <w:tcW w:type="dxa" w:w="385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sz w:val="18"/>
                <w:szCs w:val="18"/>
              </w:rPr>
              <w:t xml:space="preserve">Yes.</w:t>
            </w:r>
            <w:r>
              <w:rPr>
                <w:sz w:val="18"/>
                <w:szCs w:val="18"/>
              </w:rPr>
              <w:t xml:space="preserve"> Thresholds and appetite rules as deterministic, versioned logic.</w:t>
            </w:r>
          </w:p>
        </w:tc>
      </w:tr>
      <w:tr>
        <w:trPr>
          <w:cantSplit/>
        </w:trPr>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9</w:t>
            </w:r>
          </w:p>
        </w:tc>
        <w:tc>
          <w:tcPr>
            <w:tcW w:type="dxa" w:w="4626"/>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Business glossary (SAS Data Governance)</w:t>
            </w:r>
          </w:p>
        </w:tc>
        <w:tc>
          <w:tcPr>
            <w:tcW w:type="dxa" w:w="385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Partly: data definitions, not GRC objects.</w:t>
            </w:r>
          </w:p>
        </w:tc>
      </w:tr>
    </w:tbl>
    <w:p>
      <w:pPr>
        <w:spacing w:after="60"/>
      </w:pPr>
    </w:p>
    <w:p>
      <w:pPr>
        <w:pStyle w:val="Heading2"/>
      </w:pPr>
      <w:r>
        <w:t xml:space="preserve">3.2 Limitations</w:t>
      </w:r>
    </w:p>
    <w:p>
      <w:pPr>
        <w:spacing w:after="120" w:line="276"/>
      </w:pPr>
      <w:r>
        <w:t xml:space="preserve">L1–L3 come from SAS’s published documentation. L4–L8 we observed ourselves, running sas-mcp-server 1.15 and 1.16.1 against Viya on our lab in September 2026, connected to a governed agent fleet.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4819"/>
        <w:gridCol w:w="4241"/>
      </w:tblGrid>
      <w:tr>
        <w:trPr>
          <w:tblHeader/>
        </w:trPr>
        <w:tc>
          <w:tcPr>
            <w:tcW w:type="dxa" w:w="578"/>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w:t>
            </w:r>
          </w:p>
        </w:tc>
        <w:tc>
          <w:tcPr>
            <w:tcW w:type="dxa" w:w="481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Limitation</w:t>
            </w:r>
          </w:p>
        </w:tc>
        <w:tc>
          <w:tcPr>
            <w:tcW w:type="dxa" w:w="4241"/>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Consequence for an agentic GRC product</w:t>
            </w:r>
          </w:p>
        </w:tc>
      </w:tr>
      <w:tr>
        <w:trPr>
          <w:cantSplit/>
        </w:trPr>
        <w:tc>
          <w:tcPr>
            <w:tcW w:type="dxa" w:w="57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L1</w:t>
            </w:r>
          </w:p>
        </w:tc>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No GRC or risk tools.</w:t>
            </w:r>
            <w:r>
              <w:rPr>
                <w:sz w:val="18"/>
                <w:szCs w:val="18"/>
              </w:rPr>
              <w:t xml:space="preserve"> Nothing for GCM, Risk Cirrus, Model Risk Management or any risk solution. Risks, controls, incidents, KRIs as GRC objects, policies, obligations, issues and action plans are out of reach.</w:t>
            </w:r>
          </w:p>
        </w:tc>
        <w:tc>
          <w:tcPr>
            <w:tcW w:type="dxa" w:w="4241"/>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The core of all three use cases cannot be built on the SAS MCP server. We must build a GCM connector.</w:t>
            </w:r>
          </w:p>
        </w:tc>
      </w:tr>
      <w:tr>
        <w:trPr>
          <w:cantSplit/>
        </w:trPr>
        <w:tc>
          <w:tcPr>
            <w:tcW w:type="dxa" w:w="578"/>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L2</w:t>
            </w:r>
          </w:p>
        </w:tc>
        <w:tc>
          <w:tcPr>
            <w:tcW w:type="dxa" w:w="481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sz w:val="18"/>
                <w:szCs w:val="18"/>
              </w:rPr>
              <w:t xml:space="preserve">A fixed tool catalogue.</w:t>
            </w:r>
            <w:r>
              <w:rPr>
                <w:sz w:val="18"/>
                <w:szCs w:val="18"/>
              </w:rPr>
              <w:t xml:space="preserve"> The published server has no extension point for customer or partner tools.</w:t>
            </w:r>
          </w:p>
        </w:tc>
        <w:tc>
          <w:tcPr>
            <w:tcW w:type="dxa" w:w="4241"/>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Our GRC tools live in a separate MCP server of our own, not inside SAS’s. That is also what keeps them ours.</w:t>
            </w:r>
          </w:p>
        </w:tc>
      </w:tr>
      <w:tr>
        <w:trPr>
          <w:cantSplit/>
        </w:trPr>
        <w:tc>
          <w:tcPr>
            <w:tcW w:type="dxa" w:w="57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L3</w:t>
            </w:r>
          </w:p>
        </w:tc>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Read-only is coarse.</w:t>
            </w:r>
            <w:r>
              <w:rPr>
                <w:sz w:val="18"/>
                <w:szCs w:val="18"/>
              </w:rPr>
              <w:t xml:space="preserve"> One switch: 51 tools or all 92. Enabling one write (for example Decisioning) enables them all.</w:t>
            </w:r>
          </w:p>
        </w:tc>
        <w:tc>
          <w:tcPr>
            <w:tcW w:type="dxa" w:w="4241"/>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Fine-grained permission (which agent may call which tool) must come from our policy layer, which already enforces this.</w:t>
            </w:r>
          </w:p>
        </w:tc>
      </w:tr>
      <w:tr>
        <w:trPr>
          <w:cantSplit/>
        </w:trPr>
        <w:tc>
          <w:tcPr>
            <w:tcW w:type="dxa" w:w="578"/>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L4</w:t>
            </w:r>
          </w:p>
        </w:tc>
        <w:tc>
          <w:tcPr>
            <w:tcW w:type="dxa" w:w="481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sz w:val="18"/>
                <w:szCs w:val="18"/>
              </w:rPr>
              <w:t xml:space="preserve">Logins expire and need a person.</w:t>
            </w:r>
            <w:r>
              <w:rPr>
                <w:sz w:val="18"/>
                <w:szCs w:val="18"/>
              </w:rPr>
              <w:t xml:space="preserve"> OAuth with browser consent only (no device flow). On our Viya a login lasts 24 hours, because the SAS Logon refresh token does not slide. After that only a person in a browser restores access.</w:t>
            </w:r>
          </w:p>
        </w:tc>
        <w:tc>
          <w:tcPr>
            <w:tcW w:type="dxa" w:w="4241"/>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Unattended work (use case 2, overnight investigations) stops within a day. Headless access means SAS’s raw-bearer mode and a service identity, which SAS warns widens what counts as a credential.</w:t>
            </w:r>
          </w:p>
        </w:tc>
      </w:tr>
      <w:tr>
        <w:trPr>
          <w:cantSplit/>
        </w:trPr>
        <w:tc>
          <w:tcPr>
            <w:tcW w:type="dxa" w:w="57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L5</w:t>
            </w:r>
          </w:p>
        </w:tc>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Registrations do not survive SAS maintenance.</w:t>
            </w:r>
            <w:r>
              <w:rPr>
                <w:sz w:val="18"/>
                <w:szCs w:val="18"/>
              </w:rPr>
              <w:t xml:space="preserve"> After the MCP server pod restarted, every client registration and token was gone.</w:t>
            </w:r>
          </w:p>
        </w:tc>
        <w:tc>
          <w:tcPr>
            <w:tcW w:type="dxa" w:w="4241"/>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Each SAS maintenance window means re-consent for every agent, unless the headless design (L4) is adopted.</w:t>
            </w:r>
          </w:p>
        </w:tc>
      </w:tr>
      <w:tr>
        <w:trPr>
          <w:cantSplit/>
        </w:trPr>
        <w:tc>
          <w:tcPr>
            <w:tcW w:type="dxa" w:w="578"/>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L6</w:t>
            </w:r>
          </w:p>
        </w:tc>
        <w:tc>
          <w:tcPr>
            <w:tcW w:type="dxa" w:w="481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sz w:val="18"/>
                <w:szCs w:val="18"/>
              </w:rPr>
              <w:t xml:space="preserve">One identity or many.</w:t>
            </w:r>
            <w:r>
              <w:rPr>
                <w:sz w:val="18"/>
                <w:szCs w:val="18"/>
              </w:rPr>
              <w:t xml:space="preserve"> Per-agent logins give per-agent attribution in SAS’s audit trail but N consents; a shared service account gives one consent and loses attribution.</w:t>
            </w:r>
          </w:p>
        </w:tc>
        <w:tc>
          <w:tcPr>
            <w:tcW w:type="dxa" w:w="4241"/>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For GRC, “which agent read which record” is evidence. We recommend one SAS service identity per agent, issued and renewed by our host agent.</w:t>
            </w:r>
          </w:p>
        </w:tc>
      </w:tr>
      <w:tr>
        <w:trPr>
          <w:cantSplit/>
        </w:trPr>
        <w:tc>
          <w:tcPr>
            <w:tcW w:type="dxa" w:w="57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L7</w:t>
            </w:r>
          </w:p>
        </w:tc>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Deployment friction.</w:t>
            </w:r>
            <w:r>
              <w:rPr>
                <w:sz w:val="18"/>
                <w:szCs w:val="18"/>
              </w:rPr>
              <w:t xml:space="preserve"> The Viya ingress presents only its leaf certificate, and the agent runtime ignores the system trust store, so each host needs a CA bundle maintained by hand.</w:t>
            </w:r>
          </w:p>
        </w:tc>
        <w:tc>
          <w:tcPr>
            <w:tcW w:type="dxa" w:w="4241"/>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Must be part of our installer, not a manual step at each customer.</w:t>
            </w:r>
          </w:p>
        </w:tc>
      </w:tr>
      <w:tr>
        <w:trPr>
          <w:cantSplit/>
        </w:trPr>
        <w:tc>
          <w:tcPr>
            <w:tcW w:type="dxa" w:w="578"/>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L8</w:t>
            </w:r>
          </w:p>
        </w:tc>
        <w:tc>
          <w:tcPr>
            <w:tcW w:type="dxa" w:w="481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sz w:val="18"/>
                <w:szCs w:val="18"/>
              </w:rPr>
              <w:t xml:space="preserve">SAS audits the call, not the reasoning.</w:t>
            </w:r>
            <w:r>
              <w:rPr>
                <w:sz w:val="18"/>
                <w:szCs w:val="18"/>
              </w:rPr>
              <w:t xml:space="preserve"> SAS logs which tool was called. It cannot tell which conclusion used which result.</w:t>
            </w:r>
          </w:p>
        </w:tc>
        <w:tc>
          <w:tcPr>
            <w:tcW w:type="dxa" w:w="4241"/>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The evidence chain from a record to a finding to a decision has to come from our layer. Fleet Studio already provides it.</w:t>
            </w:r>
          </w:p>
        </w:tc>
      </w:tr>
    </w:tbl>
    <w:p>
      <w:pPr>
        <w:spacing w:after="60"/>
      </w:pPr>
    </w:p>
    <w:p>
      <w:pPr>
        <w:pStyle w:val="Heading2"/>
      </w:pPr>
      <w:r>
        <w:t xml:space="preserve">3.3 SAS Governance &amp; Compliance Manager and Risk Cirrus</w:t>
      </w:r>
    </w:p>
    <w:p>
      <w:pPr>
        <w:pStyle w:val="ListParagraph"/>
        <w:numPr>
          <w:ilvl w:val="0"/>
          <w:numId w:val="2"/>
        </w:numPr>
        <w:spacing w:after="60" w:line="264"/>
      </w:pPr>
      <w:r>
        <w:t xml:space="preserve">GCM (and GCM Advanced) is now deployed on the SAS Viya platform as a solution on </w:t>
      </w:r>
      <w:r>
        <w:rPr>
          <w:b/>
          <w:bCs/>
        </w:rPr>
        <w:t xml:space="preserve">SAS Risk Cirrus Core</w:t>
      </w:r>
      <w:r>
        <w:t xml:space="preserve">, the shared platform of SAS’s risk solutions.</w:t>
      </w:r>
    </w:p>
    <w:p>
      <w:pPr>
        <w:pStyle w:val="ListParagraph"/>
        <w:numPr>
          <w:ilvl w:val="0"/>
          <w:numId w:val="2"/>
        </w:numPr>
        <w:spacing w:after="60" w:line="264"/>
      </w:pPr>
      <w:r>
        <w:t xml:space="preserve">Risk Cirrus solutions expose a REST API at </w:t>
      </w:r>
      <w:r>
        <w:rPr>
          <w:b/>
          <w:bCs/>
        </w:rPr>
        <w:t xml:space="preserve">/riskCirrusObjects/</w:t>
      </w:r>
      <w:r>
        <w:t xml:space="preserve">. SAS community material documents object and object-registration exports for Model Risk Management, and notes that the object types available depend on the solutions deployed. This is the most likely foundation for our connector.</w:t>
      </w:r>
    </w:p>
    <w:p>
      <w:pPr>
        <w:pStyle w:val="ListParagraph"/>
        <w:numPr>
          <w:ilvl w:val="0"/>
          <w:numId w:val="2"/>
        </w:numPr>
        <w:spacing w:after="60" w:line="264"/>
      </w:pPr>
      <w:r>
        <w:rPr>
          <w:b/>
          <w:bCs/>
        </w:rPr>
        <w:t xml:space="preserve">GCM’s own documentation needs a SAS customer access key.</w:t>
      </w:r>
      <w:r>
        <w:t xml:space="preserve"> We have not seen GCM’s object type names, relationship endpoints, write support or permission scopes. Those are unknowns until we have access (section 5.2).</w:t>
      </w:r>
    </w:p>
    <w:p>
      <w:pPr>
        <w:pStyle w:val="ListParagraph"/>
        <w:numPr>
          <w:ilvl w:val="0"/>
          <w:numId w:val="2"/>
        </w:numPr>
        <w:spacing w:after="60" w:line="264"/>
      </w:pPr>
      <w:r>
        <w:rPr>
          <w:b/>
          <w:bCs/>
        </w:rPr>
        <w:t xml:space="preserve">Our lab has neither GCM nor Risk Cirrus.</w:t>
      </w:r>
      <w:r>
        <w:t xml:space="preserve"> Our Viya runs Intelligent Decisioning, the workflow services and data-mining risk models, which is enough for the Viya side of the use cases, not the GRC side.</w:t>
      </w:r>
    </w:p>
    <w:p>
      <w:pPr>
        <w:pStyle w:val="ListParagraph"/>
        <w:numPr>
          <w:ilvl w:val="0"/>
          <w:numId w:val="2"/>
        </w:numPr>
        <w:spacing w:after="60" w:line="264"/>
      </w:pPr>
      <w:r>
        <w:t xml:space="preserve">GCM is highly configurable (custom objects, fields, workflows, page builder). Two customers’ GCM will not look the same, so the connector must discover the object model rather than hard-code it.</w:t>
      </w:r>
    </w:p>
    <w:p>
      <w:pPr>
        <w:pStyle w:val="Heading2"/>
      </w:pPr>
      <w:r>
        <w:t xml:space="preserve">3.4 SAS’s own agentic direction</w:t>
      </w:r>
    </w:p>
    <w:p>
      <w:pPr>
        <w:spacing w:after="120" w:line="276"/>
      </w:pPr>
      <w:r>
        <w:t xml:space="preserve">At SAS Innovate (28 April 2026) SAS announced Viya Copilot, the Viya MCP Server and the SAS Agentic AI Accelerator. The industry copilots named were Asset/Liability Management and Clinical Data Discovery, with more industries planned during 2026. </w:t>
      </w:r>
      <w:r>
        <w:rPr>
          <w:b/>
          <w:bCs/>
        </w:rPr>
        <w:t xml:space="preserve">None is for GRC or risk governance.</w:t>
      </w:r>
      <w:r>
        <w:t xml:space="preserve"> SAS’s own banking example uses data, AutoML, model management and Decisioning, not GCM.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4E0" w:sz="4"/>
              <w:left w:val="single" w:color="B7791F" w:sz="24"/>
              <w:bottom w:val="single" w:color="FFF4E0" w:sz="4"/>
              <w:right w:val="single" w:color="FFF4E0" w:sz="4"/>
            </w:tcBorders>
            <w:shd w:fill="FFF4E0" w:color="auto" w:val="clear"/>
            <w:tcMar>
              <w:top w:type="dxa" w:w="120"/>
              <w:left w:type="dxa" w:w="200"/>
              <w:bottom w:type="dxa" w:w="120"/>
              <w:right w:type="dxa" w:w="200"/>
            </w:tcMar>
          </w:tcPr>
          <w:p>
            <w:pPr>
              <w:spacing w:after="80"/>
            </w:pPr>
            <w:r>
              <w:rPr>
                <w:b/>
                <w:bCs/>
                <w:color w:val="B7791F"/>
                <w:sz w:val="20"/>
                <w:szCs w:val="20"/>
              </w:rPr>
              <w:t xml:space="preserve">Reading of the market</w:t>
            </w:r>
          </w:p>
          <w:p>
            <w:pPr>
              <w:spacing w:after="60"/>
            </w:pPr>
            <w:r>
              <w:rPr>
                <w:sz w:val="20"/>
                <w:szCs w:val="20"/>
              </w:rPr>
              <w:t xml:space="preserve">The window is real but not permanent: SAS says more industry copilots are coming. Our defensible assets are the ones SAS is unlikely to ship soon: a connector that copes with configurable GCM, a governance layer that proves what each agent did, and a tested GRC fleet pack. Speed matters most for the first two.</w:t>
            </w:r>
          </w:p>
        </w:tc>
      </w:tr>
    </w:tbl>
    <w:p>
      <w:r>
        <w:br w:type="page"/>
      </w:r>
    </w:p>
    <w:p>
      <w:pPr>
        <w:pStyle w:val="Heading1"/>
      </w:pPr>
      <w:r>
        <w:t xml:space="preserve">4. Where we start from</w:t>
      </w:r>
    </w:p>
    <w:p>
      <w:pPr>
        <w:spacing w:after="120" w:line="276"/>
      </w:pPr>
      <w:r>
        <w:t xml:space="preserve">We are not starting from zero. Fleet Studio and its SAS integration already cover most of the proposal’s governance layer.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5012"/>
        <w:gridCol w:w="1735"/>
      </w:tblGrid>
      <w:tr>
        <w:trPr>
          <w:tblHeader/>
        </w:trPr>
        <w:tc>
          <w:tcPr>
            <w:tcW w:type="dxa" w:w="2891"/>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Capability the proposal needs</w:t>
            </w:r>
          </w:p>
        </w:tc>
        <w:tc>
          <w:tcPr>
            <w:tcW w:type="dxa" w:w="5012"/>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What we already have</w:t>
            </w:r>
          </w:p>
        </w:tc>
        <w:tc>
          <w:tcPr>
            <w:tcW w:type="dxa" w:w="173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Status</w:t>
            </w:r>
          </w:p>
        </w:tc>
      </w:tr>
      <w:tr>
        <w:trPr>
          <w:cantSplit/>
        </w:trPr>
        <w:tc>
          <w:tcPr>
            <w:tcW w:type="dxa" w:w="2891"/>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Agents calling SAS Viya</w:t>
            </w:r>
          </w:p>
        </w:tc>
        <w:tc>
          <w:tcPr>
            <w:tcW w:type="dxa" w:w="501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Hermes agent fleet calling the SAS Viya MCP Server (51 read-only tools); SAS analyst and reviewer agents in a tested blueprint</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Working on lab</w:t>
            </w:r>
          </w:p>
        </w:tc>
      </w:tr>
      <w:tr>
        <w:trPr>
          <w:cantSplit/>
        </w:trPr>
        <w:tc>
          <w:tcPr>
            <w:tcW w:type="dxa" w:w="2891"/>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“RBAC / Audit / Tool authorization”</w:t>
            </w:r>
          </w:p>
        </w:tc>
        <w:tc>
          <w:tcPr>
            <w:tcW w:type="dxa" w:w="501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Blueprints with per-agent tool allow- and deny-lists, enforced in the agent runtime; five portal roles; insert-only audit log with export</w:t>
            </w:r>
          </w:p>
        </w:tc>
        <w:tc>
          <w:tcPr>
            <w:tcW w:type="dxa" w:w="173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sz w:val="18"/>
                <w:szCs w:val="18"/>
              </w:rPr>
              <w:t xml:space="preserve">Built</w:t>
            </w:r>
          </w:p>
        </w:tc>
      </w:tr>
      <w:tr>
        <w:trPr>
          <w:cantSplit/>
        </w:trPr>
        <w:tc>
          <w:tcPr>
            <w:tcW w:type="dxa" w:w="2891"/>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Evidence-backed findings</w:t>
            </w:r>
          </w:p>
        </w:tc>
        <w:tc>
          <w:tcPr>
            <w:tcW w:type="dxa" w:w="501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Assurance grades every claim against the agent’s own session transcript; findings name the tool and are checked against the run</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Built</w:t>
            </w:r>
          </w:p>
        </w:tc>
      </w:tr>
      <w:tr>
        <w:trPr>
          <w:cantSplit/>
        </w:trPr>
        <w:tc>
          <w:tcPr>
            <w:tcW w:type="dxa" w:w="2891"/>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Hypothesis vs fact</w:t>
            </w:r>
          </w:p>
        </w:tc>
        <w:tc>
          <w:tcPr>
            <w:tcW w:type="dxa" w:w="501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Every finding carries a basis (source, analytical, interpretation, assumption); only people record a judgment</w:t>
            </w:r>
          </w:p>
        </w:tc>
        <w:tc>
          <w:tcPr>
            <w:tcW w:type="dxa" w:w="173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sz w:val="18"/>
                <w:szCs w:val="18"/>
              </w:rPr>
              <w:t xml:space="preserve">Built</w:t>
            </w:r>
          </w:p>
        </w:tc>
      </w:tr>
      <w:tr>
        <w:trPr>
          <w:cantSplit/>
        </w:trPr>
        <w:tc>
          <w:tcPr>
            <w:tcW w:type="dxa" w:w="2891"/>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Human approval</w:t>
            </w:r>
          </w:p>
        </w:tc>
        <w:tc>
          <w:tcPr>
            <w:tcW w:type="dxa" w:w="501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Workflow gates by role, with escalation; Decision Rooms with append-only decisions, rationale, second approver</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Built</w:t>
            </w:r>
          </w:p>
        </w:tc>
      </w:tr>
      <w:tr>
        <w:trPr>
          <w:cantSplit/>
        </w:trPr>
        <w:tc>
          <w:tcPr>
            <w:tcW w:type="dxa" w:w="2891"/>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Governance of the agents themselves</w:t>
            </w:r>
          </w:p>
        </w:tc>
        <w:tc>
          <w:tcPr>
            <w:tcW w:type="dxa" w:w="501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Test Lab (tests gate production), drift detection, immutable released versions, access inspector</w:t>
            </w:r>
          </w:p>
        </w:tc>
        <w:tc>
          <w:tcPr>
            <w:tcW w:type="dxa" w:w="173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sz w:val="18"/>
                <w:szCs w:val="18"/>
              </w:rPr>
              <w:t xml:space="preserve">Built</w:t>
            </w:r>
          </w:p>
        </w:tc>
      </w:tr>
      <w:tr>
        <w:trPr>
          <w:cantSplit/>
        </w:trPr>
        <w:tc>
          <w:tcPr>
            <w:tcW w:type="dxa" w:w="2891"/>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Multi-agent workflows</w:t>
            </w:r>
          </w:p>
        </w:tc>
        <w:tc>
          <w:tcPr>
            <w:tcW w:type="dxa" w:w="501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Workflow runs with parallel steps, send-back and Kanban execution</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Built</w:t>
            </w:r>
          </w:p>
        </w:tc>
      </w:tr>
      <w:tr>
        <w:trPr>
          <w:cantSplit/>
        </w:trPr>
        <w:tc>
          <w:tcPr>
            <w:tcW w:type="dxa" w:w="2891"/>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Reaching GCM records</w:t>
            </w:r>
          </w:p>
        </w:tc>
        <w:tc>
          <w:tcPr>
            <w:tcW w:type="dxa" w:w="501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w:t>
            </w:r>
          </w:p>
        </w:tc>
        <w:tc>
          <w:tcPr>
            <w:tcW w:type="dxa" w:w="173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sz w:val="18"/>
                <w:szCs w:val="18"/>
              </w:rPr>
              <w:t xml:space="preserve">Missing: to build</w:t>
            </w:r>
          </w:p>
        </w:tc>
      </w:tr>
      <w:tr>
        <w:trPr>
          <w:cantSplit/>
        </w:trPr>
        <w:tc>
          <w:tcPr>
            <w:tcW w:type="dxa" w:w="2891"/>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Headless SAS identity per agent</w:t>
            </w:r>
          </w:p>
        </w:tc>
        <w:tc>
          <w:tcPr>
            <w:tcW w:type="dxa" w:w="501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Designed (host agent issues and renews it; credentials never leave the host)</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To build</w:t>
            </w:r>
          </w:p>
        </w:tc>
      </w:tr>
      <w:tr>
        <w:trPr>
          <w:cantSplit/>
        </w:trPr>
        <w:tc>
          <w:tcPr>
            <w:tcW w:type="dxa" w:w="2891"/>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Event trigger from Viya</w:t>
            </w:r>
          </w:p>
        </w:tc>
        <w:tc>
          <w:tcPr>
            <w:tcW w:type="dxa" w:w="501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Workflows start from the portal or API token</w:t>
            </w:r>
          </w:p>
        </w:tc>
        <w:tc>
          <w:tcPr>
            <w:tcW w:type="dxa" w:w="173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sz w:val="18"/>
                <w:szCs w:val="18"/>
              </w:rPr>
              <w:t xml:space="preserve">To build</w:t>
            </w:r>
          </w:p>
        </w:tc>
      </w:tr>
      <w:tr>
        <w:trPr>
          <w:cantSplit/>
        </w:trPr>
        <w:tc>
          <w:tcPr>
            <w:tcW w:type="dxa" w:w="2891"/>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Customer packaging</w:t>
            </w:r>
          </w:p>
        </w:tc>
        <w:tc>
          <w:tcPr>
            <w:tcW w:type="dxa" w:w="501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Single-host installer; Docker Compose and OIDC sign-in planned</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To build</w:t>
            </w:r>
          </w:p>
        </w:tc>
      </w:tr>
    </w:tbl>
    <w:p>
      <w:r>
        <w:br w:type="page"/>
      </w:r>
    </w:p>
    <w:p>
      <w:pPr>
        <w:pStyle w:val="Heading1"/>
      </w:pPr>
      <w:r>
        <w:t xml:space="preserve">5. Proposed solution</w:t>
      </w:r>
    </w:p>
    <w:p>
      <w:pPr>
        <w:pStyle w:val="Heading2"/>
      </w:pPr>
      <w:r>
        <w:t xml:space="preserve">5.1 Architecture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4819"/>
        <w:gridCol w:w="1542"/>
        <w:gridCol w:w="1349"/>
      </w:tblGrid>
      <w:tr>
        <w:trPr>
          <w:tblHeader/>
        </w:trPr>
        <w:tc>
          <w:tcPr>
            <w:tcW w:type="dxa" w:w="1928"/>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Layer</w:t>
            </w:r>
          </w:p>
        </w:tc>
        <w:tc>
          <w:tcPr>
            <w:tcW w:type="dxa" w:w="481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Component</w:t>
            </w:r>
          </w:p>
        </w:tc>
        <w:tc>
          <w:tcPr>
            <w:tcW w:type="dxa" w:w="1542"/>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Owner</w:t>
            </w:r>
          </w:p>
        </w:tc>
        <w:tc>
          <w:tcPr>
            <w:tcW w:type="dxa" w:w="134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Status</w:t>
            </w:r>
          </w:p>
        </w:tc>
      </w:tr>
      <w:tr>
        <w:trPr>
          <w:cantSplit/>
        </w:trPr>
        <w:tc>
          <w:tcPr>
            <w:tcW w:type="dxa" w:w="192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System of record</w:t>
            </w:r>
          </w:p>
        </w:tc>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 GCM on Risk Cirrus: risks, controls, policies, incidents, KRIs, issues, assessments, audit evidence</w:t>
            </w:r>
          </w:p>
        </w:tc>
        <w:tc>
          <w:tcPr>
            <w:tcW w:type="dxa" w:w="154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 (customer licence)</w:t>
            </w:r>
          </w:p>
        </w:tc>
        <w:tc>
          <w:tcPr>
            <w:tcW w:type="dxa" w:w="134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Needs access</w:t>
            </w:r>
          </w:p>
        </w:tc>
      </w:tr>
      <w:tr>
        <w:trPr>
          <w:cantSplit/>
        </w:trPr>
        <w:tc>
          <w:tcPr>
            <w:tcW w:type="dxa" w:w="1928"/>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Data, analytics and deterministic logic</w:t>
            </w:r>
          </w:p>
        </w:tc>
        <w:tc>
          <w:tcPr>
            <w:tcW w:type="dxa" w:w="481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SAS Viya: CAS data, reports, Intelligent Decisioning rules, reached through the SAS Viya MCP Server</w:t>
            </w:r>
          </w:p>
        </w:tc>
        <w:tc>
          <w:tcPr>
            <w:tcW w:type="dxa" w:w="154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SAS</w:t>
            </w:r>
          </w:p>
        </w:tc>
        <w:tc>
          <w:tcPr>
            <w:tcW w:type="dxa" w:w="134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Working</w:t>
            </w:r>
          </w:p>
        </w:tc>
      </w:tr>
      <w:tr>
        <w:trPr>
          <w:cantSplit/>
        </w:trPr>
        <w:tc>
          <w:tcPr>
            <w:tcW w:type="dxa" w:w="192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GRC connector</w:t>
            </w:r>
          </w:p>
        </w:tc>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Our MCP server</w:t>
            </w:r>
            <w:r>
              <w:rPr>
                <w:sz w:val="18"/>
                <w:szCs w:val="18"/>
              </w:rPr>
              <w:t xml:space="preserve"> on the Risk Cirrus REST API: typed GRC tools, read first, gated writes</w:t>
            </w:r>
          </w:p>
        </w:tc>
        <w:tc>
          <w:tcPr>
            <w:tcW w:type="dxa" w:w="154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Us</w:t>
            </w:r>
          </w:p>
        </w:tc>
        <w:tc>
          <w:tcPr>
            <w:tcW w:type="dxa" w:w="134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To build</w:t>
            </w:r>
          </w:p>
        </w:tc>
      </w:tr>
      <w:tr>
        <w:trPr>
          <w:cantSplit/>
        </w:trPr>
        <w:tc>
          <w:tcPr>
            <w:tcW w:type="dxa" w:w="1928"/>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Governance and control plane</w:t>
            </w:r>
          </w:p>
        </w:tc>
        <w:tc>
          <w:tcPr>
            <w:tcW w:type="dxa" w:w="481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Fleet Studio: blueprints, policy, tests, assurance, workflows, Decision Rooms, audit</w:t>
            </w:r>
          </w:p>
        </w:tc>
        <w:tc>
          <w:tcPr>
            <w:tcW w:type="dxa" w:w="154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Us</w:t>
            </w:r>
          </w:p>
        </w:tc>
        <w:tc>
          <w:tcPr>
            <w:tcW w:type="dxa" w:w="134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Built</w:t>
            </w:r>
          </w:p>
        </w:tc>
      </w:tr>
      <w:tr>
        <w:trPr>
          <w:cantSplit/>
        </w:trPr>
        <w:tc>
          <w:tcPr>
            <w:tcW w:type="dxa" w:w="192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Agent runtime</w:t>
            </w:r>
          </w:p>
        </w:tc>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Hermes Agent profiles, one per agent, on the customer’s hosts</w:t>
            </w:r>
          </w:p>
        </w:tc>
        <w:tc>
          <w:tcPr>
            <w:tcW w:type="dxa" w:w="154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Open source</w:t>
            </w:r>
          </w:p>
        </w:tc>
        <w:tc>
          <w:tcPr>
            <w:tcW w:type="dxa" w:w="134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Running</w:t>
            </w:r>
          </w:p>
        </w:tc>
      </w:tr>
      <w:tr>
        <w:trPr>
          <w:cantSplit/>
        </w:trPr>
        <w:tc>
          <w:tcPr>
            <w:tcW w:type="dxa" w:w="1928"/>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Language model</w:t>
            </w:r>
          </w:p>
        </w:tc>
        <w:tc>
          <w:tcPr>
            <w:tcW w:type="dxa" w:w="481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Customer-approved hosting (on-premises or private cloud); decided per customer</w:t>
            </w:r>
          </w:p>
        </w:tc>
        <w:tc>
          <w:tcPr>
            <w:tcW w:type="dxa" w:w="154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Customer / us</w:t>
            </w:r>
          </w:p>
        </w:tc>
        <w:tc>
          <w:tcPr>
            <w:tcW w:type="dxa" w:w="134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Decision</w:t>
            </w:r>
          </w:p>
        </w:tc>
      </w:tr>
      <w:tr>
        <w:trPr>
          <w:cantSplit/>
        </w:trPr>
        <w:tc>
          <w:tcPr>
            <w:tcW w:type="dxa" w:w="192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Human accountability</w:t>
            </w:r>
          </w:p>
        </w:tc>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Risk owners, compliance and approvers in the Workspace</w:t>
            </w:r>
          </w:p>
        </w:tc>
        <w:tc>
          <w:tcPr>
            <w:tcW w:type="dxa" w:w="154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Customer</w:t>
            </w:r>
          </w:p>
        </w:tc>
        <w:tc>
          <w:tcPr>
            <w:tcW w:type="dxa" w:w="134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w:t>
            </w:r>
          </w:p>
        </w:tc>
      </w:tr>
    </w:tbl>
    <w:p>
      <w:pPr>
        <w:spacing w:after="60"/>
      </w:pPr>
    </w:p>
    <w:p>
      <w:pPr>
        <w:pStyle w:val="Heading2"/>
      </w:pPr>
      <w:r>
        <w:t xml:space="preserve">5.2 The GRC connector</w:t>
      </w:r>
    </w:p>
    <w:p>
      <w:pPr>
        <w:spacing w:after="120" w:line="276"/>
      </w:pPr>
      <w:r>
        <w:t xml:space="preserve">The connector is the core asset. Design principles:</w:t>
      </w:r>
    </w:p>
    <w:p>
      <w:pPr>
        <w:pStyle w:val="ListParagraph"/>
        <w:numPr>
          <w:ilvl w:val="0"/>
          <w:numId w:val="2"/>
        </w:numPr>
        <w:spacing w:after="60" w:line="264"/>
      </w:pPr>
      <w:r>
        <w:rPr>
          <w:b/>
          <w:bCs/>
        </w:rPr>
        <w:t xml:space="preserve">Typed tools, not raw REST.</w:t>
      </w:r>
      <w:r>
        <w:t xml:space="preserve"> Agents get GRC verbs with clear inputs and outputs, not a generic HTTP client.</w:t>
      </w:r>
    </w:p>
    <w:p>
      <w:pPr>
        <w:pStyle w:val="ListParagraph"/>
        <w:numPr>
          <w:ilvl w:val="0"/>
          <w:numId w:val="2"/>
        </w:numPr>
        <w:spacing w:after="60" w:line="264"/>
      </w:pPr>
      <w:r>
        <w:rPr>
          <w:b/>
          <w:bCs/>
        </w:rPr>
        <w:t xml:space="preserve">Discovered, not hard-coded.</w:t>
      </w:r>
      <w:r>
        <w:t xml:space="preserve"> At start-up it reads the customer’s object registrations and fields, so configured GCM objects work without code changes.</w:t>
      </w:r>
    </w:p>
    <w:p>
      <w:pPr>
        <w:pStyle w:val="ListParagraph"/>
        <w:numPr>
          <w:ilvl w:val="0"/>
          <w:numId w:val="2"/>
        </w:numPr>
        <w:spacing w:after="60" w:line="264"/>
      </w:pPr>
      <w:r>
        <w:rPr>
          <w:b/>
          <w:bCs/>
        </w:rPr>
        <w:t xml:space="preserve">Every result is citable.</w:t>
      </w:r>
      <w:r>
        <w:t xml:space="preserve"> Each record comes back with its object type, id, version and a link into GCM, so Assurance and Decision Rooms can check citations.</w:t>
      </w:r>
    </w:p>
    <w:p>
      <w:pPr>
        <w:pStyle w:val="ListParagraph"/>
        <w:numPr>
          <w:ilvl w:val="0"/>
          <w:numId w:val="2"/>
        </w:numPr>
        <w:spacing w:after="60" w:line="264"/>
      </w:pPr>
      <w:r>
        <w:rPr>
          <w:b/>
          <w:bCs/>
        </w:rPr>
        <w:t xml:space="preserve">Read first; writes as drafts.</w:t>
      </w:r>
      <w:r>
        <w:t xml:space="preserve"> Writes create drafts only after a person approves in a Decision Room, and the audit shows who approved which draft.</w:t>
      </w:r>
    </w:p>
    <w:p>
      <w:pPr>
        <w:pStyle w:val="ListParagraph"/>
        <w:numPr>
          <w:ilvl w:val="0"/>
          <w:numId w:val="2"/>
        </w:numPr>
        <w:spacing w:after="60" w:line="264"/>
      </w:pPr>
      <w:r>
        <w:rPr>
          <w:b/>
          <w:bCs/>
        </w:rPr>
        <w:t xml:space="preserve">No credentials through Fleet Studio.</w:t>
      </w:r>
      <w:r>
        <w:t xml:space="preserve"> Each agent has its own GCM identity on the customer’s host, like our existing SAS setup.</w:t>
      </w:r>
    </w:p>
    <w:p>
      <w:pPr>
        <w:pStyle w:val="ListParagraph"/>
        <w:numPr>
          <w:ilvl w:val="0"/>
          <w:numId w:val="2"/>
        </w:numPr>
        <w:spacing w:after="60" w:line="264"/>
      </w:pPr>
      <w:r>
        <w:rPr>
          <w:b/>
          <w:bCs/>
        </w:rPr>
        <w:t xml:space="preserve">Pinned against SAS versions.</w:t>
      </w:r>
      <w:r>
        <w:t xml:space="preserve"> A compatibility check against each Risk Cirrus release, like the one we run nightly for Hermes.</w:t>
      </w:r>
    </w:p>
    <w:p>
      <w:pPr>
        <w:spacing w:after="120" w:line="276"/>
      </w:pPr>
      <w:r>
        <w:t xml:space="preserve">Proposed tools (names are illustrative; the final set follows the GCM API once we can see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5590"/>
        <w:gridCol w:w="1349"/>
      </w:tblGrid>
      <w:tr>
        <w:trPr>
          <w:tblHeader/>
        </w:trPr>
        <w:tc>
          <w:tcPr>
            <w:tcW w:type="dxa" w:w="269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Tool</w:t>
            </w:r>
          </w:p>
        </w:tc>
        <w:tc>
          <w:tcPr>
            <w:tcW w:type="dxa" w:w="5590"/>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Purpose</w:t>
            </w:r>
          </w:p>
        </w:tc>
        <w:tc>
          <w:tcPr>
            <w:tcW w:type="dxa" w:w="134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Kind</w:t>
            </w:r>
          </w:p>
        </w:tc>
      </w:tr>
      <w:tr>
        <w:trPr>
          <w:cantSplit/>
        </w:trPr>
        <w:tc>
          <w:tcPr>
            <w:tcW w:type="dxa" w:w="269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grc_describe_model</w:t>
            </w:r>
          </w:p>
        </w:tc>
        <w:tc>
          <w:tcPr>
            <w:tcW w:type="dxa" w:w="559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Object types, fields and relationship types configured in this GCM</w:t>
            </w:r>
          </w:p>
        </w:tc>
        <w:tc>
          <w:tcPr>
            <w:tcW w:type="dxa" w:w="134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Read</w:t>
            </w:r>
          </w:p>
        </w:tc>
      </w:tr>
      <w:tr>
        <w:trPr>
          <w:cantSplit/>
        </w:trPr>
        <w:tc>
          <w:tcPr>
            <w:tcW w:type="dxa" w:w="269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grc_search</w:t>
            </w:r>
          </w:p>
        </w:tc>
        <w:tc>
          <w:tcPr>
            <w:tcW w:type="dxa" w:w="5590"/>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Find records by type, text, attributes, owner, business unit, date</w:t>
            </w:r>
          </w:p>
        </w:tc>
        <w:tc>
          <w:tcPr>
            <w:tcW w:type="dxa" w:w="134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Read</w:t>
            </w:r>
          </w:p>
        </w:tc>
      </w:tr>
      <w:tr>
        <w:trPr>
          <w:cantSplit/>
        </w:trPr>
        <w:tc>
          <w:tcPr>
            <w:tcW w:type="dxa" w:w="269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grc_get</w:t>
            </w:r>
          </w:p>
        </w:tc>
        <w:tc>
          <w:tcPr>
            <w:tcW w:type="dxa" w:w="559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One record with its fields, status, owner and version</w:t>
            </w:r>
          </w:p>
        </w:tc>
        <w:tc>
          <w:tcPr>
            <w:tcW w:type="dxa" w:w="134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Read</w:t>
            </w:r>
          </w:p>
        </w:tc>
      </w:tr>
      <w:tr>
        <w:trPr>
          <w:cantSplit/>
        </w:trPr>
        <w:tc>
          <w:tcPr>
            <w:tcW w:type="dxa" w:w="269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grc_links</w:t>
            </w:r>
          </w:p>
        </w:tc>
        <w:tc>
          <w:tcPr>
            <w:tcW w:type="dxa" w:w="5590"/>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Related records, e.g. incident → loss events → failed controls → risks → KRIs</w:t>
            </w:r>
          </w:p>
        </w:tc>
        <w:tc>
          <w:tcPr>
            <w:tcW w:type="dxa" w:w="134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Read</w:t>
            </w:r>
          </w:p>
        </w:tc>
      </w:tr>
      <w:tr>
        <w:trPr>
          <w:cantSplit/>
        </w:trPr>
        <w:tc>
          <w:tcPr>
            <w:tcW w:type="dxa" w:w="269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grc_history</w:t>
            </w:r>
          </w:p>
        </w:tc>
        <w:tc>
          <w:tcPr>
            <w:tcW w:type="dxa" w:w="559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Change history and assessment history of a record</w:t>
            </w:r>
          </w:p>
        </w:tc>
        <w:tc>
          <w:tcPr>
            <w:tcW w:type="dxa" w:w="134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Read</w:t>
            </w:r>
          </w:p>
        </w:tc>
      </w:tr>
      <w:tr>
        <w:trPr>
          <w:cantSplit/>
        </w:trPr>
        <w:tc>
          <w:tcPr>
            <w:tcW w:type="dxa" w:w="269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grc_kri_series</w:t>
            </w:r>
          </w:p>
        </w:tc>
        <w:tc>
          <w:tcPr>
            <w:tcW w:type="dxa" w:w="5590"/>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KRI values and threshold breaches over time (with the Viya source table, when there is one)</w:t>
            </w:r>
          </w:p>
        </w:tc>
        <w:tc>
          <w:tcPr>
            <w:tcW w:type="dxa" w:w="134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Read</w:t>
            </w:r>
          </w:p>
        </w:tc>
      </w:tr>
      <w:tr>
        <w:trPr>
          <w:cantSplit/>
        </w:trPr>
        <w:tc>
          <w:tcPr>
            <w:tcW w:type="dxa" w:w="269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grc_draft_issue / grc_draft_action_plan</w:t>
            </w:r>
          </w:p>
        </w:tc>
        <w:tc>
          <w:tcPr>
            <w:tcW w:type="dxa" w:w="559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Prepare an issue or action plan for approval; written only after a Decision Room approves</w:t>
            </w:r>
          </w:p>
        </w:tc>
        <w:tc>
          <w:tcPr>
            <w:tcW w:type="dxa" w:w="134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Gated write</w:t>
            </w:r>
          </w:p>
        </w:tc>
      </w:tr>
      <w:tr>
        <w:trPr>
          <w:cantSplit/>
        </w:trPr>
        <w:tc>
          <w:tcPr>
            <w:tcW w:type="dxa" w:w="269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grc_propose_mapping</w:t>
            </w:r>
          </w:p>
        </w:tc>
        <w:tc>
          <w:tcPr>
            <w:tcW w:type="dxa" w:w="5590"/>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Propose obligation-to-policy or obligation-to-control links for compliance to confirm</w:t>
            </w:r>
          </w:p>
        </w:tc>
        <w:tc>
          <w:tcPr>
            <w:tcW w:type="dxa" w:w="134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Gated write</w:t>
            </w:r>
          </w:p>
        </w:tc>
      </w:tr>
    </w:tbl>
    <w:p>
      <w:pPr>
        <w:spacing w:after="60"/>
      </w:pPr>
    </w:p>
    <w:p>
      <w:pPr>
        <w:pStyle w:val="Heading2"/>
      </w:pPr>
      <w:r>
        <w:t xml:space="preserve">5.3 Agent roster: five agents, not twelve</w:t>
      </w:r>
    </w:p>
    <w:p>
      <w:pPr>
        <w:spacing w:after="120" w:line="276"/>
      </w:pPr>
      <w:r>
        <w:t xml:space="preserve">A specialist per GCM object type multiplies identities and tests without adding judgment. Reading an object type is a tool. We propose five agents, each with a clear boundary: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3277"/>
        <w:gridCol w:w="2699"/>
        <w:gridCol w:w="1927"/>
      </w:tblGrid>
      <w:tr>
        <w:trPr>
          <w:tblHeader/>
        </w:trPr>
        <w:tc>
          <w:tcPr>
            <w:tcW w:type="dxa" w:w="173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Agent</w:t>
            </w:r>
          </w:p>
        </w:tc>
        <w:tc>
          <w:tcPr>
            <w:tcW w:type="dxa" w:w="3277"/>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What it does</w:t>
            </w:r>
          </w:p>
        </w:tc>
        <w:tc>
          <w:tcPr>
            <w:tcW w:type="dxa" w:w="269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Tools</w:t>
            </w:r>
          </w:p>
        </w:tc>
        <w:tc>
          <w:tcPr>
            <w:tcW w:type="dxa" w:w="1927"/>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Must never</w:t>
            </w:r>
          </w:p>
        </w:tc>
      </w:tr>
      <w:tr>
        <w:trPr>
          <w:cantSplit/>
        </w:trPr>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GRC Orchestrator</w:t>
            </w:r>
          </w:p>
        </w:tc>
        <w:tc>
          <w:tcPr>
            <w:tcW w:type="dxa" w:w="327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Understands the request or signal, plans, delegates, assembles the case for people</w:t>
            </w:r>
          </w:p>
        </w:tc>
        <w:tc>
          <w:tcPr>
            <w:tcW w:type="dxa" w:w="269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None directly; delegates</w:t>
            </w:r>
          </w:p>
        </w:tc>
        <w:tc>
          <w:tcPr>
            <w:tcW w:type="dxa" w:w="192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Conclude on its own evidence</w:t>
            </w:r>
          </w:p>
        </w:tc>
      </w:tr>
      <w:tr>
        <w:trPr>
          <w:cantSplit/>
        </w:trPr>
        <w:tc>
          <w:tcPr>
            <w:tcW w:type="dxa" w:w="173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Investigator</w:t>
            </w:r>
          </w:p>
        </w:tc>
        <w:tc>
          <w:tcPr>
            <w:tcW w:type="dxa" w:w="327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Incidents, losses, risks, controls, KRIs: follows the links, compares with history</w:t>
            </w:r>
          </w:p>
        </w:tc>
        <w:tc>
          <w:tcPr>
            <w:tcW w:type="dxa" w:w="269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GRC connector (read); SAS MCP data, reports, Decisioning (read)</w:t>
            </w:r>
          </w:p>
        </w:tc>
        <w:tc>
          <w:tcPr>
            <w:tcW w:type="dxa" w:w="192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Change a threshold or a record; state causation as fact</w:t>
            </w:r>
          </w:p>
        </w:tc>
      </w:tr>
      <w:tr>
        <w:trPr>
          <w:cantSplit/>
        </w:trPr>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Regulatory Analyst</w:t>
            </w:r>
          </w:p>
        </w:tc>
        <w:tc>
          <w:tcPr>
            <w:tcW w:type="dxa" w:w="327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Extracts candidate obligations from regulatory text; proposes mappings to policies and controls</w:t>
            </w:r>
          </w:p>
        </w:tc>
        <w:tc>
          <w:tcPr>
            <w:tcW w:type="dxa" w:w="269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Content zone with the regulation; GRC connector (read, propose mapping)</w:t>
            </w:r>
          </w:p>
        </w:tc>
        <w:tc>
          <w:tcPr>
            <w:tcW w:type="dxa" w:w="192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Decide applicability or compliance status</w:t>
            </w:r>
          </w:p>
        </w:tc>
      </w:tr>
      <w:tr>
        <w:trPr>
          <w:cantSplit/>
        </w:trPr>
        <w:tc>
          <w:tcPr>
            <w:tcW w:type="dxa" w:w="173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Evidence Reviewer</w:t>
            </w:r>
          </w:p>
        </w:tc>
        <w:tc>
          <w:tcPr>
            <w:tcW w:type="dxa" w:w="327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Checks that every figure and claim cites a record or SAS result; returns gaps</w:t>
            </w:r>
          </w:p>
        </w:tc>
        <w:tc>
          <w:tcPr>
            <w:tcW w:type="dxa" w:w="269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GRC connector and SAS MCP (read)</w:t>
            </w:r>
          </w:p>
        </w:tc>
        <w:tc>
          <w:tcPr>
            <w:tcW w:type="dxa" w:w="192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Add new findings of its own</w:t>
            </w:r>
          </w:p>
        </w:tc>
      </w:tr>
      <w:tr>
        <w:trPr>
          <w:cantSplit/>
        </w:trPr>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Remediation Drafter</w:t>
            </w:r>
          </w:p>
        </w:tc>
        <w:tc>
          <w:tcPr>
            <w:tcW w:type="dxa" w:w="327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Drafts issues and action plans from approved findings</w:t>
            </w:r>
          </w:p>
        </w:tc>
        <w:tc>
          <w:tcPr>
            <w:tcW w:type="dxa" w:w="269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GRC connector (gated draft)</w:t>
            </w:r>
          </w:p>
        </w:tc>
        <w:tc>
          <w:tcPr>
            <w:tcW w:type="dxa" w:w="192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Write without an approved decision</w:t>
            </w:r>
          </w:p>
        </w:tc>
      </w:tr>
    </w:tbl>
    <w:p>
      <w:pPr>
        <w:spacing w:after="60"/>
      </w:pPr>
    </w:p>
    <w:p>
      <w:pPr>
        <w:pStyle w:val="Heading2"/>
      </w:pPr>
      <w:r>
        <w:t xml:space="preserve">5.4 How the proposal’s guardrails are enforced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70"/>
        <w:gridCol w:w="6168"/>
      </w:tblGrid>
      <w:tr>
        <w:trPr>
          <w:tblHeader/>
        </w:trPr>
        <w:tc>
          <w:tcPr>
            <w:tcW w:type="dxa" w:w="3470"/>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Guardrail in the proposal</w:t>
            </w:r>
          </w:p>
        </w:tc>
        <w:tc>
          <w:tcPr>
            <w:tcW w:type="dxa" w:w="6168"/>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How it is enforced</w:t>
            </w:r>
          </w:p>
        </w:tc>
      </w:tr>
      <w:tr>
        <w:trPr>
          <w:cantSplit/>
        </w:trPr>
        <w:tc>
          <w:tcPr>
            <w:tcW w:type="dxa" w:w="347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Root cause is a hypothesis, not a fact</w:t>
            </w:r>
          </w:p>
        </w:tc>
        <w:tc>
          <w:tcPr>
            <w:tcW w:type="dxa" w:w="616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Findings carry a basis; an agent can file analytical, interpretation or assumption, never judgment. Only people record judgment.</w:t>
            </w:r>
          </w:p>
        </w:tc>
      </w:tr>
      <w:tr>
        <w:trPr>
          <w:cantSplit/>
        </w:trPr>
        <w:tc>
          <w:tcPr>
            <w:tcW w:type="dxa" w:w="3470"/>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Findings cite the records used</w:t>
            </w:r>
          </w:p>
        </w:tc>
        <w:tc>
          <w:tcPr>
            <w:tcW w:type="dxa" w:w="6168"/>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Assurance checks each cited tool and record against the run transcript; an invented citation is dropped and the claim becomes No evidence.</w:t>
            </w:r>
          </w:p>
        </w:tc>
      </w:tr>
      <w:tr>
        <w:trPr>
          <w:cantSplit/>
        </w:trPr>
        <w:tc>
          <w:tcPr>
            <w:tcW w:type="dxa" w:w="347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Thresholds, KRI logic and appetite stay deterministic</w:t>
            </w:r>
          </w:p>
        </w:tc>
        <w:tc>
          <w:tcPr>
            <w:tcW w:type="dxa" w:w="616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They live in GCM and Intelligent Decisioning; agents may read them; write tools for them are blocked by blueprint policy.</w:t>
            </w:r>
          </w:p>
        </w:tc>
      </w:tr>
      <w:tr>
        <w:trPr>
          <w:cantSplit/>
        </w:trPr>
        <w:tc>
          <w:tcPr>
            <w:tcW w:type="dxa" w:w="3470"/>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Human approval for material conclusions</w:t>
            </w:r>
          </w:p>
        </w:tc>
        <w:tc>
          <w:tcPr>
            <w:tcW w:type="dxa" w:w="6168"/>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Workflow gates by role; the last step opens a Decision Room; production changes need approvers other than the author.</w:t>
            </w:r>
          </w:p>
        </w:tc>
      </w:tr>
      <w:tr>
        <w:trPr>
          <w:cantSplit/>
        </w:trPr>
        <w:tc>
          <w:tcPr>
            <w:tcW w:type="dxa" w:w="347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An audit trail</w:t>
            </w:r>
          </w:p>
        </w:tc>
        <w:tc>
          <w:tcPr>
            <w:tcW w:type="dxa" w:w="616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Insert-only audit, per-agent identities in SAS and GCM, session transcripts, the four verdicts, CSV export for auditors.</w:t>
            </w:r>
          </w:p>
        </w:tc>
      </w:tr>
      <w:tr>
        <w:trPr>
          <w:cantSplit/>
        </w:trPr>
        <w:tc>
          <w:tcPr>
            <w:tcW w:type="dxa" w:w="3470"/>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The AI itself is governed</w:t>
            </w:r>
          </w:p>
        </w:tc>
        <w:tc>
          <w:tcPr>
            <w:tcW w:type="dxa" w:w="6168"/>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Tests gate every production release; drift detection; released versions are immutable; access inspector answers “may this agent call this tool”.</w:t>
            </w:r>
          </w:p>
        </w:tc>
      </w:tr>
    </w:tbl>
    <w:p>
      <w:pPr>
        <w:spacing w:after="60"/>
      </w:pPr>
    </w:p>
    <w:p>
      <w:pPr>
        <w:pStyle w:val="Heading2"/>
      </w:pPr>
      <w:r>
        <w:t xml:space="preserve">5.5 The three workflows on this design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1735"/>
        <w:gridCol w:w="2891"/>
        <w:gridCol w:w="1735"/>
        <w:gridCol w:w="1735"/>
      </w:tblGrid>
      <w:tr>
        <w:trPr>
          <w:tblHeader/>
        </w:trPr>
        <w:tc>
          <w:tcPr>
            <w:tcW w:type="dxa" w:w="1542"/>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Workflow</w:t>
            </w:r>
          </w:p>
        </w:tc>
        <w:tc>
          <w:tcPr>
            <w:tcW w:type="dxa" w:w="173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Trigger</w:t>
            </w:r>
          </w:p>
        </w:tc>
        <w:tc>
          <w:tcPr>
            <w:tcW w:type="dxa" w:w="2891"/>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Steps (agents)</w:t>
            </w:r>
          </w:p>
        </w:tc>
        <w:tc>
          <w:tcPr>
            <w:tcW w:type="dxa" w:w="173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Human gates</w:t>
            </w:r>
          </w:p>
        </w:tc>
        <w:tc>
          <w:tcPr>
            <w:tcW w:type="dxa" w:w="173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Output</w:t>
            </w:r>
          </w:p>
        </w:tc>
      </w:tr>
      <w:tr>
        <w:trPr>
          <w:cantSplit/>
        </w:trPr>
        <w:tc>
          <w:tcPr>
            <w:tcW w:type="dxa" w:w="154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1. Incident investigation</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New incident in GCM, or a person asks</w:t>
            </w:r>
          </w:p>
        </w:tc>
        <w:tc>
          <w:tcPr>
            <w:tcW w:type="dxa" w:w="2891"/>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Investigator gathers linked records and KRI and loss signals → Evidence Reviewer → Orchestrator writes the case</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Risk owner reviews hypothesis; approver decides remediation</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Decision Room with evidence; approved issue and action plan in GCM</w:t>
            </w:r>
          </w:p>
        </w:tc>
      </w:tr>
      <w:tr>
        <w:trPr>
          <w:cantSplit/>
        </w:trPr>
        <w:tc>
          <w:tcPr>
            <w:tcW w:type="dxa" w:w="154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2. Risk, control and KRI surveillance</w:t>
            </w:r>
          </w:p>
        </w:tc>
        <w:tc>
          <w:tcPr>
            <w:tcW w:type="dxa" w:w="173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KRI or control breach from Viya or GCM (event) or schedule</w:t>
            </w:r>
          </w:p>
        </w:tc>
        <w:tc>
          <w:tcPr>
            <w:tcW w:type="dxa" w:w="2891"/>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Investigator explains drivers and connections → Evidence Reviewer → Orchestrator assesses appetite impact from the approved rules</w:t>
            </w:r>
          </w:p>
        </w:tc>
        <w:tc>
          <w:tcPr>
            <w:tcW w:type="dxa" w:w="173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Risk owner decides on response</w:t>
            </w:r>
          </w:p>
        </w:tc>
        <w:tc>
          <w:tcPr>
            <w:tcW w:type="dxa" w:w="173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Explained alert with evidence; targeted action</w:t>
            </w:r>
          </w:p>
        </w:tc>
      </w:tr>
      <w:tr>
        <w:trPr>
          <w:cantSplit/>
        </w:trPr>
        <w:tc>
          <w:tcPr>
            <w:tcW w:type="dxa" w:w="154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3. Regulatory change impact</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 regulation or change is uploaded</w:t>
            </w:r>
          </w:p>
        </w:tc>
        <w:tc>
          <w:tcPr>
            <w:tcW w:type="dxa" w:w="2891"/>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Regulatory Analyst extracts obligations and proposes mappings → Evidence Reviewer → Orchestrator lists potential gaps</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Compliance confirms applicability and each gap</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Traceable impact assessment; confirmed mappings in GCM</w:t>
            </w:r>
          </w:p>
        </w:tc>
      </w:tr>
    </w:tbl>
    <w:p>
      <w:r>
        <w:br w:type="page"/>
      </w:r>
    </w:p>
    <w:p>
      <w:pPr>
        <w:pStyle w:val="Heading1"/>
      </w:pPr>
      <w:r>
        <w:t xml:space="preserve">6. Delivery plan</w:t>
      </w:r>
    </w:p>
    <w:p>
      <w:pPr>
        <w:spacing w:after="120" w:line="276"/>
      </w:pPr>
      <w:r>
        <w:t xml:space="preserve">Five overlapping phases, about 22 weeks to the first production deployment. Phases 1 and 2 run in parallel so that we can demonstrate value before the GCM connector exists.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964"/>
        <w:gridCol w:w="3277"/>
        <w:gridCol w:w="3277"/>
      </w:tblGrid>
      <w:tr>
        <w:trPr>
          <w:tblHeader/>
        </w:trPr>
        <w:tc>
          <w:tcPr>
            <w:tcW w:type="dxa" w:w="2120"/>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Phase</w:t>
            </w:r>
          </w:p>
        </w:tc>
        <w:tc>
          <w:tcPr>
            <w:tcW w:type="dxa" w:w="964"/>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Weeks</w:t>
            </w:r>
          </w:p>
        </w:tc>
        <w:tc>
          <w:tcPr>
            <w:tcW w:type="dxa" w:w="3277"/>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Goal</w:t>
            </w:r>
          </w:p>
        </w:tc>
        <w:tc>
          <w:tcPr>
            <w:tcW w:type="dxa" w:w="3277"/>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Exit criterion</w:t>
            </w:r>
          </w:p>
        </w:tc>
      </w:tr>
      <w:tr>
        <w:trPr>
          <w:cantSplit/>
        </w:trPr>
        <w:tc>
          <w:tcPr>
            <w:tcW w:type="dxa" w:w="212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0. Foundations</w:t>
            </w:r>
          </w:p>
        </w:tc>
        <w:tc>
          <w:tcPr>
            <w:tcW w:type="dxa" w:w="964"/>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0–2</w:t>
            </w:r>
          </w:p>
        </w:tc>
        <w:tc>
          <w:tcPr>
            <w:tcW w:type="dxa" w:w="327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Access, partner, decisions, team</w:t>
            </w:r>
          </w:p>
        </w:tc>
        <w:tc>
          <w:tcPr>
            <w:tcW w:type="dxa" w:w="327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GCM environment date confirmed; design partner signed; model hosting chosen</w:t>
            </w:r>
          </w:p>
        </w:tc>
      </w:tr>
      <w:tr>
        <w:trPr>
          <w:cantSplit/>
        </w:trPr>
        <w:tc>
          <w:tcPr>
            <w:tcW w:type="dxa" w:w="2120"/>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1. Regulatory change pilot</w:t>
            </w:r>
          </w:p>
        </w:tc>
        <w:tc>
          <w:tcPr>
            <w:tcW w:type="dxa" w:w="964"/>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1–6</w:t>
            </w:r>
          </w:p>
        </w:tc>
        <w:tc>
          <w:tcPr>
            <w:tcW w:type="dxa" w:w="327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Demo use case 3 without GCM</w:t>
            </w:r>
          </w:p>
        </w:tc>
        <w:tc>
          <w:tcPr>
            <w:tcW w:type="dxa" w:w="327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Customer-facing demo on a real regulation, with graded evidence</w:t>
            </w:r>
          </w:p>
        </w:tc>
      </w:tr>
      <w:tr>
        <w:trPr>
          <w:cantSplit/>
        </w:trPr>
        <w:tc>
          <w:tcPr>
            <w:tcW w:type="dxa" w:w="212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2. GCM connector (read)</w:t>
            </w:r>
          </w:p>
        </w:tc>
        <w:tc>
          <w:tcPr>
            <w:tcW w:type="dxa" w:w="964"/>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3–10</w:t>
            </w:r>
          </w:p>
        </w:tc>
        <w:tc>
          <w:tcPr>
            <w:tcW w:type="dxa" w:w="327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Agents read live GCM records</w:t>
            </w:r>
          </w:p>
        </w:tc>
        <w:tc>
          <w:tcPr>
            <w:tcW w:type="dxa" w:w="327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Connector passes its test suite against a real GCM; citations checkable</w:t>
            </w:r>
          </w:p>
        </w:tc>
      </w:tr>
      <w:tr>
        <w:trPr>
          <w:cantSplit/>
        </w:trPr>
        <w:tc>
          <w:tcPr>
            <w:tcW w:type="dxa" w:w="2120"/>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3. Incident investigation</w:t>
            </w:r>
          </w:p>
        </w:tc>
        <w:tc>
          <w:tcPr>
            <w:tcW w:type="dxa" w:w="964"/>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9–14</w:t>
            </w:r>
          </w:p>
        </w:tc>
        <w:tc>
          <w:tcPr>
            <w:tcW w:type="dxa" w:w="327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Use case 1 on live GCM, with gated write-back</w:t>
            </w:r>
          </w:p>
        </w:tc>
        <w:tc>
          <w:tcPr>
            <w:tcW w:type="dxa" w:w="327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Design partner runs 10 real investigations end to end</w:t>
            </w:r>
          </w:p>
        </w:tc>
      </w:tr>
      <w:tr>
        <w:trPr>
          <w:cantSplit/>
        </w:trPr>
        <w:tc>
          <w:tcPr>
            <w:tcW w:type="dxa" w:w="212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4. Surveillance</w:t>
            </w:r>
          </w:p>
        </w:tc>
        <w:tc>
          <w:tcPr>
            <w:tcW w:type="dxa" w:w="964"/>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12–18</w:t>
            </w:r>
          </w:p>
        </w:tc>
        <w:tc>
          <w:tcPr>
            <w:tcW w:type="dxa" w:w="327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Use case 2: events, schedules, headless identity</w:t>
            </w:r>
          </w:p>
        </w:tc>
        <w:tc>
          <w:tcPr>
            <w:tcW w:type="dxa" w:w="327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Unattended surveillance runs for 2 weeks without a human login</w:t>
            </w:r>
          </w:p>
        </w:tc>
      </w:tr>
      <w:tr>
        <w:trPr>
          <w:cantSplit/>
        </w:trPr>
        <w:tc>
          <w:tcPr>
            <w:tcW w:type="dxa" w:w="2120"/>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5. Productise and go live</w:t>
            </w:r>
          </w:p>
        </w:tc>
        <w:tc>
          <w:tcPr>
            <w:tcW w:type="dxa" w:w="964"/>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16–22</w:t>
            </w:r>
          </w:p>
        </w:tc>
        <w:tc>
          <w:tcPr>
            <w:tcW w:type="dxa" w:w="327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Installable, supportable product</w:t>
            </w:r>
          </w:p>
        </w:tc>
        <w:tc>
          <w:tcPr>
            <w:tcW w:type="dxa" w:w="327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First production deployment at the design partner</w:t>
            </w:r>
          </w:p>
        </w:tc>
      </w:tr>
    </w:tbl>
    <w:p>
      <w:pPr>
        <w:spacing w:after="60"/>
      </w:pPr>
    </w:p>
    <w:p>
      <w:pPr>
        <w:pStyle w:val="Heading2"/>
      </w:pPr>
      <w:r>
        <w:t xml:space="preserve">Phase 0 — Foundations (weeks 0–2)</w:t>
      </w:r>
    </w:p>
    <w:p>
      <w:pPr>
        <w:pStyle w:val="ListParagraph"/>
        <w:numPr>
          <w:ilvl w:val="0"/>
          <w:numId w:val="2"/>
        </w:numPr>
        <w:spacing w:after="60" w:line="264"/>
      </w:pPr>
      <w:r>
        <w:rPr>
          <w:b/>
          <w:bCs/>
        </w:rPr>
        <w:t xml:space="preserve">GCM environment.</w:t>
      </w:r>
      <w:r>
        <w:t xml:space="preserve"> Request a non-production GCM on Risk Cirrus through our SAS channel, or through the design partner’s non-production environment. Get the Risk Cirrus and GCM API documentation (needs a customer access key).</w:t>
      </w:r>
    </w:p>
    <w:p>
      <w:pPr>
        <w:pStyle w:val="ListParagraph"/>
        <w:numPr>
          <w:ilvl w:val="0"/>
          <w:numId w:val="2"/>
        </w:numPr>
        <w:spacing w:after="60" w:line="264"/>
      </w:pPr>
      <w:r>
        <w:rPr>
          <w:b/>
          <w:bCs/>
        </w:rPr>
        <w:t xml:space="preserve">Design partner.</w:t>
      </w:r>
      <w:r>
        <w:t xml:space="preserve"> One regulated customer already on SAS Viya with GCM, with a named risk owner and compliance lead. Agree scope, data they share, and success measures.</w:t>
      </w:r>
    </w:p>
    <w:p>
      <w:pPr>
        <w:pStyle w:val="ListParagraph"/>
        <w:numPr>
          <w:ilvl w:val="0"/>
          <w:numId w:val="2"/>
        </w:numPr>
        <w:spacing w:after="60" w:line="264"/>
      </w:pPr>
      <w:r>
        <w:rPr>
          <w:b/>
          <w:bCs/>
        </w:rPr>
        <w:t xml:space="preserve">Model hosting and data classes.</w:t>
      </w:r>
      <w:r>
        <w:t xml:space="preserve"> Decide where the language model runs (customer on-premises, private cloud, or an approved provider) and which data classes each agent may see. Capable open models on-premises are the likely default for banks.</w:t>
      </w:r>
    </w:p>
    <w:p>
      <w:pPr>
        <w:pStyle w:val="ListParagraph"/>
        <w:numPr>
          <w:ilvl w:val="0"/>
          <w:numId w:val="2"/>
        </w:numPr>
        <w:spacing w:after="60" w:line="264"/>
      </w:pPr>
      <w:r>
        <w:rPr>
          <w:b/>
          <w:bCs/>
        </w:rPr>
        <w:t xml:space="preserve">Team</w:t>
      </w:r>
      <w:r>
        <w:t xml:space="preserve"> (section 7) named and dedicated.</w:t>
      </w:r>
    </w:p>
    <w:p>
      <w:pPr>
        <w:pStyle w:val="ListParagraph"/>
        <w:numPr>
          <w:ilvl w:val="0"/>
          <w:numId w:val="2"/>
        </w:numPr>
        <w:spacing w:after="60" w:line="264"/>
      </w:pPr>
      <w:r>
        <w:rPr>
          <w:b/>
          <w:bCs/>
        </w:rPr>
        <w:t xml:space="preserve">Revise the proposal</w:t>
      </w:r>
      <w:r>
        <w:t xml:space="preserve"> with the changes listed in section 10.</w:t>
      </w:r>
    </w:p>
    <w:p>
      <w:pPr>
        <w:pStyle w:val="Heading2"/>
      </w:pPr>
      <w:r>
        <w:t xml:space="preserve">Phase 1 — Regulatory change pilot, no GCM needed (weeks 1–6)</w:t>
      </w:r>
    </w:p>
    <w:p>
      <w:pPr>
        <w:pStyle w:val="ListParagraph"/>
        <w:numPr>
          <w:ilvl w:val="0"/>
          <w:numId w:val="2"/>
        </w:numPr>
        <w:spacing w:after="60" w:line="264"/>
      </w:pPr>
      <w:r>
        <w:t xml:space="preserve">Load one real regulation and a sample policy and control library (exported from GCM or taken from a public framework) into a Fleet Studio content zone.</w:t>
      </w:r>
    </w:p>
    <w:p>
      <w:pPr>
        <w:pStyle w:val="ListParagraph"/>
        <w:numPr>
          <w:ilvl w:val="0"/>
          <w:numId w:val="2"/>
        </w:numPr>
        <w:spacing w:after="60" w:line="264"/>
      </w:pPr>
      <w:r>
        <w:t xml:space="preserve">Build the Regulatory Analyst, Evidence Reviewer and Orchestrator as a blueprint, with tests: obligations must quote the source clause; every mapping must name the policy or control id.</w:t>
      </w:r>
    </w:p>
    <w:p>
      <w:pPr>
        <w:pStyle w:val="ListParagraph"/>
        <w:numPr>
          <w:ilvl w:val="0"/>
          <w:numId w:val="2"/>
        </w:numPr>
        <w:spacing w:after="60" w:line="264"/>
      </w:pPr>
      <w:r>
        <w:t xml:space="preserve">Workflow: extract → review → compliance gate → Decision Room with the impact assessment.</w:t>
      </w:r>
    </w:p>
    <w:p>
      <w:pPr>
        <w:pStyle w:val="ListParagraph"/>
        <w:numPr>
          <w:ilvl w:val="0"/>
          <w:numId w:val="2"/>
        </w:numPr>
        <w:spacing w:after="60" w:line="264"/>
      </w:pPr>
      <w:r>
        <w:t xml:space="preserve">Use the SAS MCP glossary and catalog tools where the customer keeps obligations or controls in Viya.</w:t>
      </w:r>
    </w:p>
    <w:p>
      <w:pPr>
        <w:pStyle w:val="ListParagraph"/>
        <w:numPr>
          <w:ilvl w:val="0"/>
          <w:numId w:val="2"/>
        </w:numPr>
        <w:spacing w:after="60" w:line="264"/>
      </w:pPr>
      <w:r>
        <w:rPr>
          <w:b/>
          <w:bCs/>
        </w:rPr>
        <w:t xml:space="preserve">Deliverable:</w:t>
      </w:r>
      <w:r>
        <w:t xml:space="preserve"> a demo on our lab and a short video for sales. Measure time against a manual impact assessment.</w:t>
      </w:r>
    </w:p>
    <w:p>
      <w:pPr>
        <w:pStyle w:val="Heading2"/>
      </w:pPr>
      <w:r>
        <w:t xml:space="preserve">Phase 2 — The GCM connector, read (weeks 3–10)</w:t>
      </w:r>
    </w:p>
    <w:p>
      <w:pPr>
        <w:pStyle w:val="ListParagraph"/>
        <w:numPr>
          <w:ilvl w:val="0"/>
          <w:numId w:val="2"/>
        </w:numPr>
        <w:spacing w:after="60" w:line="264"/>
      </w:pPr>
      <w:r>
        <w:t xml:space="preserve">Map the GCM object model through Risk Cirrus: object types, registrations, fields, relationships, history. Confirm authentication and permission scopes.</w:t>
      </w:r>
    </w:p>
    <w:p>
      <w:pPr>
        <w:pStyle w:val="ListParagraph"/>
        <w:numPr>
          <w:ilvl w:val="0"/>
          <w:numId w:val="2"/>
        </w:numPr>
        <w:spacing w:after="60" w:line="264"/>
      </w:pPr>
      <w:r>
        <w:t xml:space="preserve">Build the read tools of section 5.2 as our own MCP server, with discovery of configured objects.</w:t>
      </w:r>
    </w:p>
    <w:p>
      <w:pPr>
        <w:pStyle w:val="ListParagraph"/>
        <w:numPr>
          <w:ilvl w:val="0"/>
          <w:numId w:val="2"/>
        </w:numPr>
        <w:spacing w:after="60" w:line="264"/>
      </w:pPr>
      <w:r>
        <w:t xml:space="preserve">One GCM identity per agent, provisioned and renewed on the customer’s host; nothing passes through Fleet Studio.</w:t>
      </w:r>
    </w:p>
    <w:p>
      <w:pPr>
        <w:pStyle w:val="ListParagraph"/>
        <w:numPr>
          <w:ilvl w:val="0"/>
          <w:numId w:val="2"/>
        </w:numPr>
        <w:spacing w:after="60" w:line="264"/>
      </w:pPr>
      <w:r>
        <w:t xml:space="preserve">Contract tests against a real GCM, and a compatibility check pinned to the Risk Cirrus release.</w:t>
      </w:r>
    </w:p>
    <w:p>
      <w:pPr>
        <w:pStyle w:val="ListParagraph"/>
        <w:numPr>
          <w:ilvl w:val="0"/>
          <w:numId w:val="2"/>
        </w:numPr>
        <w:spacing w:after="60" w:line="264"/>
      </w:pPr>
      <w:r>
        <w:t xml:space="preserve">Integrations screen shows the connector’s health and which agents may use it, as it does for the SAS server today.</w:t>
      </w:r>
    </w:p>
    <w:p>
      <w:pPr>
        <w:pStyle w:val="Heading2"/>
      </w:pPr>
      <w:r>
        <w:t xml:space="preserve">Phase 3 — Incident investigation with write-back (weeks 9–14)</w:t>
      </w:r>
    </w:p>
    <w:p>
      <w:pPr>
        <w:pStyle w:val="ListParagraph"/>
        <w:numPr>
          <w:ilvl w:val="0"/>
          <w:numId w:val="2"/>
        </w:numPr>
        <w:spacing w:after="60" w:line="264"/>
      </w:pPr>
      <w:r>
        <w:t xml:space="preserve">Investigator, Evidence Reviewer and Remediation Drafter agents on live GCM data at the design partner.</w:t>
      </w:r>
    </w:p>
    <w:p>
      <w:pPr>
        <w:pStyle w:val="ListParagraph"/>
        <w:numPr>
          <w:ilvl w:val="0"/>
          <w:numId w:val="2"/>
        </w:numPr>
        <w:spacing w:after="60" w:line="264"/>
      </w:pPr>
      <w:r>
        <w:t xml:space="preserve">Gated write tools: drafts of issues and action plans written only after a Decision Room approval, with the approver recorded.</w:t>
      </w:r>
    </w:p>
    <w:p>
      <w:pPr>
        <w:pStyle w:val="ListParagraph"/>
        <w:numPr>
          <w:ilvl w:val="0"/>
          <w:numId w:val="2"/>
        </w:numPr>
        <w:spacing w:after="60" w:line="264"/>
      </w:pPr>
      <w:r>
        <w:t xml:space="preserve">Test pack from 20 closed incidents with known root causes: the fleet’s hypothesis must match or be honestly marked unsupported.</w:t>
      </w:r>
    </w:p>
    <w:p>
      <w:pPr>
        <w:pStyle w:val="ListParagraph"/>
        <w:numPr>
          <w:ilvl w:val="0"/>
          <w:numId w:val="2"/>
        </w:numPr>
        <w:spacing w:after="60" w:line="264"/>
      </w:pPr>
      <w:r>
        <w:t xml:space="preserve">Measure investigation time and evidence completeness against the partner’s current process.</w:t>
      </w:r>
    </w:p>
    <w:p>
      <w:pPr>
        <w:pStyle w:val="Heading2"/>
      </w:pPr>
      <w:r>
        <w:t xml:space="preserve">Phase 4 — Surveillance (weeks 12–18)</w:t>
      </w:r>
    </w:p>
    <w:p>
      <w:pPr>
        <w:pStyle w:val="ListParagraph"/>
        <w:numPr>
          <w:ilvl w:val="0"/>
          <w:numId w:val="2"/>
        </w:numPr>
        <w:spacing w:after="60" w:line="264"/>
      </w:pPr>
      <w:r>
        <w:rPr>
          <w:b/>
          <w:bCs/>
        </w:rPr>
        <w:t xml:space="preserve">Headless SAS access.</w:t>
      </w:r>
      <w:r>
        <w:t xml:space="preserve"> A per-agent SAS service identity, issued and renewed by our host agent (SAS’s raw-bearer mode), agreed with the customer’s SAS administrators. This removes the 24-hour login limit (L4, L5).</w:t>
      </w:r>
    </w:p>
    <w:p>
      <w:pPr>
        <w:pStyle w:val="ListParagraph"/>
        <w:numPr>
          <w:ilvl w:val="0"/>
          <w:numId w:val="2"/>
        </w:numPr>
        <w:spacing w:after="60" w:line="264"/>
      </w:pPr>
      <w:r>
        <w:rPr>
          <w:b/>
          <w:bCs/>
        </w:rPr>
        <w:t xml:space="preserve">Event trigger.</w:t>
      </w:r>
      <w:r>
        <w:t xml:space="preserve"> Viya or GCM breach events start a workflow run through our API (for example a decision flow or job that calls an authenticated webhook); schedules for periodic sweeps.</w:t>
      </w:r>
    </w:p>
    <w:p>
      <w:pPr>
        <w:pStyle w:val="ListParagraph"/>
        <w:numPr>
          <w:ilvl w:val="0"/>
          <w:numId w:val="2"/>
        </w:numPr>
        <w:spacing w:after="60" w:line="264"/>
      </w:pPr>
      <w:r>
        <w:t xml:space="preserve">Appetite and threshold rules read from Intelligent Decisioning and GCM, never restated in prompts.</w:t>
      </w:r>
    </w:p>
    <w:p>
      <w:pPr>
        <w:pStyle w:val="ListParagraph"/>
        <w:numPr>
          <w:ilvl w:val="0"/>
          <w:numId w:val="2"/>
        </w:numPr>
        <w:spacing w:after="60" w:line="264"/>
      </w:pPr>
      <w:r>
        <w:t xml:space="preserve">Warn a day ahead of any expiring credential, as Fleet Studio already does for MCP logins.</w:t>
      </w:r>
    </w:p>
    <w:p>
      <w:pPr>
        <w:pStyle w:val="Heading2"/>
      </w:pPr>
      <w:r>
        <w:t xml:space="preserve">Phase 5 — Productise and go live (weeks 16–22)</w:t>
      </w:r>
    </w:p>
    <w:p>
      <w:pPr>
        <w:pStyle w:val="ListParagraph"/>
        <w:numPr>
          <w:ilvl w:val="0"/>
          <w:numId w:val="2"/>
        </w:numPr>
        <w:spacing w:after="60" w:line="264"/>
      </w:pPr>
      <w:r>
        <w:t xml:space="preserve">Docker Compose packaging; OIDC single sign-on mapped to our roles; database migrations for upgrades.</w:t>
      </w:r>
    </w:p>
    <w:p>
      <w:pPr>
        <w:pStyle w:val="ListParagraph"/>
        <w:numPr>
          <w:ilvl w:val="0"/>
          <w:numId w:val="2"/>
        </w:numPr>
        <w:spacing w:after="60" w:line="264"/>
      </w:pPr>
      <w:r>
        <w:t xml:space="preserve">A </w:t>
      </w:r>
      <w:r>
        <w:rPr>
          <w:b/>
          <w:bCs/>
        </w:rPr>
        <w:t xml:space="preserve">GRC Fleet Pack</w:t>
      </w:r>
      <w:r>
        <w:t xml:space="preserve">: the blueprints, workflows, tests and Decision Room templates for the three use cases.</w:t>
      </w:r>
    </w:p>
    <w:p>
      <w:pPr>
        <w:pStyle w:val="ListParagraph"/>
        <w:numPr>
          <w:ilvl w:val="0"/>
          <w:numId w:val="2"/>
        </w:numPr>
        <w:spacing w:after="60" w:line="264"/>
      </w:pPr>
      <w:r>
        <w:t xml:space="preserve">A </w:t>
      </w:r>
      <w:r>
        <w:rPr>
          <w:b/>
          <w:bCs/>
        </w:rPr>
        <w:t xml:space="preserve">validation pack</w:t>
      </w:r>
      <w:r>
        <w:t xml:space="preserve"> for the customer’s model risk function: what each agent may do, its tests, results and limits.</w:t>
      </w:r>
    </w:p>
    <w:p>
      <w:pPr>
        <w:pStyle w:val="ListParagraph"/>
        <w:numPr>
          <w:ilvl w:val="0"/>
          <w:numId w:val="2"/>
        </w:numPr>
        <w:spacing w:after="60" w:line="264"/>
      </w:pPr>
      <w:r>
        <w:t xml:space="preserve">Operations runbook: certificates, SAS maintenance, credential renewal, upgrades.</w:t>
      </w:r>
    </w:p>
    <w:p>
      <w:pPr>
        <w:pStyle w:val="ListParagraph"/>
        <w:numPr>
          <w:ilvl w:val="0"/>
          <w:numId w:val="2"/>
        </w:numPr>
        <w:spacing w:after="60" w:line="264"/>
      </w:pPr>
      <w:r>
        <w:t xml:space="preserve">Production go-live at the design partner; reference case.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DECEA" w:sz="4"/>
              <w:left w:val="single" w:color="C0392B" w:sz="24"/>
              <w:bottom w:val="single" w:color="FDECEA" w:sz="4"/>
              <w:right w:val="single" w:color="FDECEA" w:sz="4"/>
            </w:tcBorders>
            <w:shd w:fill="FDECEA" w:color="auto" w:val="clear"/>
            <w:tcMar>
              <w:top w:type="dxa" w:w="120"/>
              <w:left w:type="dxa" w:w="200"/>
              <w:bottom w:type="dxa" w:w="120"/>
              <w:right w:type="dxa" w:w="200"/>
            </w:tcMar>
          </w:tcPr>
          <w:p>
            <w:pPr>
              <w:spacing w:after="80"/>
            </w:pPr>
            <w:r>
              <w:rPr>
                <w:b/>
                <w:bCs/>
                <w:color w:val="C0392B"/>
                <w:sz w:val="20"/>
                <w:szCs w:val="20"/>
              </w:rPr>
              <w:t xml:space="preserve">Critical path</w:t>
            </w:r>
          </w:p>
          <w:p>
            <w:pPr>
              <w:spacing w:after="60"/>
            </w:pPr>
            <w:r>
              <w:rPr>
                <w:sz w:val="20"/>
                <w:szCs w:val="20"/>
              </w:rPr>
              <w:t xml:space="preserve">Phases 2 to 4 need a working GCM. If no GCM environment is available by week 4, every date after phase 1 moves by the same amount. Phase 1 still delivers a demo either way.</w:t>
            </w:r>
          </w:p>
        </w:tc>
      </w:tr>
    </w:tbl>
    <w:p>
      <w:r>
        <w:br w:type="page"/>
      </w:r>
    </w:p>
    <w:p>
      <w:pPr>
        <w:pStyle w:val="Heading1"/>
      </w:pPr>
      <w:r>
        <w:t xml:space="preserve">7. Team and resources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4819"/>
        <w:gridCol w:w="1542"/>
      </w:tblGrid>
      <w:tr>
        <w:trPr>
          <w:tblHeader/>
        </w:trPr>
        <w:tc>
          <w:tcPr>
            <w:tcW w:type="dxa" w:w="3277"/>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Role</w:t>
            </w:r>
          </w:p>
        </w:tc>
        <w:tc>
          <w:tcPr>
            <w:tcW w:type="dxa" w:w="481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Focus</w:t>
            </w:r>
          </w:p>
        </w:tc>
        <w:tc>
          <w:tcPr>
            <w:tcW w:type="dxa" w:w="1542"/>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Load</w:t>
            </w:r>
          </w:p>
        </w:tc>
      </w:tr>
      <w:tr>
        <w:trPr>
          <w:cantSplit/>
        </w:trPr>
        <w:tc>
          <w:tcPr>
            <w:tcW w:type="dxa" w:w="327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Product lead with GRC domain expertise</w:t>
            </w:r>
          </w:p>
        </w:tc>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Use cases, design partner, success measures, what the regulator will ask</w:t>
            </w:r>
          </w:p>
        </w:tc>
        <w:tc>
          <w:tcPr>
            <w:tcW w:type="dxa" w:w="154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Full time</w:t>
            </w:r>
          </w:p>
        </w:tc>
      </w:tr>
      <w:tr>
        <w:trPr>
          <w:cantSplit/>
        </w:trPr>
        <w:tc>
          <w:tcPr>
            <w:tcW w:type="dxa" w:w="327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SAS Risk Cirrus / GCM engineer</w:t>
            </w:r>
          </w:p>
        </w:tc>
        <w:tc>
          <w:tcPr>
            <w:tcW w:type="dxa" w:w="481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GCM object model, API, configuration, SAS administration</w:t>
            </w:r>
          </w:p>
        </w:tc>
        <w:tc>
          <w:tcPr>
            <w:tcW w:type="dxa" w:w="154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Full time</w:t>
            </w:r>
          </w:p>
        </w:tc>
      </w:tr>
      <w:tr>
        <w:trPr>
          <w:cantSplit/>
        </w:trPr>
        <w:tc>
          <w:tcPr>
            <w:tcW w:type="dxa" w:w="327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Backend engineer (connector)</w:t>
            </w:r>
          </w:p>
        </w:tc>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GRC connector MCP server, identities, contract tests</w:t>
            </w:r>
          </w:p>
        </w:tc>
        <w:tc>
          <w:tcPr>
            <w:tcW w:type="dxa" w:w="154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Full time</w:t>
            </w:r>
          </w:p>
        </w:tc>
      </w:tr>
      <w:tr>
        <w:trPr>
          <w:cantSplit/>
        </w:trPr>
        <w:tc>
          <w:tcPr>
            <w:tcW w:type="dxa" w:w="327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Fleet Studio engineer</w:t>
            </w:r>
          </w:p>
        </w:tc>
        <w:tc>
          <w:tcPr>
            <w:tcW w:type="dxa" w:w="481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Workflows, triggers, headless identity in the host agent, packaging</w:t>
            </w:r>
          </w:p>
        </w:tc>
        <w:tc>
          <w:tcPr>
            <w:tcW w:type="dxa" w:w="154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Full time</w:t>
            </w:r>
          </w:p>
        </w:tc>
      </w:tr>
      <w:tr>
        <w:trPr>
          <w:cantSplit/>
        </w:trPr>
        <w:tc>
          <w:tcPr>
            <w:tcW w:type="dxa" w:w="327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AI and evaluation engineer</w:t>
            </w:r>
          </w:p>
        </w:tc>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Agent design, prompts, test packs, model selection and hosting</w:t>
            </w:r>
          </w:p>
        </w:tc>
        <w:tc>
          <w:tcPr>
            <w:tcW w:type="dxa" w:w="154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Full time</w:t>
            </w:r>
          </w:p>
        </w:tc>
      </w:tr>
      <w:tr>
        <w:trPr>
          <w:cantSplit/>
        </w:trPr>
        <w:tc>
          <w:tcPr>
            <w:tcW w:type="dxa" w:w="327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Solution architect / infrastructure</w:t>
            </w:r>
          </w:p>
        </w:tc>
        <w:tc>
          <w:tcPr>
            <w:tcW w:type="dxa" w:w="481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Customer environments, security review, deployment</w:t>
            </w:r>
          </w:p>
        </w:tc>
        <w:tc>
          <w:tcPr>
            <w:tcW w:type="dxa" w:w="154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Half time</w:t>
            </w:r>
          </w:p>
        </w:tc>
      </w:tr>
    </w:tbl>
    <w:p>
      <w:pPr>
        <w:spacing w:after="60"/>
      </w:pPr>
    </w:p>
    <w:p>
      <w:pPr>
        <w:spacing w:after="120" w:line="276"/>
      </w:pPr>
      <w:r>
        <w:rPr>
          <w:b/>
          <w:bCs/>
        </w:rPr>
        <w:t xml:space="preserve">Infrastructure:</w:t>
      </w:r>
      <w:r>
        <w:t xml:space="preserve"> a non-production SAS Viya with GCM and Risk Cirrus (ours or the design partner’s); our existing Viya lab for the SAS MCP side; model hosting that matches what the design partner will accept.</w:t>
      </w:r>
    </w:p>
    <w:p>
      <w:pPr>
        <w:pStyle w:val="Heading1"/>
      </w:pPr>
      <w:r>
        <w:t xml:space="preserve">8. Risks and mitigations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1735"/>
        <w:gridCol w:w="5012"/>
      </w:tblGrid>
      <w:tr>
        <w:trPr>
          <w:tblHeader/>
        </w:trPr>
        <w:tc>
          <w:tcPr>
            <w:tcW w:type="dxa" w:w="2891"/>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Risk</w:t>
            </w:r>
          </w:p>
        </w:tc>
        <w:tc>
          <w:tcPr>
            <w:tcW w:type="dxa" w:w="173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Likelihood / impact</w:t>
            </w:r>
          </w:p>
        </w:tc>
        <w:tc>
          <w:tcPr>
            <w:tcW w:type="dxa" w:w="5012"/>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Mitigation</w:t>
            </w:r>
          </w:p>
        </w:tc>
      </w:tr>
      <w:tr>
        <w:trPr>
          <w:cantSplit/>
        </w:trPr>
        <w:tc>
          <w:tcPr>
            <w:tcW w:type="dxa" w:w="2891"/>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No timely GCM access</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Medium / High</w:t>
            </w:r>
          </w:p>
        </w:tc>
        <w:tc>
          <w:tcPr>
            <w:tcW w:type="dxa" w:w="501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Start the request now through two routes (SAS channel and design partner); phase 1 does not depend on it.</w:t>
            </w:r>
          </w:p>
        </w:tc>
      </w:tr>
      <w:tr>
        <w:trPr>
          <w:cantSplit/>
        </w:trPr>
        <w:tc>
          <w:tcPr>
            <w:tcW w:type="dxa" w:w="2891"/>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SAS ships GRC agents or GCM MCP tools</w:t>
            </w:r>
          </w:p>
        </w:tc>
        <w:tc>
          <w:tcPr>
            <w:tcW w:type="dxa" w:w="173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Medium / Medium</w:t>
            </w:r>
          </w:p>
        </w:tc>
        <w:tc>
          <w:tcPr>
            <w:tcW w:type="dxa" w:w="501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Position as complementary: our governance layer and fleet pack work with SAS’s tools too. Move fast on the design partner and the reference case.</w:t>
            </w:r>
          </w:p>
        </w:tc>
      </w:tr>
      <w:tr>
        <w:trPr>
          <w:cantSplit/>
        </w:trPr>
        <w:tc>
          <w:tcPr>
            <w:tcW w:type="dxa" w:w="2891"/>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Customer GCM configurations differ widely</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High / Medium</w:t>
            </w:r>
          </w:p>
        </w:tc>
        <w:tc>
          <w:tcPr>
            <w:tcW w:type="dxa" w:w="501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Connector discovers the object model; tests per customer; configuration mapping as a delivery step.</w:t>
            </w:r>
          </w:p>
        </w:tc>
      </w:tr>
      <w:tr>
        <w:trPr>
          <w:cantSplit/>
        </w:trPr>
        <w:tc>
          <w:tcPr>
            <w:tcW w:type="dxa" w:w="2891"/>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Risk Cirrus API lacks what we need (links, writes)</w:t>
            </w:r>
          </w:p>
        </w:tc>
        <w:tc>
          <w:tcPr>
            <w:tcW w:type="dxa" w:w="173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Medium / High</w:t>
            </w:r>
          </w:p>
        </w:tc>
        <w:tc>
          <w:tcPr>
            <w:tcW w:type="dxa" w:w="501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Confirm in phase 2 week 1. Fall back to reading GCM reporting tables through Viya, with writes kept manual.</w:t>
            </w:r>
          </w:p>
        </w:tc>
      </w:tr>
      <w:tr>
        <w:trPr>
          <w:cantSplit/>
        </w:trPr>
        <w:tc>
          <w:tcPr>
            <w:tcW w:type="dxa" w:w="2891"/>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Model hosting or data residency blocks the sale</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Medium / High</w:t>
            </w:r>
          </w:p>
        </w:tc>
        <w:tc>
          <w:tcPr>
            <w:tcW w:type="dxa" w:w="501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Decide in phase 0; support on-premises models; per-agent data classes; redaction.</w:t>
            </w:r>
          </w:p>
        </w:tc>
      </w:tr>
      <w:tr>
        <w:trPr>
          <w:cantSplit/>
        </w:trPr>
        <w:tc>
          <w:tcPr>
            <w:tcW w:type="dxa" w:w="2891"/>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Agent quality (wrong root cause, missed obligation)</w:t>
            </w:r>
          </w:p>
        </w:tc>
        <w:tc>
          <w:tcPr>
            <w:tcW w:type="dxa" w:w="173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Medium / High</w:t>
            </w:r>
          </w:p>
        </w:tc>
        <w:tc>
          <w:tcPr>
            <w:tcW w:type="dxa" w:w="501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Hypothesis-only language, Evidence Reviewer, test packs from closed cases, human gates on every material decision.</w:t>
            </w:r>
          </w:p>
        </w:tc>
      </w:tr>
      <w:tr>
        <w:trPr>
          <w:cantSplit/>
        </w:trPr>
        <w:tc>
          <w:tcPr>
            <w:tcW w:type="dxa" w:w="2891"/>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 authentication limits (L4, L5)</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High / Medium</w:t>
            </w:r>
          </w:p>
        </w:tc>
        <w:tc>
          <w:tcPr>
            <w:tcW w:type="dxa" w:w="501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Headless per-agent identity in phase 4; expiry warnings; documented recovery after SAS maintenance.</w:t>
            </w:r>
          </w:p>
        </w:tc>
      </w:tr>
      <w:tr>
        <w:trPr>
          <w:cantSplit/>
        </w:trPr>
        <w:tc>
          <w:tcPr>
            <w:tcW w:type="dxa" w:w="2891"/>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Regulator or auditor acceptance</w:t>
            </w:r>
          </w:p>
        </w:tc>
        <w:tc>
          <w:tcPr>
            <w:tcW w:type="dxa" w:w="173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Medium / High</w:t>
            </w:r>
          </w:p>
        </w:tc>
        <w:tc>
          <w:tcPr>
            <w:tcW w:type="dxa" w:w="501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Validation pack, four-verdict evidence grading, full audit export; involve the partner’s model risk team from phase 3.</w:t>
            </w:r>
          </w:p>
        </w:tc>
      </w:tr>
    </w:tbl>
    <w:p>
      <w:pPr>
        <w:spacing w:after="60"/>
      </w:pPr>
    </w:p>
    <w:p>
      <w:pPr>
        <w:pStyle w:val="Heading1"/>
      </w:pPr>
      <w:r>
        <w:t xml:space="preserve">9. Decisions requested</w:t>
      </w:r>
    </w:p>
    <w:p>
      <w:pPr>
        <w:pStyle w:val="ListParagraph"/>
        <w:numPr>
          <w:ilvl w:val="0"/>
          <w:numId w:val="4"/>
        </w:numPr>
        <w:spacing w:after="80" w:line="264"/>
      </w:pPr>
      <w:r>
        <w:rPr>
          <w:b/>
          <w:bCs/>
        </w:rPr>
        <w:t xml:space="preserve">Approve the direction</w:t>
      </w:r>
      <w:r>
        <w:t xml:space="preserve"> and this plan as the basis for the revised proposal.</w:t>
      </w:r>
    </w:p>
    <w:p>
      <w:pPr>
        <w:pStyle w:val="ListParagraph"/>
        <w:numPr>
          <w:ilvl w:val="0"/>
          <w:numId w:val="4"/>
        </w:numPr>
        <w:spacing w:after="80" w:line="264"/>
      </w:pPr>
      <w:r>
        <w:rPr>
          <w:b/>
          <w:bCs/>
        </w:rPr>
        <w:t xml:space="preserve">Open the GCM access request</w:t>
      </w:r>
      <w:r>
        <w:t xml:space="preserve"> this week, through our SAS channel and through a design-partner candidate.</w:t>
      </w:r>
    </w:p>
    <w:p>
      <w:pPr>
        <w:pStyle w:val="ListParagraph"/>
        <w:numPr>
          <w:ilvl w:val="0"/>
          <w:numId w:val="4"/>
        </w:numPr>
        <w:spacing w:after="80" w:line="264"/>
      </w:pPr>
      <w:r>
        <w:rPr>
          <w:b/>
          <w:bCs/>
        </w:rPr>
        <w:t xml:space="preserve">Name a design-partner customer</w:t>
      </w:r>
      <w:r>
        <w:t xml:space="preserve"> already running SAS Viya and GCM.</w:t>
      </w:r>
    </w:p>
    <w:p>
      <w:pPr>
        <w:pStyle w:val="ListParagraph"/>
        <w:numPr>
          <w:ilvl w:val="0"/>
          <w:numId w:val="4"/>
        </w:numPr>
        <w:spacing w:after="80" w:line="264"/>
      </w:pPr>
      <w:r>
        <w:rPr>
          <w:b/>
          <w:bCs/>
        </w:rPr>
        <w:t xml:space="preserve">Choose the default model hosting</w:t>
      </w:r>
      <w:r>
        <w:t xml:space="preserve"> we will offer regulated customers.</w:t>
      </w:r>
    </w:p>
    <w:p>
      <w:pPr>
        <w:pStyle w:val="ListParagraph"/>
        <w:numPr>
          <w:ilvl w:val="0"/>
          <w:numId w:val="4"/>
        </w:numPr>
        <w:spacing w:after="80" w:line="264"/>
      </w:pPr>
      <w:r>
        <w:rPr>
          <w:b/>
          <w:bCs/>
        </w:rPr>
        <w:t xml:space="preserve">Dedicate the team</w:t>
      </w:r>
      <w:r>
        <w:t xml:space="preserve"> in section 7 for the 22 weeks.</w:t>
      </w:r>
    </w:p>
    <w:p>
      <w:pPr>
        <w:pStyle w:val="ListParagraph"/>
        <w:numPr>
          <w:ilvl w:val="0"/>
          <w:numId w:val="4"/>
        </w:numPr>
        <w:spacing w:after="80" w:line="264"/>
      </w:pPr>
      <w:r>
        <w:rPr>
          <w:b/>
          <w:bCs/>
        </w:rPr>
        <w:t xml:space="preserve">Agree the product boundary:</w:t>
      </w:r>
      <w:r>
        <w:t xml:space="preserve"> we sell the GRC connector, the GRC Fleet Pack and Fleet Studio as one governed product on top of the customer’s SAS licence; we do not replace GCM.</w:t>
      </w:r>
    </w:p>
    <w:p>
      <w:pPr>
        <w:pStyle w:val="Heading1"/>
      </w:pPr>
      <w:r>
        <w:t xml:space="preserve">10. Changes requested to the proposal document</w:t>
      </w:r>
    </w:p>
    <w:p>
      <w:pPr>
        <w:pStyle w:val="ListParagraph"/>
        <w:numPr>
          <w:ilvl w:val="0"/>
          <w:numId w:val="5"/>
        </w:numPr>
        <w:spacing w:after="80" w:line="264"/>
      </w:pPr>
      <w:r>
        <w:t xml:space="preserve">Name the integration layer: our GRC connector plus Fleet Studio. State plainly that SAS provides no GCM tools for agents today.</w:t>
      </w:r>
    </w:p>
    <w:p>
      <w:pPr>
        <w:pStyle w:val="ListParagraph"/>
        <w:numPr>
          <w:ilvl w:val="0"/>
          <w:numId w:val="5"/>
        </w:numPr>
        <w:spacing w:after="80" w:line="264"/>
      </w:pPr>
      <w:r>
        <w:t xml:space="preserve">Add a “Prerequisites” section: GCM on Risk Cirrus, API access, per-agent service identities, model hosting.</w:t>
      </w:r>
    </w:p>
    <w:p>
      <w:pPr>
        <w:pStyle w:val="ListParagraph"/>
        <w:numPr>
          <w:ilvl w:val="0"/>
          <w:numId w:val="5"/>
        </w:numPr>
        <w:spacing w:after="80" w:line="264"/>
      </w:pPr>
      <w:r>
        <w:t xml:space="preserve">Replace the 7-to-12 specialist agents with the five-agent roster, and make figures 1–4 and the table agree.</w:t>
      </w:r>
    </w:p>
    <w:p>
      <w:pPr>
        <w:pStyle w:val="ListParagraph"/>
        <w:numPr>
          <w:ilvl w:val="0"/>
          <w:numId w:val="5"/>
        </w:numPr>
        <w:spacing w:after="80" w:line="264"/>
      </w:pPr>
      <w:r>
        <w:t xml:space="preserve">Add a “How the AI is governed” section (section 5.4 of this response).</w:t>
      </w:r>
    </w:p>
    <w:p>
      <w:pPr>
        <w:pStyle w:val="ListParagraph"/>
        <w:numPr>
          <w:ilvl w:val="0"/>
          <w:numId w:val="5"/>
        </w:numPr>
        <w:spacing w:after="80" w:line="264"/>
      </w:pPr>
      <w:r>
        <w:t xml:space="preserve">Say how signals reach the fleet (use case 2) and how drafts reach GCM (use case 1).</w:t>
      </w:r>
    </w:p>
    <w:p>
      <w:pPr>
        <w:pStyle w:val="ListParagraph"/>
        <w:numPr>
          <w:ilvl w:val="0"/>
          <w:numId w:val="5"/>
        </w:numPr>
        <w:spacing w:after="80" w:line="264"/>
      </w:pPr>
      <w:r>
        <w:t xml:space="preserve">Add success measures: investigation time, evidence completeness, share of findings graded Evidence found, time to impact assessment.</w:t>
      </w:r>
    </w:p>
    <w:p>
      <w:pPr>
        <w:pStyle w:val="ListParagraph"/>
        <w:numPr>
          <w:ilvl w:val="0"/>
          <w:numId w:val="5"/>
        </w:numPr>
        <w:spacing w:after="80" w:line="264"/>
      </w:pPr>
      <w:r>
        <w:t xml:space="preserve">Replace the SAS Enterprise GRC (SAS 9) reference with current GCM on Viya material.</w:t>
      </w:r>
    </w:p>
    <w:p>
      <w:pPr>
        <w:pStyle w:val="ListParagraph"/>
        <w:numPr>
          <w:ilvl w:val="0"/>
          <w:numId w:val="5"/>
        </w:numPr>
        <w:spacing w:after="80" w:line="264"/>
      </w:pPr>
      <w:r>
        <w:t xml:space="preserve">Keep the product name neutral: no SAS or Hermes branding in our product name.</w:t>
      </w:r>
    </w:p>
    <w:p>
      <w:r>
        <w:br w:type="page"/>
      </w:r>
    </w:p>
    <w:p>
      <w:pPr>
        <w:pStyle w:val="Heading1"/>
      </w:pPr>
      <w:r>
        <w:t xml:space="preserve">Appendix A. The 92 tools of the SAS Viya MCP Server</w:t>
      </w:r>
    </w:p>
    <w:p>
      <w:pPr>
        <w:spacing w:after="120" w:line="276"/>
      </w:pPr>
      <w:r>
        <w:t xml:space="preserve">The full tool catalogue of SAS Viya MCP Server </w:t>
      </w:r>
      <w:r>
        <w:rPr>
          <w:b/>
          <w:bCs/>
        </w:rPr>
        <w:t xml:space="preserve">v1.18.0</w:t>
      </w:r>
      <w:r>
        <w:t xml:space="preserve"> (released 29 September 2026; our lab runs 1.16.1), grouped by the ten tiers a deployment can select with MCP_TIERS. Descriptions are condensed from SAS’s README. </w:t>
      </w:r>
      <w:r>
        <w:rPr>
          <w:b/>
          <w:bCs/>
        </w:rPr>
        <w:t xml:space="preserve">Access</w:t>
      </w:r>
      <w:r>
        <w:t xml:space="preserve"> is SAS’s own classification (src/sas_mcp_server/tools/_access.py): </w:t>
      </w:r>
      <w:r>
        <w:rPr>
          <w:b/>
          <w:bCs/>
        </w:rPr>
        <w:t xml:space="preserve">Read-only</w:t>
      </w:r>
      <w:r>
        <w:t xml:space="preserve"> tools are the 51 exposed with MCP_READ_ONLY=true; </w:t>
      </w:r>
      <w:r>
        <w:rPr>
          <w:b/>
          <w:bCs/>
        </w:rPr>
        <w:t xml:space="preserve">Write</w:t>
      </w:r>
      <w:r>
        <w:t xml:space="preserve"> tools change state or start server-side work; </w:t>
      </w:r>
      <w:r>
        <w:rPr>
          <w:b/>
          <w:bCs/>
        </w:rPr>
        <w:t xml:space="preserve">Destructive</w:t>
      </w:r>
      <w:r>
        <w:t xml:space="preserve"> tools can remove or overwrite existing state. </w:t>
      </w:r>
      <w:r>
        <w:rPr>
          <w:b/>
          <w:bCs/>
        </w:rPr>
        <w:t xml:space="preserve">GRC use</w:t>
      </w:r>
      <w:r>
        <w:t xml:space="preserve"> is our reading of each tool’s value to the agentic GRC product; “Blocked” means our blueprint policy would deny it to agents even where SAS allows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12"/>
        <w:gridCol w:w="1157"/>
        <w:gridCol w:w="1157"/>
        <w:gridCol w:w="1157"/>
        <w:gridCol w:w="1155"/>
      </w:tblGrid>
      <w:tr>
        <w:trPr>
          <w:tblHeader/>
        </w:trPr>
        <w:tc>
          <w:tcPr>
            <w:tcW w:type="dxa" w:w="5012"/>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Tier</w:t>
            </w:r>
          </w:p>
        </w:tc>
        <w:tc>
          <w:tcPr>
            <w:tcW w:type="dxa" w:w="1157"/>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Tools</w:t>
            </w:r>
          </w:p>
        </w:tc>
        <w:tc>
          <w:tcPr>
            <w:tcW w:type="dxa" w:w="1157"/>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Read-only</w:t>
            </w:r>
          </w:p>
        </w:tc>
        <w:tc>
          <w:tcPr>
            <w:tcW w:type="dxa" w:w="1157"/>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Write</w:t>
            </w:r>
          </w:p>
        </w:tc>
        <w:tc>
          <w:tcPr>
            <w:tcW w:type="dxa" w:w="115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Destructive</w:t>
            </w:r>
          </w:p>
        </w:tc>
      </w:tr>
      <w:tr>
        <w:trPr>
          <w:cantSplit/>
        </w:trPr>
        <w:tc>
          <w:tcPr>
            <w:tcW w:type="dxa" w:w="501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Tier 0 — Compute Contexts &amp; Code Execution</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3</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1</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0</w:t>
            </w:r>
          </w:p>
        </w:tc>
        <w:tc>
          <w:tcPr>
            <w:tcW w:type="dxa" w:w="115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2</w:t>
            </w:r>
          </w:p>
        </w:tc>
      </w:tr>
      <w:tr>
        <w:trPr>
          <w:cantSplit/>
        </w:trPr>
        <w:tc>
          <w:tcPr>
            <w:tcW w:type="dxa" w:w="501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Tier 1 — Data Discovery</w:t>
            </w:r>
          </w:p>
        </w:tc>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21</w:t>
            </w:r>
          </w:p>
        </w:tc>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18</w:t>
            </w:r>
          </w:p>
        </w:tc>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3</w:t>
            </w:r>
          </w:p>
        </w:tc>
        <w:tc>
          <w:tcPr>
            <w:tcW w:type="dxa" w:w="115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0</w:t>
            </w:r>
          </w:p>
        </w:tc>
      </w:tr>
      <w:tr>
        <w:trPr>
          <w:cantSplit/>
        </w:trPr>
        <w:tc>
          <w:tcPr>
            <w:tcW w:type="dxa" w:w="501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Tier 2 — Data Operations &amp; Files</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6</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2</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4</w:t>
            </w:r>
          </w:p>
        </w:tc>
        <w:tc>
          <w:tcPr>
            <w:tcW w:type="dxa" w:w="115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0</w:t>
            </w:r>
          </w:p>
        </w:tc>
      </w:tr>
      <w:tr>
        <w:trPr>
          <w:cantSplit/>
        </w:trPr>
        <w:tc>
          <w:tcPr>
            <w:tcW w:type="dxa" w:w="501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Tier 3 — Reports &amp; Visualization</w:t>
            </w:r>
          </w:p>
        </w:tc>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9</w:t>
            </w:r>
          </w:p>
        </w:tc>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5</w:t>
            </w:r>
          </w:p>
        </w:tc>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0</w:t>
            </w:r>
          </w:p>
        </w:tc>
        <w:tc>
          <w:tcPr>
            <w:tcW w:type="dxa" w:w="115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4</w:t>
            </w:r>
          </w:p>
        </w:tc>
      </w:tr>
      <w:tr>
        <w:trPr>
          <w:cantSplit/>
        </w:trPr>
        <w:tc>
          <w:tcPr>
            <w:tcW w:type="dxa" w:w="501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Tier 4 — Batch Jobs &amp; Async Execution</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5</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3</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0</w:t>
            </w:r>
          </w:p>
        </w:tc>
        <w:tc>
          <w:tcPr>
            <w:tcW w:type="dxa" w:w="115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2</w:t>
            </w:r>
          </w:p>
        </w:tc>
      </w:tr>
      <w:tr>
        <w:trPr>
          <w:cantSplit/>
        </w:trPr>
        <w:tc>
          <w:tcPr>
            <w:tcW w:type="dxa" w:w="501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Tier 5 — Automated Machine Learning</w:t>
            </w:r>
          </w:p>
        </w:tc>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5</w:t>
            </w:r>
          </w:p>
        </w:tc>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1</w:t>
            </w:r>
          </w:p>
        </w:tc>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3</w:t>
            </w:r>
          </w:p>
        </w:tc>
        <w:tc>
          <w:tcPr>
            <w:tcW w:type="dxa" w:w="115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1</w:t>
            </w:r>
          </w:p>
        </w:tc>
      </w:tr>
      <w:tr>
        <w:trPr>
          <w:cantSplit/>
        </w:trPr>
        <w:tc>
          <w:tcPr>
            <w:tcW w:type="dxa" w:w="501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Tier 6 — Model Management &amp; Scoring</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5</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4</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1</w:t>
            </w:r>
          </w:p>
        </w:tc>
        <w:tc>
          <w:tcPr>
            <w:tcW w:type="dxa" w:w="115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0</w:t>
            </w:r>
          </w:p>
        </w:tc>
      </w:tr>
      <w:tr>
        <w:trPr>
          <w:cantSplit/>
        </w:trPr>
        <w:tc>
          <w:tcPr>
            <w:tcW w:type="dxa" w:w="501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Tier 7 — Decisioning (SAS Intelligent Decisioning)</w:t>
            </w:r>
          </w:p>
        </w:tc>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22</w:t>
            </w:r>
          </w:p>
        </w:tc>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10</w:t>
            </w:r>
          </w:p>
        </w:tc>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6</w:t>
            </w:r>
          </w:p>
        </w:tc>
        <w:tc>
          <w:tcPr>
            <w:tcW w:type="dxa" w:w="115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6</w:t>
            </w:r>
          </w:p>
        </w:tc>
      </w:tr>
      <w:tr>
        <w:trPr>
          <w:cantSplit/>
        </w:trPr>
        <w:tc>
          <w:tcPr>
            <w:tcW w:type="dxa" w:w="501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Tier 8 — Workbench (Execute Code Only)</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1</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0</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0</w:t>
            </w:r>
          </w:p>
        </w:tc>
        <w:tc>
          <w:tcPr>
            <w:tcW w:type="dxa" w:w="115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1</w:t>
            </w:r>
          </w:p>
        </w:tc>
      </w:tr>
      <w:tr>
        <w:trPr>
          <w:cantSplit/>
        </w:trPr>
        <w:tc>
          <w:tcPr>
            <w:tcW w:type="dxa" w:w="501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Tier 9 — Business Glossary (SAS Data Governance)</w:t>
            </w:r>
          </w:p>
        </w:tc>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16</w:t>
            </w:r>
          </w:p>
        </w:tc>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7</w:t>
            </w:r>
          </w:p>
        </w:tc>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3</w:t>
            </w:r>
          </w:p>
        </w:tc>
        <w:tc>
          <w:tcPr>
            <w:tcW w:type="dxa" w:w="115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6</w:t>
            </w:r>
          </w:p>
        </w:tc>
      </w:tr>
      <w:tr>
        <w:trPr>
          <w:cantSplit/>
        </w:trPr>
        <w:tc>
          <w:tcPr>
            <w:tcW w:type="dxa" w:w="501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Total (unique; execute_sas_code is in Tiers 0 and 8)</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92</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51</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20</w:t>
            </w:r>
          </w:p>
        </w:tc>
        <w:tc>
          <w:tcPr>
            <w:tcW w:type="dxa" w:w="115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21</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DECEA" w:sz="4"/>
              <w:left w:val="single" w:color="C0392B" w:sz="24"/>
              <w:bottom w:val="single" w:color="FDECEA" w:sz="4"/>
              <w:right w:val="single" w:color="FDECEA" w:sz="4"/>
            </w:tcBorders>
            <w:shd w:fill="FDECEA" w:color="auto" w:val="clear"/>
            <w:tcMar>
              <w:top w:type="dxa" w:w="120"/>
              <w:left w:type="dxa" w:w="200"/>
              <w:bottom w:type="dxa" w:w="120"/>
              <w:right w:type="dxa" w:w="200"/>
            </w:tcMar>
          </w:tcPr>
          <w:p>
            <w:pPr>
              <w:spacing w:after="80"/>
            </w:pPr>
            <w:r>
              <w:rPr>
                <w:b/>
                <w:bCs/>
                <w:color w:val="C0392B"/>
                <w:sz w:val="20"/>
                <w:szCs w:val="20"/>
              </w:rPr>
              <w:t xml:space="preserve">What is not in the catalogue</w:t>
            </w:r>
          </w:p>
          <w:p>
            <w:pPr>
              <w:spacing w:after="60"/>
            </w:pPr>
            <w:r>
              <w:rPr>
                <w:sz w:val="20"/>
                <w:szCs w:val="20"/>
              </w:rPr>
              <w:t xml:space="preserve">No tool reads or writes SAS Governance &amp; Compliance Manager, SAS Risk Cirrus, SAS Model Risk Management or any other SAS risk solution. Risks, controls, incidents, loss events, KRIs as GRC objects, policies, obligations, issues and action plans cannot be reached through any of the 92 tools.</w:t>
            </w:r>
          </w:p>
        </w:tc>
      </w:tr>
    </w:tbl>
    <w:p>
      <w:pPr>
        <w:pStyle w:val="Heading2"/>
      </w:pPr>
      <w:r>
        <w:t xml:space="preserve">Tier 0 — Compute Contexts &amp; Code Execution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88"/>
        <w:gridCol w:w="3855"/>
        <w:gridCol w:w="1060"/>
        <w:gridCol w:w="1735"/>
      </w:tblGrid>
      <w:tr>
        <w:trPr>
          <w:tblHeader/>
        </w:trPr>
        <w:tc>
          <w:tcPr>
            <w:tcW w:type="dxa" w:w="2988"/>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Tool</w:t>
            </w:r>
          </w:p>
        </w:tc>
        <w:tc>
          <w:tcPr>
            <w:tcW w:type="dxa" w:w="385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What it does</w:t>
            </w:r>
          </w:p>
        </w:tc>
        <w:tc>
          <w:tcPr>
            <w:tcW w:type="dxa" w:w="1060"/>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Access</w:t>
            </w:r>
          </w:p>
        </w:tc>
        <w:tc>
          <w:tcPr>
            <w:tcW w:type="dxa" w:w="173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GRC use</w:t>
            </w:r>
          </w:p>
        </w:tc>
      </w:tr>
      <w:tr>
        <w:trPr>
          <w:cantSplit/>
        </w:trPr>
        <w:tc>
          <w:tcPr>
            <w:tcW w:type="dxa" w:w="298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execute_sas_code</w:t>
            </w:r>
          </w:p>
        </w:tc>
        <w:tc>
          <w:tcPr>
            <w:tcW w:type="dxa" w:w="385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Run SAS code in a reusable per-user compute session; returns log, listing and a link to HTML results</w:t>
            </w:r>
          </w:p>
        </w:tc>
        <w:tc>
          <w:tcPr>
            <w:tcW w:type="dxa" w:w="106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color w:val="C0392B"/>
                <w:sz w:val="18"/>
                <w:szCs w:val="18"/>
              </w:rPr>
              <w:t xml:space="preserve">Destructive</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Blocked by policy (arbitrary code)</w:t>
            </w:r>
          </w:p>
        </w:tc>
      </w:tr>
      <w:tr>
        <w:trPr>
          <w:cantSplit/>
        </w:trPr>
        <w:tc>
          <w:tcPr>
            <w:tcW w:type="dxa" w:w="2988"/>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sz w:val="18"/>
                <w:szCs w:val="18"/>
              </w:rPr>
              <w:t xml:space="preserve">list_compute_contexts</w:t>
            </w:r>
          </w:p>
        </w:tc>
        <w:tc>
          <w:tcPr>
            <w:tcW w:type="dxa" w:w="385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List the available compute contexts</w:t>
            </w:r>
          </w:p>
        </w:tc>
        <w:tc>
          <w:tcPr>
            <w:tcW w:type="dxa" w:w="1060"/>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color w:val="2E8B57"/>
                <w:sz w:val="18"/>
                <w:szCs w:val="18"/>
              </w:rPr>
              <w:t xml:space="preserve">Read-only</w:t>
            </w:r>
          </w:p>
        </w:tc>
        <w:tc>
          <w:tcPr>
            <w:tcW w:type="dxa" w:w="173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Setup only</w:t>
            </w:r>
          </w:p>
        </w:tc>
      </w:tr>
      <w:tr>
        <w:trPr>
          <w:cantSplit/>
        </w:trPr>
        <w:tc>
          <w:tcPr>
            <w:tcW w:type="dxa" w:w="298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reset_compute_session</w:t>
            </w:r>
          </w:p>
        </w:tc>
        <w:tc>
          <w:tcPr>
            <w:tcW w:type="dxa" w:w="385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Discard the cached compute session and its SAS state</w:t>
            </w:r>
          </w:p>
        </w:tc>
        <w:tc>
          <w:tcPr>
            <w:tcW w:type="dxa" w:w="106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color w:val="C0392B"/>
                <w:sz w:val="18"/>
                <w:szCs w:val="18"/>
              </w:rPr>
              <w:t xml:space="preserve">Destructive</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w:t>
            </w:r>
          </w:p>
        </w:tc>
      </w:tr>
    </w:tbl>
    <w:p>
      <w:pPr>
        <w:pStyle w:val="Heading2"/>
      </w:pPr>
      <w:r>
        <w:t xml:space="preserve">Tier 1 — Data Discovery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88"/>
        <w:gridCol w:w="3855"/>
        <w:gridCol w:w="1060"/>
        <w:gridCol w:w="1735"/>
      </w:tblGrid>
      <w:tr>
        <w:trPr>
          <w:tblHeader/>
        </w:trPr>
        <w:tc>
          <w:tcPr>
            <w:tcW w:type="dxa" w:w="2988"/>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Tool</w:t>
            </w:r>
          </w:p>
        </w:tc>
        <w:tc>
          <w:tcPr>
            <w:tcW w:type="dxa" w:w="385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What it does</w:t>
            </w:r>
          </w:p>
        </w:tc>
        <w:tc>
          <w:tcPr>
            <w:tcW w:type="dxa" w:w="1060"/>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Access</w:t>
            </w:r>
          </w:p>
        </w:tc>
        <w:tc>
          <w:tcPr>
            <w:tcW w:type="dxa" w:w="173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GRC use</w:t>
            </w:r>
          </w:p>
        </w:tc>
      </w:tr>
      <w:tr>
        <w:trPr>
          <w:cantSplit/>
        </w:trPr>
        <w:tc>
          <w:tcPr>
            <w:tcW w:type="dxa" w:w="298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catalog_search</w:t>
            </w:r>
          </w:p>
        </w:tc>
        <w:tc>
          <w:tcPr>
            <w:tcW w:type="dxa" w:w="385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Search the SAS Information Catalog for tables, columns, reports and other assets, with facets and ranges</w:t>
            </w:r>
          </w:p>
        </w:tc>
        <w:tc>
          <w:tcPr>
            <w:tcW w:type="dxa" w:w="106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color w:val="2E8B57"/>
                <w:sz w:val="18"/>
                <w:szCs w:val="18"/>
              </w:rPr>
              <w:t xml:space="preserve">Read-only</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Find loss, incident and KRI data</w:t>
            </w:r>
          </w:p>
        </w:tc>
      </w:tr>
      <w:tr>
        <w:trPr>
          <w:cantSplit/>
        </w:trPr>
        <w:tc>
          <w:tcPr>
            <w:tcW w:type="dxa" w:w="2988"/>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sz w:val="18"/>
                <w:szCs w:val="18"/>
              </w:rPr>
              <w:t xml:space="preserve">catalog_search_helper</w:t>
            </w:r>
          </w:p>
        </w:tc>
        <w:tc>
          <w:tcPr>
            <w:tcW w:type="dxa" w:w="385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List catalog facets and their valid values, to build precise searches</w:t>
            </w:r>
          </w:p>
        </w:tc>
        <w:tc>
          <w:tcPr>
            <w:tcW w:type="dxa" w:w="1060"/>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color w:val="2E8B57"/>
                <w:sz w:val="18"/>
                <w:szCs w:val="18"/>
              </w:rPr>
              <w:t xml:space="preserve">Read-only</w:t>
            </w:r>
          </w:p>
        </w:tc>
        <w:tc>
          <w:tcPr>
            <w:tcW w:type="dxa" w:w="173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Supports search</w:t>
            </w:r>
          </w:p>
        </w:tc>
      </w:tr>
      <w:tr>
        <w:trPr>
          <w:cantSplit/>
        </w:trPr>
        <w:tc>
          <w:tcPr>
            <w:tcW w:type="dxa" w:w="298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catalog_find_instance</w:t>
            </w:r>
          </w:p>
        </w:tc>
        <w:tc>
          <w:tcPr>
            <w:tcW w:type="dxa" w:w="385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Resolve the catalog instance behind a search hit, for profiling and download</w:t>
            </w:r>
          </w:p>
        </w:tc>
        <w:tc>
          <w:tcPr>
            <w:tcW w:type="dxa" w:w="106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color w:val="2E8B57"/>
                <w:sz w:val="18"/>
                <w:szCs w:val="18"/>
              </w:rPr>
              <w:t xml:space="preserve">Read-only</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Supports search</w:t>
            </w:r>
          </w:p>
        </w:tc>
      </w:tr>
      <w:tr>
        <w:trPr>
          <w:cantSplit/>
        </w:trPr>
        <w:tc>
          <w:tcPr>
            <w:tcW w:type="dxa" w:w="2988"/>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sz w:val="18"/>
                <w:szCs w:val="18"/>
              </w:rPr>
              <w:t xml:space="preserve">catalog_run_adhoc_analysis</w:t>
            </w:r>
          </w:p>
        </w:tc>
        <w:tc>
          <w:tcPr>
            <w:tcW w:type="dxa" w:w="385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Start a profiling job on a table (NLP enrichment: privacy, tags, key fields)</w:t>
            </w:r>
          </w:p>
        </w:tc>
        <w:tc>
          <w:tcPr>
            <w:tcW w:type="dxa" w:w="1060"/>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color w:val="B7791F"/>
                <w:sz w:val="18"/>
                <w:szCs w:val="18"/>
              </w:rPr>
              <w:t xml:space="preserve">Write</w:t>
            </w:r>
          </w:p>
        </w:tc>
        <w:tc>
          <w:tcPr>
            <w:tcW w:type="dxa" w:w="173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Data quality checks (starts a job)</w:t>
            </w:r>
          </w:p>
        </w:tc>
      </w:tr>
      <w:tr>
        <w:trPr>
          <w:cantSplit/>
        </w:trPr>
        <w:tc>
          <w:tcPr>
            <w:tcW w:type="dxa" w:w="298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catalog_get_adhoc_analysis</w:t>
            </w:r>
          </w:p>
        </w:tc>
        <w:tc>
          <w:tcPr>
            <w:tcW w:type="dxa" w:w="385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Poll a profiling job until the profile is ready</w:t>
            </w:r>
          </w:p>
        </w:tc>
        <w:tc>
          <w:tcPr>
            <w:tcW w:type="dxa" w:w="106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color w:val="2E8B57"/>
                <w:sz w:val="18"/>
                <w:szCs w:val="18"/>
              </w:rPr>
              <w:t xml:space="preserve">Read-only</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Data quality checks</w:t>
            </w:r>
          </w:p>
        </w:tc>
      </w:tr>
      <w:tr>
        <w:trPr>
          <w:cantSplit/>
        </w:trPr>
        <w:tc>
          <w:tcPr>
            <w:tcW w:type="dxa" w:w="2988"/>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sz w:val="18"/>
                <w:szCs w:val="18"/>
              </w:rPr>
              <w:t xml:space="preserve">catalog_download_table_profile</w:t>
            </w:r>
          </w:p>
        </w:tc>
        <w:tc>
          <w:tcPr>
            <w:tcW w:type="dxa" w:w="385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Download a table’s data dictionary and column profile as CSV</w:t>
            </w:r>
          </w:p>
        </w:tc>
        <w:tc>
          <w:tcPr>
            <w:tcW w:type="dxa" w:w="1060"/>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color w:val="2E8B57"/>
                <w:sz w:val="18"/>
                <w:szCs w:val="18"/>
              </w:rPr>
              <w:t xml:space="preserve">Read-only</w:t>
            </w:r>
          </w:p>
        </w:tc>
        <w:tc>
          <w:tcPr>
            <w:tcW w:type="dxa" w:w="173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Evidence of data quality</w:t>
            </w:r>
          </w:p>
        </w:tc>
      </w:tr>
      <w:tr>
        <w:trPr>
          <w:cantSplit/>
        </w:trPr>
        <w:tc>
          <w:tcPr>
            <w:tcW w:type="dxa" w:w="298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catalog_list_agents</w:t>
            </w:r>
          </w:p>
        </w:tc>
        <w:tc>
          <w:tcPr>
            <w:tcW w:type="dxa" w:w="385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List the catalog’s discovery agents (metadata crawlers)</w:t>
            </w:r>
          </w:p>
        </w:tc>
        <w:tc>
          <w:tcPr>
            <w:tcW w:type="dxa" w:w="106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color w:val="2E8B57"/>
                <w:sz w:val="18"/>
                <w:szCs w:val="18"/>
              </w:rPr>
              <w:t xml:space="preserve">Read-only</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w:t>
            </w:r>
          </w:p>
        </w:tc>
      </w:tr>
      <w:tr>
        <w:trPr>
          <w:cantSplit/>
        </w:trPr>
        <w:tc>
          <w:tcPr>
            <w:tcW w:type="dxa" w:w="2988"/>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sz w:val="18"/>
                <w:szCs w:val="18"/>
              </w:rPr>
              <w:t xml:space="preserve">catalog_run_agent</w:t>
            </w:r>
          </w:p>
        </w:tc>
        <w:tc>
          <w:tcPr>
            <w:tcW w:type="dxa" w:w="385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Start a discovery agent run to refresh catalog metadata</w:t>
            </w:r>
          </w:p>
        </w:tc>
        <w:tc>
          <w:tcPr>
            <w:tcW w:type="dxa" w:w="1060"/>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color w:val="B7791F"/>
                <w:sz w:val="18"/>
                <w:szCs w:val="18"/>
              </w:rPr>
              <w:t xml:space="preserve">Write</w:t>
            </w:r>
          </w:p>
        </w:tc>
        <w:tc>
          <w:tcPr>
            <w:tcW w:type="dxa" w:w="173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w:t>
            </w:r>
          </w:p>
        </w:tc>
      </w:tr>
      <w:tr>
        <w:trPr>
          <w:cantSplit/>
        </w:trPr>
        <w:tc>
          <w:tcPr>
            <w:tcW w:type="dxa" w:w="298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catalog_get_agent_history</w:t>
            </w:r>
          </w:p>
        </w:tc>
        <w:tc>
          <w:tcPr>
            <w:tcW w:type="dxa" w:w="385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Run history of a discovery agent: what each run added, updated or removed</w:t>
            </w:r>
          </w:p>
        </w:tc>
        <w:tc>
          <w:tcPr>
            <w:tcW w:type="dxa" w:w="106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color w:val="2E8B57"/>
                <w:sz w:val="18"/>
                <w:szCs w:val="18"/>
              </w:rPr>
              <w:t xml:space="preserve">Read-only</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Data lineage evidence</w:t>
            </w:r>
          </w:p>
        </w:tc>
      </w:tr>
      <w:tr>
        <w:trPr>
          <w:cantSplit/>
        </w:trPr>
        <w:tc>
          <w:tcPr>
            <w:tcW w:type="dxa" w:w="2988"/>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sz w:val="18"/>
                <w:szCs w:val="18"/>
              </w:rPr>
              <w:t xml:space="preserve">list_cas_servers</w:t>
            </w:r>
          </w:p>
        </w:tc>
        <w:tc>
          <w:tcPr>
            <w:tcW w:type="dxa" w:w="385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List the CAS servers</w:t>
            </w:r>
          </w:p>
        </w:tc>
        <w:tc>
          <w:tcPr>
            <w:tcW w:type="dxa" w:w="1060"/>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color w:val="2E8B57"/>
                <w:sz w:val="18"/>
                <w:szCs w:val="18"/>
              </w:rPr>
              <w:t xml:space="preserve">Read-only</w:t>
            </w:r>
          </w:p>
        </w:tc>
        <w:tc>
          <w:tcPr>
            <w:tcW w:type="dxa" w:w="173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Setup only</w:t>
            </w:r>
          </w:p>
        </w:tc>
      </w:tr>
      <w:tr>
        <w:trPr>
          <w:cantSplit/>
        </w:trPr>
        <w:tc>
          <w:tcPr>
            <w:tcW w:type="dxa" w:w="298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list_caslibs</w:t>
            </w:r>
          </w:p>
        </w:tc>
        <w:tc>
          <w:tcPr>
            <w:tcW w:type="dxa" w:w="385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List the CAS libraries on a server</w:t>
            </w:r>
          </w:p>
        </w:tc>
        <w:tc>
          <w:tcPr>
            <w:tcW w:type="dxa" w:w="106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color w:val="2E8B57"/>
                <w:sz w:val="18"/>
                <w:szCs w:val="18"/>
              </w:rPr>
              <w:t xml:space="preserve">Read-only</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Locate GRC data</w:t>
            </w:r>
          </w:p>
        </w:tc>
      </w:tr>
      <w:tr>
        <w:trPr>
          <w:cantSplit/>
        </w:trPr>
        <w:tc>
          <w:tcPr>
            <w:tcW w:type="dxa" w:w="2988"/>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sz w:val="18"/>
                <w:szCs w:val="18"/>
              </w:rPr>
              <w:t xml:space="preserve">list_castables</w:t>
            </w:r>
          </w:p>
        </w:tc>
        <w:tc>
          <w:tcPr>
            <w:tcW w:type="dxa" w:w="385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List the tables in a CAS library</w:t>
            </w:r>
          </w:p>
        </w:tc>
        <w:tc>
          <w:tcPr>
            <w:tcW w:type="dxa" w:w="1060"/>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color w:val="2E8B57"/>
                <w:sz w:val="18"/>
                <w:szCs w:val="18"/>
              </w:rPr>
              <w:t xml:space="preserve">Read-only</w:t>
            </w:r>
          </w:p>
        </w:tc>
        <w:tc>
          <w:tcPr>
            <w:tcW w:type="dxa" w:w="173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Locate GRC data</w:t>
            </w:r>
          </w:p>
        </w:tc>
      </w:tr>
      <w:tr>
        <w:trPr>
          <w:cantSplit/>
        </w:trPr>
        <w:tc>
          <w:tcPr>
            <w:tcW w:type="dxa" w:w="298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list_source_tables</w:t>
            </w:r>
          </w:p>
        </w:tc>
        <w:tc>
          <w:tcPr>
            <w:tcW w:type="dxa" w:w="385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List source tables not yet loaded into memory</w:t>
            </w:r>
          </w:p>
        </w:tc>
        <w:tc>
          <w:tcPr>
            <w:tcW w:type="dxa" w:w="106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color w:val="2E8B57"/>
                <w:sz w:val="18"/>
                <w:szCs w:val="18"/>
              </w:rPr>
              <w:t xml:space="preserve">Read-only</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Locate GRC data</w:t>
            </w:r>
          </w:p>
        </w:tc>
      </w:tr>
      <w:tr>
        <w:trPr>
          <w:cantSplit/>
        </w:trPr>
        <w:tc>
          <w:tcPr>
            <w:tcW w:type="dxa" w:w="2988"/>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sz w:val="18"/>
                <w:szCs w:val="18"/>
              </w:rPr>
              <w:t xml:space="preserve">get_castable_info</w:t>
            </w:r>
          </w:p>
        </w:tc>
        <w:tc>
          <w:tcPr>
            <w:tcW w:type="dxa" w:w="385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Table metadata: row count, columns, size</w:t>
            </w:r>
          </w:p>
        </w:tc>
        <w:tc>
          <w:tcPr>
            <w:tcW w:type="dxa" w:w="1060"/>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color w:val="2E8B57"/>
                <w:sz w:val="18"/>
                <w:szCs w:val="18"/>
              </w:rPr>
              <w:t xml:space="preserve">Read-only</w:t>
            </w:r>
          </w:p>
        </w:tc>
        <w:tc>
          <w:tcPr>
            <w:tcW w:type="dxa" w:w="173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Context for evidence</w:t>
            </w:r>
          </w:p>
        </w:tc>
      </w:tr>
      <w:tr>
        <w:trPr>
          <w:cantSplit/>
        </w:trPr>
        <w:tc>
          <w:tcPr>
            <w:tcW w:type="dxa" w:w="298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get_castable_columns</w:t>
            </w:r>
          </w:p>
        </w:tc>
        <w:tc>
          <w:tcPr>
            <w:tcW w:type="dxa" w:w="385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Column names, types, labels and formats</w:t>
            </w:r>
          </w:p>
        </w:tc>
        <w:tc>
          <w:tcPr>
            <w:tcW w:type="dxa" w:w="106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color w:val="2E8B57"/>
                <w:sz w:val="18"/>
                <w:szCs w:val="18"/>
              </w:rPr>
              <w:t xml:space="preserve">Read-only</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Context for evidence</w:t>
            </w:r>
          </w:p>
        </w:tc>
      </w:tr>
      <w:tr>
        <w:trPr>
          <w:cantSplit/>
        </w:trPr>
        <w:tc>
          <w:tcPr>
            <w:tcW w:type="dxa" w:w="2988"/>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sz w:val="18"/>
                <w:szCs w:val="18"/>
              </w:rPr>
              <w:t xml:space="preserve">get_castable_data</w:t>
            </w:r>
          </w:p>
        </w:tc>
        <w:tc>
          <w:tcPr>
            <w:tcW w:type="dxa" w:w="385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Fetch sample rows from a CAS table</w:t>
            </w:r>
          </w:p>
        </w:tc>
        <w:tc>
          <w:tcPr>
            <w:tcW w:type="dxa" w:w="1060"/>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color w:val="2E8B57"/>
                <w:sz w:val="18"/>
                <w:szCs w:val="18"/>
              </w:rPr>
              <w:t xml:space="preserve">Read-only</w:t>
            </w:r>
          </w:p>
        </w:tc>
        <w:tc>
          <w:tcPr>
            <w:tcW w:type="dxa" w:w="173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sz w:val="18"/>
                <w:szCs w:val="18"/>
              </w:rPr>
              <w:t xml:space="preserve">Core:</w:t>
            </w:r>
            <w:r>
              <w:rPr>
                <w:sz w:val="18"/>
                <w:szCs w:val="18"/>
              </w:rPr>
              <w:t xml:space="preserve"> KRI values, losses, incidents held in Viya</w:t>
            </w:r>
          </w:p>
        </w:tc>
      </w:tr>
      <w:tr>
        <w:trPr>
          <w:cantSplit/>
        </w:trPr>
        <w:tc>
          <w:tcPr>
            <w:tcW w:type="dxa" w:w="298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query_data</w:t>
            </w:r>
          </w:p>
        </w:tc>
        <w:tc>
          <w:tcPr>
            <w:tcW w:type="dxa" w:w="385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Run a FedSQL SELECT against CAS or compute data (joins, aggregation); SAS classes it as write because it runs a job</w:t>
            </w:r>
          </w:p>
        </w:tc>
        <w:tc>
          <w:tcPr>
            <w:tcW w:type="dxa" w:w="106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color w:val="B7791F"/>
                <w:sz w:val="18"/>
                <w:szCs w:val="18"/>
              </w:rPr>
              <w:t xml:space="preserve">Write</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Core</w:t>
            </w:r>
            <w:r>
              <w:rPr>
                <w:sz w:val="18"/>
                <w:szCs w:val="18"/>
              </w:rPr>
              <w:t xml:space="preserve"> once allowed: KRI trends, loss aggregation</w:t>
            </w:r>
          </w:p>
        </w:tc>
      </w:tr>
      <w:tr>
        <w:trPr>
          <w:cantSplit/>
        </w:trPr>
        <w:tc>
          <w:tcPr>
            <w:tcW w:type="dxa" w:w="2988"/>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sz w:val="18"/>
                <w:szCs w:val="18"/>
              </w:rPr>
              <w:t xml:space="preserve">list_compute_libraries</w:t>
            </w:r>
          </w:p>
        </w:tc>
        <w:tc>
          <w:tcPr>
            <w:tcW w:type="dxa" w:w="385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List the SAS libraries assigned in a compute context</w:t>
            </w:r>
          </w:p>
        </w:tc>
        <w:tc>
          <w:tcPr>
            <w:tcW w:type="dxa" w:w="1060"/>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color w:val="2E8B57"/>
                <w:sz w:val="18"/>
                <w:szCs w:val="18"/>
              </w:rPr>
              <w:t xml:space="preserve">Read-only</w:t>
            </w:r>
          </w:p>
        </w:tc>
        <w:tc>
          <w:tcPr>
            <w:tcW w:type="dxa" w:w="173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Locate GRC data</w:t>
            </w:r>
          </w:p>
        </w:tc>
      </w:tr>
      <w:tr>
        <w:trPr>
          <w:cantSplit/>
        </w:trPr>
        <w:tc>
          <w:tcPr>
            <w:tcW w:type="dxa" w:w="298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list_compute_tables</w:t>
            </w:r>
          </w:p>
        </w:tc>
        <w:tc>
          <w:tcPr>
            <w:tcW w:type="dxa" w:w="385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List the tables in a SAS library</w:t>
            </w:r>
          </w:p>
        </w:tc>
        <w:tc>
          <w:tcPr>
            <w:tcW w:type="dxa" w:w="106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color w:val="2E8B57"/>
                <w:sz w:val="18"/>
                <w:szCs w:val="18"/>
              </w:rPr>
              <w:t xml:space="preserve">Read-only</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Locate GRC data</w:t>
            </w:r>
          </w:p>
        </w:tc>
      </w:tr>
      <w:tr>
        <w:trPr>
          <w:cantSplit/>
        </w:trPr>
        <w:tc>
          <w:tcPr>
            <w:tcW w:type="dxa" w:w="2988"/>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sz w:val="18"/>
                <w:szCs w:val="18"/>
              </w:rPr>
              <w:t xml:space="preserve">list_compute_columns</w:t>
            </w:r>
          </w:p>
        </w:tc>
        <w:tc>
          <w:tcPr>
            <w:tcW w:type="dxa" w:w="385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List the columns of a table in a SAS library</w:t>
            </w:r>
          </w:p>
        </w:tc>
        <w:tc>
          <w:tcPr>
            <w:tcW w:type="dxa" w:w="1060"/>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color w:val="2E8B57"/>
                <w:sz w:val="18"/>
                <w:szCs w:val="18"/>
              </w:rPr>
              <w:t xml:space="preserve">Read-only</w:t>
            </w:r>
          </w:p>
        </w:tc>
        <w:tc>
          <w:tcPr>
            <w:tcW w:type="dxa" w:w="173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Context for evidence</w:t>
            </w:r>
          </w:p>
        </w:tc>
      </w:tr>
      <w:tr>
        <w:trPr>
          <w:cantSplit/>
        </w:trPr>
        <w:tc>
          <w:tcPr>
            <w:tcW w:type="dxa" w:w="298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get_compute_table_data</w:t>
            </w:r>
          </w:p>
        </w:tc>
        <w:tc>
          <w:tcPr>
            <w:tcW w:type="dxa" w:w="385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Fetch a page of rows from a SAS library table, formatted as SAS shows them</w:t>
            </w:r>
          </w:p>
        </w:tc>
        <w:tc>
          <w:tcPr>
            <w:tcW w:type="dxa" w:w="106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color w:val="2E8B57"/>
                <w:sz w:val="18"/>
                <w:szCs w:val="18"/>
              </w:rPr>
              <w:t xml:space="preserve">Read-only</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Core:</w:t>
            </w:r>
            <w:r>
              <w:rPr>
                <w:sz w:val="18"/>
                <w:szCs w:val="18"/>
              </w:rPr>
              <w:t xml:space="preserve"> as get_castable_data</w:t>
            </w:r>
          </w:p>
        </w:tc>
      </w:tr>
    </w:tbl>
    <w:p>
      <w:pPr>
        <w:pStyle w:val="Heading2"/>
      </w:pPr>
      <w:r>
        <w:t xml:space="preserve">Tier 2 — Data Operations &amp; Files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88"/>
        <w:gridCol w:w="3855"/>
        <w:gridCol w:w="1060"/>
        <w:gridCol w:w="1735"/>
      </w:tblGrid>
      <w:tr>
        <w:trPr>
          <w:tblHeader/>
        </w:trPr>
        <w:tc>
          <w:tcPr>
            <w:tcW w:type="dxa" w:w="2988"/>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Tool</w:t>
            </w:r>
          </w:p>
        </w:tc>
        <w:tc>
          <w:tcPr>
            <w:tcW w:type="dxa" w:w="385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What it does</w:t>
            </w:r>
          </w:p>
        </w:tc>
        <w:tc>
          <w:tcPr>
            <w:tcW w:type="dxa" w:w="1060"/>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Access</w:t>
            </w:r>
          </w:p>
        </w:tc>
        <w:tc>
          <w:tcPr>
            <w:tcW w:type="dxa" w:w="173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GRC use</w:t>
            </w:r>
          </w:p>
        </w:tc>
      </w:tr>
      <w:tr>
        <w:trPr>
          <w:cantSplit/>
        </w:trPr>
        <w:tc>
          <w:tcPr>
            <w:tcW w:type="dxa" w:w="298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upload_data</w:t>
            </w:r>
          </w:p>
        </w:tc>
        <w:tc>
          <w:tcPr>
            <w:tcW w:type="dxa" w:w="385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Upload a data file into a CAS table, read server-side from a path or URL</w:t>
            </w:r>
          </w:p>
        </w:tc>
        <w:tc>
          <w:tcPr>
            <w:tcW w:type="dxa" w:w="106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color w:val="B7791F"/>
                <w:sz w:val="18"/>
                <w:szCs w:val="18"/>
              </w:rPr>
              <w:t xml:space="preserve">Write</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w:t>
            </w:r>
          </w:p>
        </w:tc>
      </w:tr>
      <w:tr>
        <w:trPr>
          <w:cantSplit/>
        </w:trPr>
        <w:tc>
          <w:tcPr>
            <w:tcW w:type="dxa" w:w="2988"/>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sz w:val="18"/>
                <w:szCs w:val="18"/>
              </w:rPr>
              <w:t xml:space="preserve">upload_inline_data</w:t>
            </w:r>
          </w:p>
        </w:tc>
        <w:tc>
          <w:tcPr>
            <w:tcW w:type="dxa" w:w="385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Create a small CAS table from inline CSV or TSV text</w:t>
            </w:r>
          </w:p>
        </w:tc>
        <w:tc>
          <w:tcPr>
            <w:tcW w:type="dxa" w:w="1060"/>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color w:val="B7791F"/>
                <w:sz w:val="18"/>
                <w:szCs w:val="18"/>
              </w:rPr>
              <w:t xml:space="preserve">Write</w:t>
            </w:r>
          </w:p>
        </w:tc>
        <w:tc>
          <w:tcPr>
            <w:tcW w:type="dxa" w:w="173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w:t>
            </w:r>
          </w:p>
        </w:tc>
      </w:tr>
      <w:tr>
        <w:trPr>
          <w:cantSplit/>
        </w:trPr>
        <w:tc>
          <w:tcPr>
            <w:tcW w:type="dxa" w:w="298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promote_table_to_memory</w:t>
            </w:r>
          </w:p>
        </w:tc>
        <w:tc>
          <w:tcPr>
            <w:tcW w:type="dxa" w:w="385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Load a source table into memory at global scope</w:t>
            </w:r>
          </w:p>
        </w:tc>
        <w:tc>
          <w:tcPr>
            <w:tcW w:type="dxa" w:w="106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color w:val="B7791F"/>
                <w:sz w:val="18"/>
                <w:szCs w:val="18"/>
              </w:rPr>
              <w:t xml:space="preserve">Write</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w:t>
            </w:r>
          </w:p>
        </w:tc>
      </w:tr>
      <w:tr>
        <w:trPr>
          <w:cantSplit/>
        </w:trPr>
        <w:tc>
          <w:tcPr>
            <w:tcW w:type="dxa" w:w="2988"/>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sz w:val="18"/>
                <w:szCs w:val="18"/>
              </w:rPr>
              <w:t xml:space="preserve">list_files</w:t>
            </w:r>
          </w:p>
        </w:tc>
        <w:tc>
          <w:tcPr>
            <w:tcW w:type="dxa" w:w="385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List files in the Viya Files Service</w:t>
            </w:r>
          </w:p>
        </w:tc>
        <w:tc>
          <w:tcPr>
            <w:tcW w:type="dxa" w:w="1060"/>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color w:val="2E8B57"/>
                <w:sz w:val="18"/>
                <w:szCs w:val="18"/>
              </w:rPr>
              <w:t xml:space="preserve">Read-only</w:t>
            </w:r>
          </w:p>
        </w:tc>
        <w:tc>
          <w:tcPr>
            <w:tcW w:type="dxa" w:w="173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Find policy and evidence documents</w:t>
            </w:r>
          </w:p>
        </w:tc>
      </w:tr>
      <w:tr>
        <w:trPr>
          <w:cantSplit/>
        </w:trPr>
        <w:tc>
          <w:tcPr>
            <w:tcW w:type="dxa" w:w="298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upload_file</w:t>
            </w:r>
          </w:p>
        </w:tc>
        <w:tc>
          <w:tcPr>
            <w:tcW w:type="dxa" w:w="385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Upload a file to the Files Service, optionally into a content folder</w:t>
            </w:r>
          </w:p>
        </w:tc>
        <w:tc>
          <w:tcPr>
            <w:tcW w:type="dxa" w:w="106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color w:val="B7791F"/>
                <w:sz w:val="18"/>
                <w:szCs w:val="18"/>
              </w:rPr>
              <w:t xml:space="preserve">Write</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Filing approved reports (gated)</w:t>
            </w:r>
          </w:p>
        </w:tc>
      </w:tr>
      <w:tr>
        <w:trPr>
          <w:cantSplit/>
        </w:trPr>
        <w:tc>
          <w:tcPr>
            <w:tcW w:type="dxa" w:w="2988"/>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sz w:val="18"/>
                <w:szCs w:val="18"/>
              </w:rPr>
              <w:t xml:space="preserve">download_file</w:t>
            </w:r>
          </w:p>
        </w:tc>
        <w:tc>
          <w:tcPr>
            <w:tcW w:type="dxa" w:w="385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Download file content</w:t>
            </w:r>
          </w:p>
        </w:tc>
        <w:tc>
          <w:tcPr>
            <w:tcW w:type="dxa" w:w="1060"/>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color w:val="2E8B57"/>
                <w:sz w:val="18"/>
                <w:szCs w:val="18"/>
              </w:rPr>
              <w:t xml:space="preserve">Read-only</w:t>
            </w:r>
          </w:p>
        </w:tc>
        <w:tc>
          <w:tcPr>
            <w:tcW w:type="dxa" w:w="173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Read policy and evidence documents</w:t>
            </w:r>
          </w:p>
        </w:tc>
      </w:tr>
    </w:tbl>
    <w:p>
      <w:pPr>
        <w:pStyle w:val="Heading2"/>
      </w:pPr>
      <w:r>
        <w:t xml:space="preserve">Tier 3 — Reports &amp; Visualization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88"/>
        <w:gridCol w:w="3855"/>
        <w:gridCol w:w="1060"/>
        <w:gridCol w:w="1735"/>
      </w:tblGrid>
      <w:tr>
        <w:trPr>
          <w:tblHeader/>
        </w:trPr>
        <w:tc>
          <w:tcPr>
            <w:tcW w:type="dxa" w:w="2988"/>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Tool</w:t>
            </w:r>
          </w:p>
        </w:tc>
        <w:tc>
          <w:tcPr>
            <w:tcW w:type="dxa" w:w="385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What it does</w:t>
            </w:r>
          </w:p>
        </w:tc>
        <w:tc>
          <w:tcPr>
            <w:tcW w:type="dxa" w:w="1060"/>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Access</w:t>
            </w:r>
          </w:p>
        </w:tc>
        <w:tc>
          <w:tcPr>
            <w:tcW w:type="dxa" w:w="173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GRC use</w:t>
            </w:r>
          </w:p>
        </w:tc>
      </w:tr>
      <w:tr>
        <w:trPr>
          <w:cantSplit/>
        </w:trPr>
        <w:tc>
          <w:tcPr>
            <w:tcW w:type="dxa" w:w="298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list_reports</w:t>
            </w:r>
          </w:p>
        </w:tc>
        <w:tc>
          <w:tcPr>
            <w:tcW w:type="dxa" w:w="385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List Visual Analytics reports</w:t>
            </w:r>
          </w:p>
        </w:tc>
        <w:tc>
          <w:tcPr>
            <w:tcW w:type="dxa" w:w="106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color w:val="2E8B57"/>
                <w:sz w:val="18"/>
                <w:szCs w:val="18"/>
              </w:rPr>
              <w:t xml:space="preserve">Read-only</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Find risk and KRI dashboards</w:t>
            </w:r>
          </w:p>
        </w:tc>
      </w:tr>
      <w:tr>
        <w:trPr>
          <w:cantSplit/>
        </w:trPr>
        <w:tc>
          <w:tcPr>
            <w:tcW w:type="dxa" w:w="2988"/>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sz w:val="18"/>
                <w:szCs w:val="18"/>
              </w:rPr>
              <w:t xml:space="preserve">get_report</w:t>
            </w:r>
          </w:p>
        </w:tc>
        <w:tc>
          <w:tcPr>
            <w:tcW w:type="dxa" w:w="385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Report metadata and definition</w:t>
            </w:r>
          </w:p>
        </w:tc>
        <w:tc>
          <w:tcPr>
            <w:tcW w:type="dxa" w:w="1060"/>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color w:val="2E8B57"/>
                <w:sz w:val="18"/>
                <w:szCs w:val="18"/>
              </w:rPr>
              <w:t xml:space="preserve">Read-only</w:t>
            </w:r>
          </w:p>
        </w:tc>
        <w:tc>
          <w:tcPr>
            <w:tcW w:type="dxa" w:w="173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Understand a dashboard</w:t>
            </w:r>
          </w:p>
        </w:tc>
      </w:tr>
      <w:tr>
        <w:trPr>
          <w:cantSplit/>
        </w:trPr>
        <w:tc>
          <w:tcPr>
            <w:tcW w:type="dxa" w:w="298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export_report</w:t>
            </w:r>
          </w:p>
        </w:tc>
        <w:tc>
          <w:tcPr>
            <w:tcW w:type="dxa" w:w="385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Export a report or its objects as PDF, PNG, SVG, CSV, XLSX, package or summary</w:t>
            </w:r>
          </w:p>
        </w:tc>
        <w:tc>
          <w:tcPr>
            <w:tcW w:type="dxa" w:w="106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color w:val="2E8B57"/>
                <w:sz w:val="18"/>
                <w:szCs w:val="18"/>
              </w:rPr>
              <w:t xml:space="preserve">Read-only</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Core:</w:t>
            </w:r>
            <w:r>
              <w:rPr>
                <w:sz w:val="18"/>
                <w:szCs w:val="18"/>
              </w:rPr>
              <w:t xml:space="preserve"> dashboard figures as evidence</w:t>
            </w:r>
          </w:p>
        </w:tc>
      </w:tr>
      <w:tr>
        <w:trPr>
          <w:cantSplit/>
        </w:trPr>
        <w:tc>
          <w:tcPr>
            <w:tcW w:type="dxa" w:w="2988"/>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sz w:val="18"/>
                <w:szCs w:val="18"/>
              </w:rPr>
              <w:t xml:space="preserve">describe_report_objects</w:t>
            </w:r>
          </w:p>
        </w:tc>
        <w:tc>
          <w:tcPr>
            <w:tcW w:type="dxa" w:w="385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The report operations and every addable object, with data roles and examples</w:t>
            </w:r>
          </w:p>
        </w:tc>
        <w:tc>
          <w:tcPr>
            <w:tcW w:type="dxa" w:w="1060"/>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color w:val="2E8B57"/>
                <w:sz w:val="18"/>
                <w:szCs w:val="18"/>
              </w:rPr>
              <w:t xml:space="preserve">Read-only</w:t>
            </w:r>
          </w:p>
        </w:tc>
        <w:tc>
          <w:tcPr>
            <w:tcW w:type="dxa" w:w="173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w:t>
            </w:r>
          </w:p>
        </w:tc>
      </w:tr>
      <w:tr>
        <w:trPr>
          <w:cantSplit/>
        </w:trPr>
        <w:tc>
          <w:tcPr>
            <w:tcW w:type="dxa" w:w="298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create_report</w:t>
            </w:r>
          </w:p>
        </w:tc>
        <w:tc>
          <w:tcPr>
            <w:tcW w:type="dxa" w:w="385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Create a Visual Analytics report, optionally built in one call</w:t>
            </w:r>
          </w:p>
        </w:tc>
        <w:tc>
          <w:tcPr>
            <w:tcW w:type="dxa" w:w="106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color w:val="C0392B"/>
                <w:sz w:val="18"/>
                <w:szCs w:val="18"/>
              </w:rPr>
              <w:t xml:space="preserve">Destructive</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Management reporting (gated)</w:t>
            </w:r>
          </w:p>
        </w:tc>
      </w:tr>
      <w:tr>
        <w:trPr>
          <w:cantSplit/>
        </w:trPr>
        <w:tc>
          <w:tcPr>
            <w:tcW w:type="dxa" w:w="2988"/>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sz w:val="18"/>
                <w:szCs w:val="18"/>
              </w:rPr>
              <w:t xml:space="preserve">apply_report_operations</w:t>
            </w:r>
          </w:p>
        </w:tc>
        <w:tc>
          <w:tcPr>
            <w:tcW w:type="dxa" w:w="385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Apply a batch of report operations (add data, pages, objects; update; change data)</w:t>
            </w:r>
          </w:p>
        </w:tc>
        <w:tc>
          <w:tcPr>
            <w:tcW w:type="dxa" w:w="1060"/>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color w:val="C0392B"/>
                <w:sz w:val="18"/>
                <w:szCs w:val="18"/>
              </w:rPr>
              <w:t xml:space="preserve">Destructive</w:t>
            </w:r>
          </w:p>
        </w:tc>
        <w:tc>
          <w:tcPr>
            <w:tcW w:type="dxa" w:w="173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w:t>
            </w:r>
          </w:p>
        </w:tc>
      </w:tr>
      <w:tr>
        <w:trPr>
          <w:cantSplit/>
        </w:trPr>
        <w:tc>
          <w:tcPr>
            <w:tcW w:type="dxa" w:w="298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get_report_outline</w:t>
            </w:r>
          </w:p>
        </w:tc>
        <w:tc>
          <w:tcPr>
            <w:tcW w:type="dxa" w:w="385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 report’s structure: pages and objects with their handles</w:t>
            </w:r>
          </w:p>
        </w:tc>
        <w:tc>
          <w:tcPr>
            <w:tcW w:type="dxa" w:w="106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color w:val="2E8B57"/>
                <w:sz w:val="18"/>
                <w:szCs w:val="18"/>
              </w:rPr>
              <w:t xml:space="preserve">Read-only</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Supports export</w:t>
            </w:r>
          </w:p>
        </w:tc>
      </w:tr>
      <w:tr>
        <w:trPr>
          <w:cantSplit/>
        </w:trPr>
        <w:tc>
          <w:tcPr>
            <w:tcW w:type="dxa" w:w="2988"/>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sz w:val="18"/>
                <w:szCs w:val="18"/>
              </w:rPr>
              <w:t xml:space="preserve">copy_report</w:t>
            </w:r>
          </w:p>
        </w:tc>
        <w:tc>
          <w:tcPr>
            <w:tcW w:type="dxa" w:w="385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Copy a report, optionally renamed or moved</w:t>
            </w:r>
          </w:p>
        </w:tc>
        <w:tc>
          <w:tcPr>
            <w:tcW w:type="dxa" w:w="1060"/>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color w:val="C0392B"/>
                <w:sz w:val="18"/>
                <w:szCs w:val="18"/>
              </w:rPr>
              <w:t xml:space="preserve">Destructive</w:t>
            </w:r>
          </w:p>
        </w:tc>
        <w:tc>
          <w:tcPr>
            <w:tcW w:type="dxa" w:w="173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w:t>
            </w:r>
          </w:p>
        </w:tc>
      </w:tr>
      <w:tr>
        <w:trPr>
          <w:cantSplit/>
        </w:trPr>
        <w:tc>
          <w:tcPr>
            <w:tcW w:type="dxa" w:w="298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delete_report</w:t>
            </w:r>
          </w:p>
        </w:tc>
        <w:tc>
          <w:tcPr>
            <w:tcW w:type="dxa" w:w="385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Delete a report and its content</w:t>
            </w:r>
          </w:p>
        </w:tc>
        <w:tc>
          <w:tcPr>
            <w:tcW w:type="dxa" w:w="106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color w:val="C0392B"/>
                <w:sz w:val="18"/>
                <w:szCs w:val="18"/>
              </w:rPr>
              <w:t xml:space="preserve">Destructive</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w:t>
            </w:r>
          </w:p>
        </w:tc>
      </w:tr>
    </w:tbl>
    <w:p>
      <w:pPr>
        <w:pStyle w:val="Heading2"/>
      </w:pPr>
      <w:r>
        <w:t xml:space="preserve">Tier 4 — Batch Jobs &amp; Async Execution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88"/>
        <w:gridCol w:w="3855"/>
        <w:gridCol w:w="1060"/>
        <w:gridCol w:w="1735"/>
      </w:tblGrid>
      <w:tr>
        <w:trPr>
          <w:tblHeader/>
        </w:trPr>
        <w:tc>
          <w:tcPr>
            <w:tcW w:type="dxa" w:w="2988"/>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Tool</w:t>
            </w:r>
          </w:p>
        </w:tc>
        <w:tc>
          <w:tcPr>
            <w:tcW w:type="dxa" w:w="385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What it does</w:t>
            </w:r>
          </w:p>
        </w:tc>
        <w:tc>
          <w:tcPr>
            <w:tcW w:type="dxa" w:w="1060"/>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Access</w:t>
            </w:r>
          </w:p>
        </w:tc>
        <w:tc>
          <w:tcPr>
            <w:tcW w:type="dxa" w:w="173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GRC use</w:t>
            </w:r>
          </w:p>
        </w:tc>
      </w:tr>
      <w:tr>
        <w:trPr>
          <w:cantSplit/>
        </w:trPr>
        <w:tc>
          <w:tcPr>
            <w:tcW w:type="dxa" w:w="298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submit_batch_job</w:t>
            </w:r>
          </w:p>
        </w:tc>
        <w:tc>
          <w:tcPr>
            <w:tcW w:type="dxa" w:w="385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Submit a SAS job for asynchronous execution</w:t>
            </w:r>
          </w:p>
        </w:tc>
        <w:tc>
          <w:tcPr>
            <w:tcW w:type="dxa" w:w="106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color w:val="C0392B"/>
                <w:sz w:val="18"/>
                <w:szCs w:val="18"/>
              </w:rPr>
              <w:t xml:space="preserve">Destructive</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Blocked by policy (arbitrary code)</w:t>
            </w:r>
          </w:p>
        </w:tc>
      </w:tr>
      <w:tr>
        <w:trPr>
          <w:cantSplit/>
        </w:trPr>
        <w:tc>
          <w:tcPr>
            <w:tcW w:type="dxa" w:w="2988"/>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sz w:val="18"/>
                <w:szCs w:val="18"/>
              </w:rPr>
              <w:t xml:space="preserve">get_job_status</w:t>
            </w:r>
          </w:p>
        </w:tc>
        <w:tc>
          <w:tcPr>
            <w:tcW w:type="dxa" w:w="385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Check a job’s state</w:t>
            </w:r>
          </w:p>
        </w:tc>
        <w:tc>
          <w:tcPr>
            <w:tcW w:type="dxa" w:w="1060"/>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color w:val="2E8B57"/>
                <w:sz w:val="18"/>
                <w:szCs w:val="18"/>
              </w:rPr>
              <w:t xml:space="preserve">Read-only</w:t>
            </w:r>
          </w:p>
        </w:tc>
        <w:tc>
          <w:tcPr>
            <w:tcW w:type="dxa" w:w="173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Check scheduled KRI calculations ran</w:t>
            </w:r>
          </w:p>
        </w:tc>
      </w:tr>
      <w:tr>
        <w:trPr>
          <w:cantSplit/>
        </w:trPr>
        <w:tc>
          <w:tcPr>
            <w:tcW w:type="dxa" w:w="298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list_jobs</w:t>
            </w:r>
          </w:p>
        </w:tc>
        <w:tc>
          <w:tcPr>
            <w:tcW w:type="dxa" w:w="385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List recent and running jobs</w:t>
            </w:r>
          </w:p>
        </w:tc>
        <w:tc>
          <w:tcPr>
            <w:tcW w:type="dxa" w:w="106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color w:val="2E8B57"/>
                <w:sz w:val="18"/>
                <w:szCs w:val="18"/>
              </w:rPr>
              <w:t xml:space="preserve">Read-only</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Check scheduled KRI calculations ran</w:t>
            </w:r>
          </w:p>
        </w:tc>
      </w:tr>
      <w:tr>
        <w:trPr>
          <w:cantSplit/>
        </w:trPr>
        <w:tc>
          <w:tcPr>
            <w:tcW w:type="dxa" w:w="2988"/>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sz w:val="18"/>
                <w:szCs w:val="18"/>
              </w:rPr>
              <w:t xml:space="preserve">cancel_job</w:t>
            </w:r>
          </w:p>
        </w:tc>
        <w:tc>
          <w:tcPr>
            <w:tcW w:type="dxa" w:w="385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Cancel a running job</w:t>
            </w:r>
          </w:p>
        </w:tc>
        <w:tc>
          <w:tcPr>
            <w:tcW w:type="dxa" w:w="1060"/>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color w:val="C0392B"/>
                <w:sz w:val="18"/>
                <w:szCs w:val="18"/>
              </w:rPr>
              <w:t xml:space="preserve">Destructive</w:t>
            </w:r>
          </w:p>
        </w:tc>
        <w:tc>
          <w:tcPr>
            <w:tcW w:type="dxa" w:w="173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w:t>
            </w:r>
          </w:p>
        </w:tc>
      </w:tr>
      <w:tr>
        <w:trPr>
          <w:cantSplit/>
        </w:trPr>
        <w:tc>
          <w:tcPr>
            <w:tcW w:type="dxa" w:w="298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get_job_log</w:t>
            </w:r>
          </w:p>
        </w:tc>
        <w:tc>
          <w:tcPr>
            <w:tcW w:type="dxa" w:w="385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Retrieve a job’s log</w:t>
            </w:r>
          </w:p>
        </w:tc>
        <w:tc>
          <w:tcPr>
            <w:tcW w:type="dxa" w:w="106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color w:val="2E8B57"/>
                <w:sz w:val="18"/>
                <w:szCs w:val="18"/>
              </w:rPr>
              <w:t xml:space="preserve">Read-only</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Evidence that a calculation ran cleanly</w:t>
            </w:r>
          </w:p>
        </w:tc>
      </w:tr>
    </w:tbl>
    <w:p>
      <w:pPr>
        <w:pStyle w:val="Heading2"/>
      </w:pPr>
      <w:r>
        <w:t xml:space="preserve">Tier 5 — Automated Machine Learning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88"/>
        <w:gridCol w:w="3855"/>
        <w:gridCol w:w="1060"/>
        <w:gridCol w:w="1735"/>
      </w:tblGrid>
      <w:tr>
        <w:trPr>
          <w:tblHeader/>
        </w:trPr>
        <w:tc>
          <w:tcPr>
            <w:tcW w:type="dxa" w:w="2988"/>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Tool</w:t>
            </w:r>
          </w:p>
        </w:tc>
        <w:tc>
          <w:tcPr>
            <w:tcW w:type="dxa" w:w="385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What it does</w:t>
            </w:r>
          </w:p>
        </w:tc>
        <w:tc>
          <w:tcPr>
            <w:tcW w:type="dxa" w:w="1060"/>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Access</w:t>
            </w:r>
          </w:p>
        </w:tc>
        <w:tc>
          <w:tcPr>
            <w:tcW w:type="dxa" w:w="173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GRC use</w:t>
            </w:r>
          </w:p>
        </w:tc>
      </w:tr>
      <w:tr>
        <w:trPr>
          <w:cantSplit/>
        </w:trPr>
        <w:tc>
          <w:tcPr>
            <w:tcW w:type="dxa" w:w="298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list_ml_projects</w:t>
            </w:r>
          </w:p>
        </w:tc>
        <w:tc>
          <w:tcPr>
            <w:tcW w:type="dxa" w:w="385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List AutoML projects</w:t>
            </w:r>
          </w:p>
        </w:tc>
        <w:tc>
          <w:tcPr>
            <w:tcW w:type="dxa" w:w="106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color w:val="2E8B57"/>
                <w:sz w:val="18"/>
                <w:szCs w:val="18"/>
              </w:rPr>
              <w:t xml:space="preserve">Read-only</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w:t>
            </w:r>
          </w:p>
        </w:tc>
      </w:tr>
      <w:tr>
        <w:trPr>
          <w:cantSplit/>
        </w:trPr>
        <w:tc>
          <w:tcPr>
            <w:tcW w:type="dxa" w:w="2988"/>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sz w:val="18"/>
                <w:szCs w:val="18"/>
              </w:rPr>
              <w:t xml:space="preserve">create_ml_project</w:t>
            </w:r>
          </w:p>
        </w:tc>
        <w:tc>
          <w:tcPr>
            <w:tcW w:type="dxa" w:w="385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Create an AutoML project from a loaded CAS table</w:t>
            </w:r>
          </w:p>
        </w:tc>
        <w:tc>
          <w:tcPr>
            <w:tcW w:type="dxa" w:w="1060"/>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color w:val="B7791F"/>
                <w:sz w:val="18"/>
                <w:szCs w:val="18"/>
              </w:rPr>
              <w:t xml:space="preserve">Write</w:t>
            </w:r>
          </w:p>
        </w:tc>
        <w:tc>
          <w:tcPr>
            <w:tcW w:type="dxa" w:w="173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w:t>
            </w:r>
          </w:p>
        </w:tc>
      </w:tr>
      <w:tr>
        <w:trPr>
          <w:cantSplit/>
        </w:trPr>
        <w:tc>
          <w:tcPr>
            <w:tcW w:type="dxa" w:w="298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run_ml_project</w:t>
            </w:r>
          </w:p>
        </w:tc>
        <w:tc>
          <w:tcPr>
            <w:tcW w:type="dxa" w:w="385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Run pipeline automation</w:t>
            </w:r>
          </w:p>
        </w:tc>
        <w:tc>
          <w:tcPr>
            <w:tcW w:type="dxa" w:w="106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color w:val="B7791F"/>
                <w:sz w:val="18"/>
                <w:szCs w:val="18"/>
              </w:rPr>
              <w:t xml:space="preserve">Write</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w:t>
            </w:r>
          </w:p>
        </w:tc>
      </w:tr>
      <w:tr>
        <w:trPr>
          <w:cantSplit/>
        </w:trPr>
        <w:tc>
          <w:tcPr>
            <w:tcW w:type="dxa" w:w="2988"/>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sz w:val="18"/>
                <w:szCs w:val="18"/>
              </w:rPr>
              <w:t xml:space="preserve">register_ml_champion_model</w:t>
            </w:r>
          </w:p>
        </w:tc>
        <w:tc>
          <w:tcPr>
            <w:tcW w:type="dxa" w:w="385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Register a project’s champion model in the model repository</w:t>
            </w:r>
          </w:p>
        </w:tc>
        <w:tc>
          <w:tcPr>
            <w:tcW w:type="dxa" w:w="1060"/>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color w:val="B7791F"/>
                <w:sz w:val="18"/>
                <w:szCs w:val="18"/>
              </w:rPr>
              <w:t xml:space="preserve">Write</w:t>
            </w:r>
          </w:p>
        </w:tc>
        <w:tc>
          <w:tcPr>
            <w:tcW w:type="dxa" w:w="173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w:t>
            </w:r>
          </w:p>
        </w:tc>
      </w:tr>
      <w:tr>
        <w:trPr>
          <w:cantSplit/>
        </w:trPr>
        <w:tc>
          <w:tcPr>
            <w:tcW w:type="dxa" w:w="298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publish_ml_champion_model</w:t>
            </w:r>
          </w:p>
        </w:tc>
        <w:tc>
          <w:tcPr>
            <w:tcW w:type="dxa" w:w="385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Publish a champion model to a scoring destination</w:t>
            </w:r>
          </w:p>
        </w:tc>
        <w:tc>
          <w:tcPr>
            <w:tcW w:type="dxa" w:w="106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color w:val="C0392B"/>
                <w:sz w:val="18"/>
                <w:szCs w:val="18"/>
              </w:rPr>
              <w:t xml:space="preserve">Destructive</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w:t>
            </w:r>
          </w:p>
        </w:tc>
      </w:tr>
    </w:tbl>
    <w:p>
      <w:pPr>
        <w:pStyle w:val="Heading2"/>
      </w:pPr>
      <w:r>
        <w:t xml:space="preserve">Tier 6 — Model Management &amp; Scoring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88"/>
        <w:gridCol w:w="3855"/>
        <w:gridCol w:w="1060"/>
        <w:gridCol w:w="1735"/>
      </w:tblGrid>
      <w:tr>
        <w:trPr>
          <w:tblHeader/>
        </w:trPr>
        <w:tc>
          <w:tcPr>
            <w:tcW w:type="dxa" w:w="2988"/>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Tool</w:t>
            </w:r>
          </w:p>
        </w:tc>
        <w:tc>
          <w:tcPr>
            <w:tcW w:type="dxa" w:w="385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What it does</w:t>
            </w:r>
          </w:p>
        </w:tc>
        <w:tc>
          <w:tcPr>
            <w:tcW w:type="dxa" w:w="1060"/>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Access</w:t>
            </w:r>
          </w:p>
        </w:tc>
        <w:tc>
          <w:tcPr>
            <w:tcW w:type="dxa" w:w="173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GRC use</w:t>
            </w:r>
          </w:p>
        </w:tc>
      </w:tr>
      <w:tr>
        <w:trPr>
          <w:cantSplit/>
        </w:trPr>
        <w:tc>
          <w:tcPr>
            <w:tcW w:type="dxa" w:w="298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list_registered_models</w:t>
            </w:r>
          </w:p>
        </w:tc>
        <w:tc>
          <w:tcPr>
            <w:tcW w:type="dxa" w:w="385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List the models in the repository</w:t>
            </w:r>
          </w:p>
        </w:tc>
        <w:tc>
          <w:tcPr>
            <w:tcW w:type="dxa" w:w="106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color w:val="2E8B57"/>
                <w:sz w:val="18"/>
                <w:szCs w:val="18"/>
              </w:rPr>
              <w:t xml:space="preserve">Read-only</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Model inventory (not model risk records)</w:t>
            </w:r>
          </w:p>
        </w:tc>
      </w:tr>
      <w:tr>
        <w:trPr>
          <w:cantSplit/>
        </w:trPr>
        <w:tc>
          <w:tcPr>
            <w:tcW w:type="dxa" w:w="2988"/>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sz w:val="18"/>
                <w:szCs w:val="18"/>
              </w:rPr>
              <w:t xml:space="preserve">list_publishing_destinations</w:t>
            </w:r>
          </w:p>
        </w:tc>
        <w:tc>
          <w:tcPr>
            <w:tcW w:type="dxa" w:w="385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List scoring and publishing destinations</w:t>
            </w:r>
          </w:p>
        </w:tc>
        <w:tc>
          <w:tcPr>
            <w:tcW w:type="dxa" w:w="1060"/>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color w:val="2E8B57"/>
                <w:sz w:val="18"/>
                <w:szCs w:val="18"/>
              </w:rPr>
              <w:t xml:space="preserve">Read-only</w:t>
            </w:r>
          </w:p>
        </w:tc>
        <w:tc>
          <w:tcPr>
            <w:tcW w:type="dxa" w:w="173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w:t>
            </w:r>
          </w:p>
        </w:tc>
      </w:tr>
      <w:tr>
        <w:trPr>
          <w:cantSplit/>
        </w:trPr>
        <w:tc>
          <w:tcPr>
            <w:tcW w:type="dxa" w:w="298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list_mas_modules</w:t>
            </w:r>
          </w:p>
        </w:tc>
        <w:tc>
          <w:tcPr>
            <w:tcW w:type="dxa" w:w="385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List published Micro Analytic Service modules</w:t>
            </w:r>
          </w:p>
        </w:tc>
        <w:tc>
          <w:tcPr>
            <w:tcW w:type="dxa" w:w="106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color w:val="2E8B57"/>
                <w:sz w:val="18"/>
                <w:szCs w:val="18"/>
              </w:rPr>
              <w:t xml:space="preserve">Read-only</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Find published decisions</w:t>
            </w:r>
          </w:p>
        </w:tc>
      </w:tr>
      <w:tr>
        <w:trPr>
          <w:cantSplit/>
        </w:trPr>
        <w:tc>
          <w:tcPr>
            <w:tcW w:type="dxa" w:w="2988"/>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sz w:val="18"/>
                <w:szCs w:val="18"/>
              </w:rPr>
              <w:t xml:space="preserve">get_mas_module_step_signature</w:t>
            </w:r>
          </w:p>
        </w:tc>
        <w:tc>
          <w:tcPr>
            <w:tcW w:type="dxa" w:w="385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Inputs and outputs of a published module step</w:t>
            </w:r>
          </w:p>
        </w:tc>
        <w:tc>
          <w:tcPr>
            <w:tcW w:type="dxa" w:w="1060"/>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color w:val="2E8B57"/>
                <w:sz w:val="18"/>
                <w:szCs w:val="18"/>
              </w:rPr>
              <w:t xml:space="preserve">Read-only</w:t>
            </w:r>
          </w:p>
        </w:tc>
        <w:tc>
          <w:tcPr>
            <w:tcW w:type="dxa" w:w="173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Understand a published decision</w:t>
            </w:r>
          </w:p>
        </w:tc>
      </w:tr>
      <w:tr>
        <w:trPr>
          <w:cantSplit/>
        </w:trPr>
        <w:tc>
          <w:tcPr>
            <w:tcW w:type="dxa" w:w="298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score_data</w:t>
            </w:r>
          </w:p>
        </w:tc>
        <w:tc>
          <w:tcPr>
            <w:tcW w:type="dxa" w:w="385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Score data against a published model or decision</w:t>
            </w:r>
          </w:p>
        </w:tc>
        <w:tc>
          <w:tcPr>
            <w:tcW w:type="dxa" w:w="106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color w:val="B7791F"/>
                <w:sz w:val="18"/>
                <w:szCs w:val="18"/>
              </w:rPr>
              <w:t xml:space="preserve">Write</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Run an approved rule or anomaly model (gated)</w:t>
            </w:r>
          </w:p>
        </w:tc>
      </w:tr>
    </w:tbl>
    <w:p>
      <w:pPr>
        <w:pStyle w:val="Heading2"/>
      </w:pPr>
      <w:r>
        <w:t xml:space="preserve">Tier 7 — Decisioning (SAS Intelligent Decisioning)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88"/>
        <w:gridCol w:w="3855"/>
        <w:gridCol w:w="1060"/>
        <w:gridCol w:w="1735"/>
      </w:tblGrid>
      <w:tr>
        <w:trPr>
          <w:tblHeader/>
        </w:trPr>
        <w:tc>
          <w:tcPr>
            <w:tcW w:type="dxa" w:w="2988"/>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Tool</w:t>
            </w:r>
          </w:p>
        </w:tc>
        <w:tc>
          <w:tcPr>
            <w:tcW w:type="dxa" w:w="385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What it does</w:t>
            </w:r>
          </w:p>
        </w:tc>
        <w:tc>
          <w:tcPr>
            <w:tcW w:type="dxa" w:w="1060"/>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Access</w:t>
            </w:r>
          </w:p>
        </w:tc>
        <w:tc>
          <w:tcPr>
            <w:tcW w:type="dxa" w:w="173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GRC use</w:t>
            </w:r>
          </w:p>
        </w:tc>
      </w:tr>
      <w:tr>
        <w:trPr>
          <w:cantSplit/>
        </w:trPr>
        <w:tc>
          <w:tcPr>
            <w:tcW w:type="dxa" w:w="298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create_business_ruleset</w:t>
            </w:r>
          </w:p>
        </w:tc>
        <w:tc>
          <w:tcPr>
            <w:tcW w:type="dxa" w:w="385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Create a rule set (the signature its rules operate on)</w:t>
            </w:r>
          </w:p>
        </w:tc>
        <w:tc>
          <w:tcPr>
            <w:tcW w:type="dxa" w:w="106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color w:val="B7791F"/>
                <w:sz w:val="18"/>
                <w:szCs w:val="18"/>
              </w:rPr>
              <w:t xml:space="preserve">Write</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Blocked: thresholds stay with people</w:t>
            </w:r>
          </w:p>
        </w:tc>
      </w:tr>
      <w:tr>
        <w:trPr>
          <w:cantSplit/>
        </w:trPr>
        <w:tc>
          <w:tcPr>
            <w:tcW w:type="dxa" w:w="2988"/>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sz w:val="18"/>
                <w:szCs w:val="18"/>
              </w:rPr>
              <w:t xml:space="preserve">update_business_ruleset</w:t>
            </w:r>
          </w:p>
        </w:tc>
        <w:tc>
          <w:tcPr>
            <w:tcW w:type="dxa" w:w="385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Replace a rule set’s content</w:t>
            </w:r>
          </w:p>
        </w:tc>
        <w:tc>
          <w:tcPr>
            <w:tcW w:type="dxa" w:w="1060"/>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color w:val="C0392B"/>
                <w:sz w:val="18"/>
                <w:szCs w:val="18"/>
              </w:rPr>
              <w:t xml:space="preserve">Destructive</w:t>
            </w:r>
          </w:p>
        </w:tc>
        <w:tc>
          <w:tcPr>
            <w:tcW w:type="dxa" w:w="173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Blocked</w:t>
            </w:r>
          </w:p>
        </w:tc>
      </w:tr>
      <w:tr>
        <w:trPr>
          <w:cantSplit/>
        </w:trPr>
        <w:tc>
          <w:tcPr>
            <w:tcW w:type="dxa" w:w="298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get_business_ruleset</w:t>
            </w:r>
          </w:p>
        </w:tc>
        <w:tc>
          <w:tcPr>
            <w:tcW w:type="dxa" w:w="385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Get a rule set</w:t>
            </w:r>
          </w:p>
        </w:tc>
        <w:tc>
          <w:tcPr>
            <w:tcW w:type="dxa" w:w="106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color w:val="2E8B57"/>
                <w:sz w:val="18"/>
                <w:szCs w:val="18"/>
              </w:rPr>
              <w:t xml:space="preserve">Read-only</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Core:</w:t>
            </w:r>
            <w:r>
              <w:rPr>
                <w:sz w:val="18"/>
                <w:szCs w:val="18"/>
              </w:rPr>
              <w:t xml:space="preserve"> read threshold and appetite rules</w:t>
            </w:r>
          </w:p>
        </w:tc>
      </w:tr>
      <w:tr>
        <w:trPr>
          <w:cantSplit/>
        </w:trPr>
        <w:tc>
          <w:tcPr>
            <w:tcW w:type="dxa" w:w="2988"/>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sz w:val="18"/>
                <w:szCs w:val="18"/>
              </w:rPr>
              <w:t xml:space="preserve">list_business_rulesets</w:t>
            </w:r>
          </w:p>
        </w:tc>
        <w:tc>
          <w:tcPr>
            <w:tcW w:type="dxa" w:w="385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List rule sets</w:t>
            </w:r>
          </w:p>
        </w:tc>
        <w:tc>
          <w:tcPr>
            <w:tcW w:type="dxa" w:w="1060"/>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color w:val="2E8B57"/>
                <w:sz w:val="18"/>
                <w:szCs w:val="18"/>
              </w:rPr>
              <w:t xml:space="preserve">Read-only</w:t>
            </w:r>
          </w:p>
        </w:tc>
        <w:tc>
          <w:tcPr>
            <w:tcW w:type="dxa" w:w="173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sz w:val="18"/>
                <w:szCs w:val="18"/>
              </w:rPr>
              <w:t xml:space="preserve">Core</w:t>
            </w:r>
          </w:p>
        </w:tc>
      </w:tr>
      <w:tr>
        <w:trPr>
          <w:cantSplit/>
        </w:trPr>
        <w:tc>
          <w:tcPr>
            <w:tcW w:type="dxa" w:w="298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delete_business_ruleset</w:t>
            </w:r>
          </w:p>
        </w:tc>
        <w:tc>
          <w:tcPr>
            <w:tcW w:type="dxa" w:w="385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Delete a rule set</w:t>
            </w:r>
          </w:p>
        </w:tc>
        <w:tc>
          <w:tcPr>
            <w:tcW w:type="dxa" w:w="106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color w:val="C0392B"/>
                <w:sz w:val="18"/>
                <w:szCs w:val="18"/>
              </w:rPr>
              <w:t xml:space="preserve">Destructive</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Blocked</w:t>
            </w:r>
          </w:p>
        </w:tc>
      </w:tr>
      <w:tr>
        <w:trPr>
          <w:cantSplit/>
        </w:trPr>
        <w:tc>
          <w:tcPr>
            <w:tcW w:type="dxa" w:w="2988"/>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sz w:val="18"/>
                <w:szCs w:val="18"/>
              </w:rPr>
              <w:t xml:space="preserve">lock_business_ruleset_revision</w:t>
            </w:r>
          </w:p>
        </w:tc>
        <w:tc>
          <w:tcPr>
            <w:tcW w:type="dxa" w:w="385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Lock a rule set as an immutable revision</w:t>
            </w:r>
          </w:p>
        </w:tc>
        <w:tc>
          <w:tcPr>
            <w:tcW w:type="dxa" w:w="1060"/>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color w:val="B7791F"/>
                <w:sz w:val="18"/>
                <w:szCs w:val="18"/>
              </w:rPr>
              <w:t xml:space="preserve">Write</w:t>
            </w:r>
          </w:p>
        </w:tc>
        <w:tc>
          <w:tcPr>
            <w:tcW w:type="dxa" w:w="173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Blocked</w:t>
            </w:r>
          </w:p>
        </w:tc>
      </w:tr>
      <w:tr>
        <w:trPr>
          <w:cantSplit/>
        </w:trPr>
        <w:tc>
          <w:tcPr>
            <w:tcW w:type="dxa" w:w="298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list_business_ruleset_revisions</w:t>
            </w:r>
          </w:p>
        </w:tc>
        <w:tc>
          <w:tcPr>
            <w:tcW w:type="dxa" w:w="385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List a rule set’s locked revisions</w:t>
            </w:r>
          </w:p>
        </w:tc>
        <w:tc>
          <w:tcPr>
            <w:tcW w:type="dxa" w:w="106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color w:val="2E8B57"/>
                <w:sz w:val="18"/>
                <w:szCs w:val="18"/>
              </w:rPr>
              <w:t xml:space="preserve">Read-only</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Core:</w:t>
            </w:r>
            <w:r>
              <w:rPr>
                <w:sz w:val="18"/>
                <w:szCs w:val="18"/>
              </w:rPr>
              <w:t xml:space="preserve"> which rule version applied</w:t>
            </w:r>
          </w:p>
        </w:tc>
      </w:tr>
      <w:tr>
        <w:trPr>
          <w:cantSplit/>
        </w:trPr>
        <w:tc>
          <w:tcPr>
            <w:tcW w:type="dxa" w:w="2988"/>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sz w:val="18"/>
                <w:szCs w:val="18"/>
              </w:rPr>
              <w:t xml:space="preserve">create_business_rule</w:t>
            </w:r>
          </w:p>
        </w:tc>
        <w:tc>
          <w:tcPr>
            <w:tcW w:type="dxa" w:w="385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Create a rule inside a rule set</w:t>
            </w:r>
          </w:p>
        </w:tc>
        <w:tc>
          <w:tcPr>
            <w:tcW w:type="dxa" w:w="1060"/>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color w:val="B7791F"/>
                <w:sz w:val="18"/>
                <w:szCs w:val="18"/>
              </w:rPr>
              <w:t xml:space="preserve">Write</w:t>
            </w:r>
          </w:p>
        </w:tc>
        <w:tc>
          <w:tcPr>
            <w:tcW w:type="dxa" w:w="173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Blocked</w:t>
            </w:r>
          </w:p>
        </w:tc>
      </w:tr>
      <w:tr>
        <w:trPr>
          <w:cantSplit/>
        </w:trPr>
        <w:tc>
          <w:tcPr>
            <w:tcW w:type="dxa" w:w="298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update_business_rule</w:t>
            </w:r>
          </w:p>
        </w:tc>
        <w:tc>
          <w:tcPr>
            <w:tcW w:type="dxa" w:w="385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Replace a rule</w:t>
            </w:r>
          </w:p>
        </w:tc>
        <w:tc>
          <w:tcPr>
            <w:tcW w:type="dxa" w:w="106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color w:val="C0392B"/>
                <w:sz w:val="18"/>
                <w:szCs w:val="18"/>
              </w:rPr>
              <w:t xml:space="preserve">Destructive</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Blocked</w:t>
            </w:r>
          </w:p>
        </w:tc>
      </w:tr>
      <w:tr>
        <w:trPr>
          <w:cantSplit/>
        </w:trPr>
        <w:tc>
          <w:tcPr>
            <w:tcW w:type="dxa" w:w="2988"/>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sz w:val="18"/>
                <w:szCs w:val="18"/>
              </w:rPr>
              <w:t xml:space="preserve">get_business_rule</w:t>
            </w:r>
          </w:p>
        </w:tc>
        <w:tc>
          <w:tcPr>
            <w:tcW w:type="dxa" w:w="385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Get a rule</w:t>
            </w:r>
          </w:p>
        </w:tc>
        <w:tc>
          <w:tcPr>
            <w:tcW w:type="dxa" w:w="1060"/>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color w:val="2E8B57"/>
                <w:sz w:val="18"/>
                <w:szCs w:val="18"/>
              </w:rPr>
              <w:t xml:space="preserve">Read-only</w:t>
            </w:r>
          </w:p>
        </w:tc>
        <w:tc>
          <w:tcPr>
            <w:tcW w:type="dxa" w:w="173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sz w:val="18"/>
                <w:szCs w:val="18"/>
              </w:rPr>
              <w:t xml:space="preserve">Core</w:t>
            </w:r>
          </w:p>
        </w:tc>
      </w:tr>
      <w:tr>
        <w:trPr>
          <w:cantSplit/>
        </w:trPr>
        <w:tc>
          <w:tcPr>
            <w:tcW w:type="dxa" w:w="298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list_business_rules</w:t>
            </w:r>
          </w:p>
        </w:tc>
        <w:tc>
          <w:tcPr>
            <w:tcW w:type="dxa" w:w="385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List the rules in a rule set</w:t>
            </w:r>
          </w:p>
        </w:tc>
        <w:tc>
          <w:tcPr>
            <w:tcW w:type="dxa" w:w="106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color w:val="2E8B57"/>
                <w:sz w:val="18"/>
                <w:szCs w:val="18"/>
              </w:rPr>
              <w:t xml:space="preserve">Read-only</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Core</w:t>
            </w:r>
          </w:p>
        </w:tc>
      </w:tr>
      <w:tr>
        <w:trPr>
          <w:cantSplit/>
        </w:trPr>
        <w:tc>
          <w:tcPr>
            <w:tcW w:type="dxa" w:w="2988"/>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sz w:val="18"/>
                <w:szCs w:val="18"/>
              </w:rPr>
              <w:t xml:space="preserve">delete_business_rule</w:t>
            </w:r>
          </w:p>
        </w:tc>
        <w:tc>
          <w:tcPr>
            <w:tcW w:type="dxa" w:w="385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Delete a rule</w:t>
            </w:r>
          </w:p>
        </w:tc>
        <w:tc>
          <w:tcPr>
            <w:tcW w:type="dxa" w:w="1060"/>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color w:val="C0392B"/>
                <w:sz w:val="18"/>
                <w:szCs w:val="18"/>
              </w:rPr>
              <w:t xml:space="preserve">Destructive</w:t>
            </w:r>
          </w:p>
        </w:tc>
        <w:tc>
          <w:tcPr>
            <w:tcW w:type="dxa" w:w="173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Blocked</w:t>
            </w:r>
          </w:p>
        </w:tc>
      </w:tr>
      <w:tr>
        <w:trPr>
          <w:cantSplit/>
        </w:trPr>
        <w:tc>
          <w:tcPr>
            <w:tcW w:type="dxa" w:w="298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create_decision_flow</w:t>
            </w:r>
          </w:p>
        </w:tc>
        <w:tc>
          <w:tcPr>
            <w:tcW w:type="dxa" w:w="385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Create a decision flow chaining rule set steps</w:t>
            </w:r>
          </w:p>
        </w:tc>
        <w:tc>
          <w:tcPr>
            <w:tcW w:type="dxa" w:w="106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color w:val="B7791F"/>
                <w:sz w:val="18"/>
                <w:szCs w:val="18"/>
              </w:rPr>
              <w:t xml:space="preserve">Write</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Blocked</w:t>
            </w:r>
          </w:p>
        </w:tc>
      </w:tr>
      <w:tr>
        <w:trPr>
          <w:cantSplit/>
        </w:trPr>
        <w:tc>
          <w:tcPr>
            <w:tcW w:type="dxa" w:w="2988"/>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sz w:val="18"/>
                <w:szCs w:val="18"/>
              </w:rPr>
              <w:t xml:space="preserve">update_decision_flow</w:t>
            </w:r>
          </w:p>
        </w:tc>
        <w:tc>
          <w:tcPr>
            <w:tcW w:type="dxa" w:w="385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Replace a decision flow</w:t>
            </w:r>
          </w:p>
        </w:tc>
        <w:tc>
          <w:tcPr>
            <w:tcW w:type="dxa" w:w="1060"/>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color w:val="C0392B"/>
                <w:sz w:val="18"/>
                <w:szCs w:val="18"/>
              </w:rPr>
              <w:t xml:space="preserve">Destructive</w:t>
            </w:r>
          </w:p>
        </w:tc>
        <w:tc>
          <w:tcPr>
            <w:tcW w:type="dxa" w:w="173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Blocked</w:t>
            </w:r>
          </w:p>
        </w:tc>
      </w:tr>
      <w:tr>
        <w:trPr>
          <w:cantSplit/>
        </w:trPr>
        <w:tc>
          <w:tcPr>
            <w:tcW w:type="dxa" w:w="298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get_decision_flow</w:t>
            </w:r>
          </w:p>
        </w:tc>
        <w:tc>
          <w:tcPr>
            <w:tcW w:type="dxa" w:w="385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Get a decision flow</w:t>
            </w:r>
          </w:p>
        </w:tc>
        <w:tc>
          <w:tcPr>
            <w:tcW w:type="dxa" w:w="106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color w:val="2E8B57"/>
                <w:sz w:val="18"/>
                <w:szCs w:val="18"/>
              </w:rPr>
              <w:t xml:space="preserve">Read-only</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Core:</w:t>
            </w:r>
            <w:r>
              <w:rPr>
                <w:sz w:val="18"/>
                <w:szCs w:val="18"/>
              </w:rPr>
              <w:t xml:space="preserve"> how an alert is decided</w:t>
            </w:r>
          </w:p>
        </w:tc>
      </w:tr>
      <w:tr>
        <w:trPr>
          <w:cantSplit/>
        </w:trPr>
        <w:tc>
          <w:tcPr>
            <w:tcW w:type="dxa" w:w="2988"/>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sz w:val="18"/>
                <w:szCs w:val="18"/>
              </w:rPr>
              <w:t xml:space="preserve">list_decision_flows</w:t>
            </w:r>
          </w:p>
        </w:tc>
        <w:tc>
          <w:tcPr>
            <w:tcW w:type="dxa" w:w="385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List decision flows</w:t>
            </w:r>
          </w:p>
        </w:tc>
        <w:tc>
          <w:tcPr>
            <w:tcW w:type="dxa" w:w="1060"/>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color w:val="2E8B57"/>
                <w:sz w:val="18"/>
                <w:szCs w:val="18"/>
              </w:rPr>
              <w:t xml:space="preserve">Read-only</w:t>
            </w:r>
          </w:p>
        </w:tc>
        <w:tc>
          <w:tcPr>
            <w:tcW w:type="dxa" w:w="173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sz w:val="18"/>
                <w:szCs w:val="18"/>
              </w:rPr>
              <w:t xml:space="preserve">Core</w:t>
            </w:r>
          </w:p>
        </w:tc>
      </w:tr>
      <w:tr>
        <w:trPr>
          <w:cantSplit/>
        </w:trPr>
        <w:tc>
          <w:tcPr>
            <w:tcW w:type="dxa" w:w="298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delete_decision_flow</w:t>
            </w:r>
          </w:p>
        </w:tc>
        <w:tc>
          <w:tcPr>
            <w:tcW w:type="dxa" w:w="385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Delete a decision flow</w:t>
            </w:r>
          </w:p>
        </w:tc>
        <w:tc>
          <w:tcPr>
            <w:tcW w:type="dxa" w:w="106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color w:val="C0392B"/>
                <w:sz w:val="18"/>
                <w:szCs w:val="18"/>
              </w:rPr>
              <w:t xml:space="preserve">Destructive</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Blocked</w:t>
            </w:r>
          </w:p>
        </w:tc>
      </w:tr>
      <w:tr>
        <w:trPr>
          <w:cantSplit/>
        </w:trPr>
        <w:tc>
          <w:tcPr>
            <w:tcW w:type="dxa" w:w="2988"/>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sz w:val="18"/>
                <w:szCs w:val="18"/>
              </w:rPr>
              <w:t xml:space="preserve">get_decision_flow_code</w:t>
            </w:r>
          </w:p>
        </w:tc>
        <w:tc>
          <w:tcPr>
            <w:tcW w:type="dxa" w:w="385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The generated DS2 execution code of a flow</w:t>
            </w:r>
          </w:p>
        </w:tc>
        <w:tc>
          <w:tcPr>
            <w:tcW w:type="dxa" w:w="1060"/>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color w:val="2E8B57"/>
                <w:sz w:val="18"/>
                <w:szCs w:val="18"/>
              </w:rPr>
              <w:t xml:space="preserve">Read-only</w:t>
            </w:r>
          </w:p>
        </w:tc>
        <w:tc>
          <w:tcPr>
            <w:tcW w:type="dxa" w:w="173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Evidence of exact logic</w:t>
            </w:r>
          </w:p>
        </w:tc>
      </w:tr>
      <w:tr>
        <w:trPr>
          <w:cantSplit/>
        </w:trPr>
        <w:tc>
          <w:tcPr>
            <w:tcW w:type="dxa" w:w="298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lock_decision_flow_revision</w:t>
            </w:r>
          </w:p>
        </w:tc>
        <w:tc>
          <w:tcPr>
            <w:tcW w:type="dxa" w:w="385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Lock a decision flow as an immutable revision</w:t>
            </w:r>
          </w:p>
        </w:tc>
        <w:tc>
          <w:tcPr>
            <w:tcW w:type="dxa" w:w="106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color w:val="B7791F"/>
                <w:sz w:val="18"/>
                <w:szCs w:val="18"/>
              </w:rPr>
              <w:t xml:space="preserve">Write</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Blocked</w:t>
            </w:r>
          </w:p>
        </w:tc>
      </w:tr>
      <w:tr>
        <w:trPr>
          <w:cantSplit/>
        </w:trPr>
        <w:tc>
          <w:tcPr>
            <w:tcW w:type="dxa" w:w="2988"/>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sz w:val="18"/>
                <w:szCs w:val="18"/>
              </w:rPr>
              <w:t xml:space="preserve">list_decision_flow_revisions</w:t>
            </w:r>
          </w:p>
        </w:tc>
        <w:tc>
          <w:tcPr>
            <w:tcW w:type="dxa" w:w="385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List a flow’s locked revisions</w:t>
            </w:r>
          </w:p>
        </w:tc>
        <w:tc>
          <w:tcPr>
            <w:tcW w:type="dxa" w:w="1060"/>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color w:val="2E8B57"/>
                <w:sz w:val="18"/>
                <w:szCs w:val="18"/>
              </w:rPr>
              <w:t xml:space="preserve">Read-only</w:t>
            </w:r>
          </w:p>
        </w:tc>
        <w:tc>
          <w:tcPr>
            <w:tcW w:type="dxa" w:w="173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sz w:val="18"/>
                <w:szCs w:val="18"/>
              </w:rPr>
              <w:t xml:space="preserve">Core</w:t>
            </w:r>
          </w:p>
        </w:tc>
      </w:tr>
      <w:tr>
        <w:trPr>
          <w:cantSplit/>
        </w:trPr>
        <w:tc>
          <w:tcPr>
            <w:tcW w:type="dxa" w:w="298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get_decision_flow_revision</w:t>
            </w:r>
          </w:p>
        </w:tc>
        <w:tc>
          <w:tcPr>
            <w:tcW w:type="dxa" w:w="385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Get one locked revision of a flow</w:t>
            </w:r>
          </w:p>
        </w:tc>
        <w:tc>
          <w:tcPr>
            <w:tcW w:type="dxa" w:w="106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color w:val="2E8B57"/>
                <w:sz w:val="18"/>
                <w:szCs w:val="18"/>
              </w:rPr>
              <w:t xml:space="preserve">Read-only</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Core</w:t>
            </w:r>
          </w:p>
        </w:tc>
      </w:tr>
      <w:tr>
        <w:trPr>
          <w:cantSplit/>
        </w:trPr>
        <w:tc>
          <w:tcPr>
            <w:tcW w:type="dxa" w:w="2988"/>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sz w:val="18"/>
                <w:szCs w:val="18"/>
              </w:rPr>
              <w:t xml:space="preserve">publish_decision_flow</w:t>
            </w:r>
          </w:p>
        </w:tc>
        <w:tc>
          <w:tcPr>
            <w:tcW w:type="dxa" w:w="385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Publish a locked revision to a MAS destination</w:t>
            </w:r>
          </w:p>
        </w:tc>
        <w:tc>
          <w:tcPr>
            <w:tcW w:type="dxa" w:w="1060"/>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color w:val="B7791F"/>
                <w:sz w:val="18"/>
                <w:szCs w:val="18"/>
              </w:rPr>
              <w:t xml:space="preserve">Write</w:t>
            </w:r>
          </w:p>
        </w:tc>
        <w:tc>
          <w:tcPr>
            <w:tcW w:type="dxa" w:w="173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Blocked</w:t>
            </w:r>
          </w:p>
        </w:tc>
      </w:tr>
    </w:tbl>
    <w:p>
      <w:pPr>
        <w:pStyle w:val="Heading2"/>
      </w:pPr>
      <w:r>
        <w:t xml:space="preserve">Tier 8 — Workbench (Execute Code Only)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88"/>
        <w:gridCol w:w="3855"/>
        <w:gridCol w:w="1060"/>
        <w:gridCol w:w="1735"/>
      </w:tblGrid>
      <w:tr>
        <w:trPr>
          <w:tblHeader/>
        </w:trPr>
        <w:tc>
          <w:tcPr>
            <w:tcW w:type="dxa" w:w="2988"/>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Tool</w:t>
            </w:r>
          </w:p>
        </w:tc>
        <w:tc>
          <w:tcPr>
            <w:tcW w:type="dxa" w:w="385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What it does</w:t>
            </w:r>
          </w:p>
        </w:tc>
        <w:tc>
          <w:tcPr>
            <w:tcW w:type="dxa" w:w="1060"/>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Access</w:t>
            </w:r>
          </w:p>
        </w:tc>
        <w:tc>
          <w:tcPr>
            <w:tcW w:type="dxa" w:w="173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GRC use</w:t>
            </w:r>
          </w:p>
        </w:tc>
      </w:tr>
      <w:tr>
        <w:trPr>
          <w:cantSplit/>
        </w:trPr>
        <w:tc>
          <w:tcPr>
            <w:tcW w:type="dxa" w:w="298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execute_sas_code</w:t>
            </w:r>
          </w:p>
        </w:tc>
        <w:tc>
          <w:tcPr>
            <w:tcW w:type="dxa" w:w="385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The same tool as in Tier 0, offered alone for SAS Workbench deployments (counted once in the 92)</w:t>
            </w:r>
          </w:p>
        </w:tc>
        <w:tc>
          <w:tcPr>
            <w:tcW w:type="dxa" w:w="106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color w:val="C0392B"/>
                <w:sz w:val="18"/>
                <w:szCs w:val="18"/>
              </w:rPr>
              <w:t xml:space="preserve">Destructive</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Blocked by policy</w:t>
            </w:r>
          </w:p>
        </w:tc>
      </w:tr>
    </w:tbl>
    <w:p>
      <w:pPr>
        <w:pStyle w:val="Heading2"/>
      </w:pPr>
      <w:r>
        <w:t xml:space="preserve">Tier 9 — Business Glossary (SAS Data Governance)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88"/>
        <w:gridCol w:w="3855"/>
        <w:gridCol w:w="1060"/>
        <w:gridCol w:w="1735"/>
      </w:tblGrid>
      <w:tr>
        <w:trPr>
          <w:tblHeader/>
        </w:trPr>
        <w:tc>
          <w:tcPr>
            <w:tcW w:type="dxa" w:w="2988"/>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Tool</w:t>
            </w:r>
          </w:p>
        </w:tc>
        <w:tc>
          <w:tcPr>
            <w:tcW w:type="dxa" w:w="385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What it does</w:t>
            </w:r>
          </w:p>
        </w:tc>
        <w:tc>
          <w:tcPr>
            <w:tcW w:type="dxa" w:w="1060"/>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Access</w:t>
            </w:r>
          </w:p>
        </w:tc>
        <w:tc>
          <w:tcPr>
            <w:tcW w:type="dxa" w:w="173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GRC use</w:t>
            </w:r>
          </w:p>
        </w:tc>
      </w:tr>
      <w:tr>
        <w:trPr>
          <w:cantSplit/>
        </w:trPr>
        <w:tc>
          <w:tcPr>
            <w:tcW w:type="dxa" w:w="298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search_glossary_terms</w:t>
            </w:r>
          </w:p>
        </w:tc>
        <w:tc>
          <w:tcPr>
            <w:tcW w:type="dxa" w:w="385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Ranked free-text search over term names and definitions</w:t>
            </w:r>
          </w:p>
        </w:tc>
        <w:tc>
          <w:tcPr>
            <w:tcW w:type="dxa" w:w="106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color w:val="2E8B57"/>
                <w:sz w:val="18"/>
                <w:szCs w:val="18"/>
              </w:rPr>
              <w:t xml:space="preserve">Read-only</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Core:</w:t>
            </w:r>
            <w:r>
              <w:rPr>
                <w:sz w:val="18"/>
                <w:szCs w:val="18"/>
              </w:rPr>
              <w:t xml:space="preserve"> what a risk data field means</w:t>
            </w:r>
          </w:p>
        </w:tc>
      </w:tr>
      <w:tr>
        <w:trPr>
          <w:cantSplit/>
        </w:trPr>
        <w:tc>
          <w:tcPr>
            <w:tcW w:type="dxa" w:w="2988"/>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sz w:val="18"/>
                <w:szCs w:val="18"/>
              </w:rPr>
              <w:t xml:space="preserve">list_glossary_terms</w:t>
            </w:r>
          </w:p>
        </w:tc>
        <w:tc>
          <w:tcPr>
            <w:tcW w:type="dxa" w:w="385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List terms by type, parent or name, with their attributes</w:t>
            </w:r>
          </w:p>
        </w:tc>
        <w:tc>
          <w:tcPr>
            <w:tcW w:type="dxa" w:w="1060"/>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color w:val="2E8B57"/>
                <w:sz w:val="18"/>
                <w:szCs w:val="18"/>
              </w:rPr>
              <w:t xml:space="preserve">Read-only</w:t>
            </w:r>
          </w:p>
        </w:tc>
        <w:tc>
          <w:tcPr>
            <w:tcW w:type="dxa" w:w="173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Useful: controlled vocabularies</w:t>
            </w:r>
          </w:p>
        </w:tc>
      </w:tr>
      <w:tr>
        <w:trPr>
          <w:cantSplit/>
        </w:trPr>
        <w:tc>
          <w:tcPr>
            <w:tcW w:type="dxa" w:w="298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get_glossary_term</w:t>
            </w:r>
          </w:p>
        </w:tc>
        <w:tc>
          <w:tcPr>
            <w:tcW w:type="dxa" w:w="385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One term in full, with named custom attributes</w:t>
            </w:r>
          </w:p>
        </w:tc>
        <w:tc>
          <w:tcPr>
            <w:tcW w:type="dxa" w:w="106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color w:val="2E8B57"/>
                <w:sz w:val="18"/>
                <w:szCs w:val="18"/>
              </w:rPr>
              <w:t xml:space="preserve">Read-only</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Useful</w:t>
            </w:r>
          </w:p>
        </w:tc>
      </w:tr>
      <w:tr>
        <w:trPr>
          <w:cantSplit/>
        </w:trPr>
        <w:tc>
          <w:tcPr>
            <w:tcW w:type="dxa" w:w="2988"/>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sz w:val="18"/>
                <w:szCs w:val="18"/>
              </w:rPr>
              <w:t xml:space="preserve">list_glossary_term_types</w:t>
            </w:r>
          </w:p>
        </w:tc>
        <w:tc>
          <w:tcPr>
            <w:tcW w:type="dxa" w:w="385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The term types available</w:t>
            </w:r>
          </w:p>
        </w:tc>
        <w:tc>
          <w:tcPr>
            <w:tcW w:type="dxa" w:w="1060"/>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color w:val="2E8B57"/>
                <w:sz w:val="18"/>
                <w:szCs w:val="18"/>
              </w:rPr>
              <w:t xml:space="preserve">Read-only</w:t>
            </w:r>
          </w:p>
        </w:tc>
        <w:tc>
          <w:tcPr>
            <w:tcW w:type="dxa" w:w="173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w:t>
            </w:r>
          </w:p>
        </w:tc>
      </w:tr>
      <w:tr>
        <w:trPr>
          <w:cantSplit/>
        </w:trPr>
        <w:tc>
          <w:tcPr>
            <w:tcW w:type="dxa" w:w="298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get_glossary_term_type</w:t>
            </w:r>
          </w:p>
        </w:tc>
        <w:tc>
          <w:tcPr>
            <w:tcW w:type="dxa" w:w="385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The attribute contract a term of that type must satisfy</w:t>
            </w:r>
          </w:p>
        </w:tc>
        <w:tc>
          <w:tcPr>
            <w:tcW w:type="dxa" w:w="106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color w:val="2E8B57"/>
                <w:sz w:val="18"/>
                <w:szCs w:val="18"/>
              </w:rPr>
              <w:t xml:space="preserve">Read-only</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w:t>
            </w:r>
          </w:p>
        </w:tc>
      </w:tr>
      <w:tr>
        <w:trPr>
          <w:cantSplit/>
        </w:trPr>
        <w:tc>
          <w:tcPr>
            <w:tcW w:type="dxa" w:w="2988"/>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sz w:val="18"/>
                <w:szCs w:val="18"/>
              </w:rPr>
              <w:t xml:space="preserve">list_term_assets</w:t>
            </w:r>
          </w:p>
        </w:tc>
        <w:tc>
          <w:tcPr>
            <w:tcW w:type="dxa" w:w="385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The columns (and tables) a term is attached to</w:t>
            </w:r>
          </w:p>
        </w:tc>
        <w:tc>
          <w:tcPr>
            <w:tcW w:type="dxa" w:w="1060"/>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color w:val="2E8B57"/>
                <w:sz w:val="18"/>
                <w:szCs w:val="18"/>
              </w:rPr>
              <w:t xml:space="preserve">Read-only</w:t>
            </w:r>
          </w:p>
        </w:tc>
        <w:tc>
          <w:tcPr>
            <w:tcW w:type="dxa" w:w="173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Useful: where a KRI’s data lives</w:t>
            </w:r>
          </w:p>
        </w:tc>
      </w:tr>
      <w:tr>
        <w:trPr>
          <w:cantSplit/>
        </w:trPr>
        <w:tc>
          <w:tcPr>
            <w:tcW w:type="dxa" w:w="298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list_table_terms</w:t>
            </w:r>
          </w:p>
        </w:tc>
        <w:tc>
          <w:tcPr>
            <w:tcW w:type="dxa" w:w="385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Every column of a table with its assigned term and definition</w:t>
            </w:r>
          </w:p>
        </w:tc>
        <w:tc>
          <w:tcPr>
            <w:tcW w:type="dxa" w:w="106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color w:val="2E8B57"/>
                <w:sz w:val="18"/>
                <w:szCs w:val="18"/>
              </w:rPr>
              <w:t xml:space="preserve">Read-only</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Useful: is this table governed</w:t>
            </w:r>
          </w:p>
        </w:tc>
      </w:tr>
      <w:tr>
        <w:trPr>
          <w:cantSplit/>
        </w:trPr>
        <w:tc>
          <w:tcPr>
            <w:tcW w:type="dxa" w:w="2988"/>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sz w:val="18"/>
                <w:szCs w:val="18"/>
              </w:rPr>
              <w:t xml:space="preserve">create_glossary_term</w:t>
            </w:r>
          </w:p>
        </w:tc>
        <w:tc>
          <w:tcPr>
            <w:tcW w:type="dxa" w:w="385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Create a term (published by default)</w:t>
            </w:r>
          </w:p>
        </w:tc>
        <w:tc>
          <w:tcPr>
            <w:tcW w:type="dxa" w:w="1060"/>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color w:val="B7791F"/>
                <w:sz w:val="18"/>
                <w:szCs w:val="18"/>
              </w:rPr>
              <w:t xml:space="preserve">Write</w:t>
            </w:r>
          </w:p>
        </w:tc>
        <w:tc>
          <w:tcPr>
            <w:tcW w:type="dxa" w:w="173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w:t>
            </w:r>
          </w:p>
        </w:tc>
      </w:tr>
      <w:tr>
        <w:trPr>
          <w:cantSplit/>
        </w:trPr>
        <w:tc>
          <w:tcPr>
            <w:tcW w:type="dxa" w:w="298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import_glossary_terms</w:t>
            </w:r>
          </w:p>
        </w:tc>
        <w:tc>
          <w:tcPr>
            <w:tcW w:type="dxa" w:w="385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Create many terms and their hierarchy in one call</w:t>
            </w:r>
          </w:p>
        </w:tc>
        <w:tc>
          <w:tcPr>
            <w:tcW w:type="dxa" w:w="106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color w:val="C0392B"/>
                <w:sz w:val="18"/>
                <w:szCs w:val="18"/>
              </w:rPr>
              <w:t xml:space="preserve">Destructive</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w:t>
            </w:r>
          </w:p>
        </w:tc>
      </w:tr>
      <w:tr>
        <w:trPr>
          <w:cantSplit/>
        </w:trPr>
        <w:tc>
          <w:tcPr>
            <w:tcW w:type="dxa" w:w="2988"/>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sz w:val="18"/>
                <w:szCs w:val="18"/>
              </w:rPr>
              <w:t xml:space="preserve">update_glossary_term</w:t>
            </w:r>
          </w:p>
        </w:tc>
        <w:tc>
          <w:tcPr>
            <w:tcW w:type="dxa" w:w="385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Change a term’s text, parent or attributes; publish a draft</w:t>
            </w:r>
          </w:p>
        </w:tc>
        <w:tc>
          <w:tcPr>
            <w:tcW w:type="dxa" w:w="1060"/>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color w:val="C0392B"/>
                <w:sz w:val="18"/>
                <w:szCs w:val="18"/>
              </w:rPr>
              <w:t xml:space="preserve">Destructive</w:t>
            </w:r>
          </w:p>
        </w:tc>
        <w:tc>
          <w:tcPr>
            <w:tcW w:type="dxa" w:w="173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w:t>
            </w:r>
          </w:p>
        </w:tc>
      </w:tr>
      <w:tr>
        <w:trPr>
          <w:cantSplit/>
        </w:trPr>
        <w:tc>
          <w:tcPr>
            <w:tcW w:type="dxa" w:w="298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delete_glossary_term</w:t>
            </w:r>
          </w:p>
        </w:tc>
        <w:tc>
          <w:tcPr>
            <w:tcW w:type="dxa" w:w="385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Permanently delete a term and its assignments</w:t>
            </w:r>
          </w:p>
        </w:tc>
        <w:tc>
          <w:tcPr>
            <w:tcW w:type="dxa" w:w="106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color w:val="C0392B"/>
                <w:sz w:val="18"/>
                <w:szCs w:val="18"/>
              </w:rPr>
              <w:t xml:space="preserve">Destructive</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w:t>
            </w:r>
          </w:p>
        </w:tc>
      </w:tr>
      <w:tr>
        <w:trPr>
          <w:cantSplit/>
        </w:trPr>
        <w:tc>
          <w:tcPr>
            <w:tcW w:type="dxa" w:w="2988"/>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sz w:val="18"/>
                <w:szCs w:val="18"/>
              </w:rPr>
              <w:t xml:space="preserve">assign_glossary_term</w:t>
            </w:r>
          </w:p>
        </w:tc>
        <w:tc>
          <w:tcPr>
            <w:tcW w:type="dxa" w:w="385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Attach a term to a table column</w:t>
            </w:r>
          </w:p>
        </w:tc>
        <w:tc>
          <w:tcPr>
            <w:tcW w:type="dxa" w:w="1060"/>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color w:val="B7791F"/>
                <w:sz w:val="18"/>
                <w:szCs w:val="18"/>
              </w:rPr>
              <w:t xml:space="preserve">Write</w:t>
            </w:r>
          </w:p>
        </w:tc>
        <w:tc>
          <w:tcPr>
            <w:tcW w:type="dxa" w:w="173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w:t>
            </w:r>
          </w:p>
        </w:tc>
      </w:tr>
      <w:tr>
        <w:trPr>
          <w:cantSplit/>
        </w:trPr>
        <w:tc>
          <w:tcPr>
            <w:tcW w:type="dxa" w:w="298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unassign_glossary_term</w:t>
            </w:r>
          </w:p>
        </w:tc>
        <w:tc>
          <w:tcPr>
            <w:tcW w:type="dxa" w:w="385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Detach a term from a column</w:t>
            </w:r>
          </w:p>
        </w:tc>
        <w:tc>
          <w:tcPr>
            <w:tcW w:type="dxa" w:w="106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color w:val="C0392B"/>
                <w:sz w:val="18"/>
                <w:szCs w:val="18"/>
              </w:rPr>
              <w:t xml:space="preserve">Destructive</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w:t>
            </w:r>
          </w:p>
        </w:tc>
      </w:tr>
      <w:tr>
        <w:trPr>
          <w:cantSplit/>
        </w:trPr>
        <w:tc>
          <w:tcPr>
            <w:tcW w:type="dxa" w:w="2988"/>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sz w:val="18"/>
                <w:szCs w:val="18"/>
              </w:rPr>
              <w:t xml:space="preserve">create_glossary_term_type</w:t>
            </w:r>
          </w:p>
        </w:tc>
        <w:tc>
          <w:tcPr>
            <w:tcW w:type="dxa" w:w="385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Define a term template: its attributes and allowed values</w:t>
            </w:r>
          </w:p>
        </w:tc>
        <w:tc>
          <w:tcPr>
            <w:tcW w:type="dxa" w:w="1060"/>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color w:val="B7791F"/>
                <w:sz w:val="18"/>
                <w:szCs w:val="18"/>
              </w:rPr>
              <w:t xml:space="preserve">Write</w:t>
            </w:r>
          </w:p>
        </w:tc>
        <w:tc>
          <w:tcPr>
            <w:tcW w:type="dxa" w:w="173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w:t>
            </w:r>
          </w:p>
        </w:tc>
      </w:tr>
      <w:tr>
        <w:trPr>
          <w:cantSplit/>
        </w:trPr>
        <w:tc>
          <w:tcPr>
            <w:tcW w:type="dxa" w:w="298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update_glossary_term_type</w:t>
            </w:r>
          </w:p>
        </w:tc>
        <w:tc>
          <w:tcPr>
            <w:tcW w:type="dxa" w:w="385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Change a term template</w:t>
            </w:r>
          </w:p>
        </w:tc>
        <w:tc>
          <w:tcPr>
            <w:tcW w:type="dxa" w:w="106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color w:val="C0392B"/>
                <w:sz w:val="18"/>
                <w:szCs w:val="18"/>
              </w:rPr>
              <w:t xml:space="preserve">Destructive</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w:t>
            </w:r>
          </w:p>
        </w:tc>
      </w:tr>
      <w:tr>
        <w:trPr>
          <w:cantSplit/>
        </w:trPr>
        <w:tc>
          <w:tcPr>
            <w:tcW w:type="dxa" w:w="2988"/>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sz w:val="18"/>
                <w:szCs w:val="18"/>
              </w:rPr>
              <w:t xml:space="preserve">delete_glossary_term_type</w:t>
            </w:r>
          </w:p>
        </w:tc>
        <w:tc>
          <w:tcPr>
            <w:tcW w:type="dxa" w:w="385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Delete a term template</w:t>
            </w:r>
          </w:p>
        </w:tc>
        <w:tc>
          <w:tcPr>
            <w:tcW w:type="dxa" w:w="1060"/>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color w:val="C0392B"/>
                <w:sz w:val="18"/>
                <w:szCs w:val="18"/>
              </w:rPr>
              <w:t xml:space="preserve">Destructive</w:t>
            </w:r>
          </w:p>
        </w:tc>
        <w:tc>
          <w:tcPr>
            <w:tcW w:type="dxa" w:w="173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w:t>
            </w:r>
          </w:p>
        </w:tc>
      </w:tr>
    </w:tbl>
    <w:p>
      <w:r>
        <w:br w:type="page"/>
      </w:r>
    </w:p>
    <w:p>
      <w:pPr>
        <w:pStyle w:val="Heading1"/>
      </w:pPr>
      <w:r>
        <w:t xml:space="preserve">Appendix B. Sources</w:t>
      </w:r>
    </w:p>
    <w:p>
      <w:pPr>
        <w:pStyle w:val="ListParagraph"/>
        <w:numPr>
          <w:ilvl w:val="0"/>
          <w:numId w:val="2"/>
        </w:numPr>
        <w:spacing w:after="40"/>
      </w:pPr>
      <w:r>
        <w:rPr>
          <w:sz w:val="18"/>
          <w:szCs w:val="18"/>
        </w:rPr>
        <w:t xml:space="preserve">SAS Viya MCP Server (GitHub, tool tiers and read-only mode) — </w:t>
      </w:r>
      <w:hyperlink w:history="1" r:id="rIdwj7onfgffxdui7yg-ukxy">
        <w:r>
          <w:rPr>
            <w:rStyle w:val="Hyperlink"/>
            <w:sz w:val="18"/>
            <w:szCs w:val="18"/>
          </w:rPr>
          <w:t xml:space="preserve">https://github.com/sassoftware/sas-mcp-server</w:t>
        </w:r>
      </w:hyperlink>
    </w:p>
    <w:p>
      <w:pPr>
        <w:pStyle w:val="ListParagraph"/>
        <w:numPr>
          <w:ilvl w:val="0"/>
          <w:numId w:val="2"/>
        </w:numPr>
        <w:spacing w:after="40"/>
      </w:pPr>
      <w:r>
        <w:rPr>
          <w:sz w:val="18"/>
          <w:szCs w:val="18"/>
        </w:rPr>
        <w:t xml:space="preserve">SAS Viya MCP Server product page — </w:t>
      </w:r>
      <w:hyperlink w:history="1" r:id="rIdyha3pt_zitovrrootzqea">
        <w:r>
          <w:rPr>
            <w:rStyle w:val="Hyperlink"/>
            <w:sz w:val="18"/>
            <w:szCs w:val="18"/>
          </w:rPr>
          <w:t xml:space="preserve">https://www.sas.com/en_us/software/viya/mcp-server.html</w:t>
        </w:r>
      </w:hyperlink>
    </w:p>
    <w:p>
      <w:pPr>
        <w:pStyle w:val="ListParagraph"/>
        <w:numPr>
          <w:ilvl w:val="0"/>
          <w:numId w:val="2"/>
        </w:numPr>
        <w:spacing w:after="40"/>
      </w:pPr>
      <w:r>
        <w:rPr>
          <w:sz w:val="18"/>
          <w:szCs w:val="18"/>
        </w:rPr>
        <w:t xml:space="preserve">SAS press release, SAS Innovate 2026: AI assistants and agentic AI — </w:t>
      </w:r>
      <w:hyperlink w:history="1" r:id="rIdapgkme1q94zhz4jjptwhm">
        <w:r>
          <w:rPr>
            <w:rStyle w:val="Hyperlink"/>
            <w:sz w:val="18"/>
            <w:szCs w:val="18"/>
          </w:rPr>
          <w:t xml:space="preserve">https://www.sas.com/en_us/news/press-releases/2026/april/innovate-viya-ai-assistants-agentic.html</w:t>
        </w:r>
      </w:hyperlink>
    </w:p>
    <w:p>
      <w:pPr>
        <w:pStyle w:val="ListParagraph"/>
        <w:numPr>
          <w:ilvl w:val="0"/>
          <w:numId w:val="2"/>
        </w:numPr>
        <w:spacing w:after="40"/>
      </w:pPr>
      <w:r>
        <w:rPr>
          <w:sz w:val="18"/>
          <w:szCs w:val="18"/>
        </w:rPr>
        <w:t xml:space="preserve">SAS blog: governed banking workflow with the Viya MCP Server — </w:t>
      </w:r>
      <w:hyperlink w:history="1" r:id="rIdr2jm8ilwvxf22rr_b8kgm">
        <w:r>
          <w:rPr>
            <w:rStyle w:val="Hyperlink"/>
            <w:sz w:val="18"/>
            <w:szCs w:val="18"/>
          </w:rPr>
          <w:t xml:space="preserve">https://blogs.sas.com/content/subconsciousmusings/2026/08/06/building-a-governed-banking-workflow-with-sas-viya-mcp-server-and-claude-cowork/</w:t>
        </w:r>
      </w:hyperlink>
    </w:p>
    <w:p>
      <w:pPr>
        <w:pStyle w:val="ListParagraph"/>
        <w:numPr>
          <w:ilvl w:val="0"/>
          <w:numId w:val="2"/>
        </w:numPr>
        <w:spacing w:after="40"/>
      </w:pPr>
      <w:r>
        <w:rPr>
          <w:sz w:val="18"/>
          <w:szCs w:val="18"/>
        </w:rPr>
        <w:t xml:space="preserve">SAS Communities: REST APIs in SAS Model Risk Management (riskCirrusObjects) — </w:t>
      </w:r>
      <w:hyperlink w:history="1" r:id="rIdyim556rqf4bv8tqi3zsx7">
        <w:r>
          <w:rPr>
            <w:rStyle w:val="Hyperlink"/>
            <w:sz w:val="18"/>
            <w:szCs w:val="18"/>
          </w:rPr>
          <w:t xml:space="preserve">https://communities.sas.com/t5/SAS-Communities-Library/Using-REST-APIs-to-Export-Data-in-SAS-Model-Risk-Management/ta-p/986389</w:t>
        </w:r>
      </w:hyperlink>
    </w:p>
    <w:p>
      <w:pPr>
        <w:pStyle w:val="ListParagraph"/>
        <w:numPr>
          <w:ilvl w:val="0"/>
          <w:numId w:val="2"/>
        </w:numPr>
        <w:spacing w:after="40"/>
      </w:pPr>
      <w:r>
        <w:rPr>
          <w:sz w:val="18"/>
          <w:szCs w:val="18"/>
        </w:rPr>
        <w:t xml:space="preserve">SAS GCM features — </w:t>
      </w:r>
      <w:hyperlink w:history="1" r:id="rId1t1sbefrvnu86jum-bbb7">
        <w:r>
          <w:rPr>
            <w:rStyle w:val="Hyperlink"/>
            <w:sz w:val="18"/>
            <w:szCs w:val="18"/>
          </w:rPr>
          <w:t xml:space="preserve">https://www.sas.com/en_us/software/governance-compliance-manager/features-list.html</w:t>
        </w:r>
      </w:hyperlink>
    </w:p>
    <w:p>
      <w:pPr>
        <w:pStyle w:val="ListParagraph"/>
        <w:numPr>
          <w:ilvl w:val="0"/>
          <w:numId w:val="2"/>
        </w:numPr>
        <w:spacing w:after="40"/>
      </w:pPr>
      <w:r>
        <w:rPr>
          <w:sz w:val="18"/>
          <w:szCs w:val="18"/>
        </w:rPr>
        <w:t xml:space="preserve">SAS GCM support (documentation needs an access key) — </w:t>
      </w:r>
      <w:hyperlink w:history="1" r:id="rIdzruhejmsriaw-dbazzcij">
        <w:r>
          <w:rPr>
            <w:rStyle w:val="Hyperlink"/>
            <w:sz w:val="18"/>
            <w:szCs w:val="18"/>
          </w:rPr>
          <w:t xml:space="preserve">https://support.sas.com/en/software/governance-and-compliance-manager-support.html</w:t>
        </w:r>
      </w:hyperlink>
    </w:p>
    <w:p>
      <w:pPr>
        <w:pStyle w:val="ListParagraph"/>
        <w:numPr>
          <w:ilvl w:val="0"/>
          <w:numId w:val="2"/>
        </w:numPr>
        <w:spacing w:after="40"/>
      </w:pPr>
      <w:r>
        <w:rPr>
          <w:sz w:val="18"/>
          <w:szCs w:val="18"/>
        </w:rPr>
        <w:t xml:space="preserve">SAS Viya Deployment Guide 2025.09 (GCM on Viya, Risk Cirrus Core) — </w:t>
      </w:r>
      <w:hyperlink w:history="1" r:id="rId-f2x9vadap30-kxgmm9dh">
        <w:r>
          <w:rPr>
            <w:rStyle w:val="Hyperlink"/>
            <w:sz w:val="18"/>
            <w:szCs w:val="18"/>
          </w:rPr>
          <w:t xml:space="preserve">https://documentation.sas.com/api/docsets/dplyml0phy0dkr/v_066/content/dplyml0phy0dkr.pdf?locale=en</w:t>
        </w:r>
      </w:hyperlink>
    </w:p>
    <w:p>
      <w:pPr>
        <w:pStyle w:val="ListParagraph"/>
        <w:numPr>
          <w:ilvl w:val="0"/>
          <w:numId w:val="2"/>
        </w:numPr>
        <w:spacing w:after="60" w:line="264"/>
      </w:pPr>
      <w:r>
        <w:t xml:space="preserve">Our own lab findings: SAS Viya MCP Server 1.15 and 1.16.1 on SAS Viya, with Hermes Agent 0.21 and Fleet Studio, September 2026 (internal integration notes).</w:t>
      </w:r>
    </w:p>
    <w:sectPr>
      <w:headerReference w:type="default" r:id="rId6"/>
      <w:footerReference w:type="default" r:id="rId7"/>
      <w:footerReference w:type="first" r:id="rId8"/>
      <w:pgSz w:w="11906" w:h="16838" w:orient="portrait"/>
      <w:pgMar w:top="1134" w:right="1134" w:bottom="1134" w:left="1134"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770"/>
        <w:sz w:val="16"/>
        <w:szCs w:val="16"/>
      </w:rPr>
      <w:t xml:space="preserve">Page </w:t>
    </w:r>
    <w:r>
      <w:rPr>
        <w:color w:val="5B6770"/>
        <w:sz w:val="16"/>
        <w:szCs w:val="16"/>
      </w:rPr>
      <w:fldChar w:fldCharType="begin"/>
      <w:instrText xml:space="preserve">PAGE</w:instrText>
      <w:fldChar w:fldCharType="separate"/>
      <w:fldChar w:fldCharType="end"/>
    </w:r>
    <w:r>
      <w:rPr>
        <w:color w:val="5B6770"/>
        <w:sz w:val="16"/>
        <w:szCs w:val="16"/>
      </w:rPr>
      <w:t xml:space="preserve">  ·  Internal — draft for discussion</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5B6770"/>
        <w:sz w:val="16"/>
        <w:szCs w:val="16"/>
      </w:rPr>
      <w:t xml:space="preserve">Internal — draft for discussion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inline distT="0" distB="0" distL="0" distR="0">
          <wp:extent cx="876300" cy="209550"/>
          <wp:effectExtent t="0" r="0" b="0" l="0"/>
          <wp:docPr id="2" name="Fleet Studio logo" descr="Fleet Studio by Verto Wave" title="Fleet St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76300" cy="209550"/>
                  </a:xfrm>
                  <a:prstGeom prst="rect">
                    <a:avLst/>
                  </a:prstGeom>
                </pic:spPr>
              </pic:pic>
            </a:graphicData>
          </a:graphic>
        </wp:inline>
      </w:drawing>
    </w:r>
    <w:r>
      <w:rPr>
        <w:color w:val="5B6770"/>
        <w:sz w:val="16"/>
        <w:szCs w:val="16"/>
      </w:rPr>
      <w:ptab w:alignment="right" w:relativeTo="margin" w:leader="none"/>
      <w:t xml:space="preserve">Agentic GRC on SAS — Response to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lvl w:ilvl="1" w:tentative="1">
      <w:start w:val="1"/>
      <w:numFmt w:val="bullet"/>
      <w:lvlText w:val="–"/>
      <w:lvlJc w:val="left"/>
      <w:pPr>
        <w:ind w:left="720" w:hanging="240"/>
      </w:pPr>
    </w:lvl>
  </w:abstractNum>
  <w:abstractNum w:abstractNumId="3" w15:restartNumberingAfterBreak="0">
    <w:multiLevelType w:val="hybridMultilevel"/>
    <w:lvl w:ilvl="0" w:tentative="1">
      <w:start w:val="1"/>
      <w:numFmt w:val="decimal"/>
      <w:lvlText w:val="%1."/>
      <w:lvlJc w:val="left"/>
      <w:pPr>
        <w:ind w:left="400" w:hanging="300"/>
      </w:pPr>
    </w:lvl>
  </w:abstractNum>
  <w:abstractNum w:abstractNumId="4" w15:restartNumberingAfterBreak="0">
    <w:multiLevelType w:val="hybridMultilevel"/>
    <w:lvl w:ilvl="0" w:tentative="1">
      <w:start w:val="1"/>
      <w:numFmt w:val="decimal"/>
      <w:lvlText w:val="%1."/>
      <w:lvlJc w:val="left"/>
      <w:pPr>
        <w:ind w:left="400" w:hanging="300"/>
      </w:pPr>
    </w:lvl>
  </w:abstractNum>
  <w:abstractNum w:abstractNumId="5" w15:restartNumberingAfterBreak="0">
    <w:multiLevelType w:val="hybridMultilevel"/>
    <w:lvl w:ilvl="0" w:tentative="1">
      <w:start w:val="1"/>
      <w:numFmt w:val="decimal"/>
      <w:lvlText w:val="%1."/>
      <w:lvlJc w:val="left"/>
      <w:pPr>
        <w:ind w:left="400" w:hanging="300"/>
      </w:pPr>
    </w:lvl>
  </w:abstractNum>
  <w:abstractNum w:abstractNumId="6" w15:restartNumberingAfterBreak="0">
    <w:multiLevelType w:val="hybridMultilevel"/>
    <w:lvl w:ilvl="0" w:tentative="1">
      <w:start w:val="1"/>
      <w:numFmt w:val="decimal"/>
      <w:lvlText w:val="%1."/>
      <w:lvlJc w:val="left"/>
      <w:pPr>
        <w:ind w:left="400" w:hanging="300"/>
      </w:pPr>
    </w:lvl>
  </w:abstractNum>
  <w:abstractNum w:abstractNumId="7" w15:restartNumberingAfterBreak="0">
    <w:multiLevelType w:val="hybridMultilevel"/>
    <w:lvl w:ilvl="0" w:tentative="1">
      <w:start w:val="1"/>
      <w:numFmt w:val="decimal"/>
      <w:lvlText w:val="%1."/>
      <w:lvlJc w:val="left"/>
      <w:pPr>
        <w:ind w:left="400" w:hanging="300"/>
      </w:pPr>
    </w:lvl>
  </w:abstractNum>
  <w:abstractNum w:abstractNumId="8" w15:restartNumberingAfterBreak="0">
    <w:multiLevelType w:val="hybridMultilevel"/>
    <w:lvl w:ilvl="0" w:tentative="1">
      <w:start w:val="1"/>
      <w:numFmt w:val="decimal"/>
      <w:lvlText w:val="%1."/>
      <w:lvlJc w:val="left"/>
      <w:pPr>
        <w:ind w:left="400" w:hanging="300"/>
      </w:pPr>
    </w:lvl>
  </w:abstractNum>
  <w:abstractNum w:abstractNumId="9" w15:restartNumberingAfterBreak="0">
    <w:multiLevelType w:val="hybridMultilevel"/>
    <w:lvl w:ilvl="0" w:tentative="1">
      <w:start w:val="1"/>
      <w:numFmt w:val="decimal"/>
      <w:lvlText w:val="%1."/>
      <w:lvlJc w:val="left"/>
      <w:pPr>
        <w:ind w:left="400" w:hanging="300"/>
      </w:pPr>
    </w:lvl>
  </w:abstractNum>
  <w:abstractNum w:abstractNumId="10" w15:restartNumberingAfterBreak="0">
    <w:multiLevelType w:val="hybridMultilevel"/>
    <w:lvl w:ilvl="0" w:tentative="1">
      <w:start w:val="1"/>
      <w:numFmt w:val="decimal"/>
      <w:lvlText w:val="%1."/>
      <w:lvlJc w:val="left"/>
      <w:pPr>
        <w:ind w:left="400" w:hanging="300"/>
      </w:pPr>
    </w:lvl>
  </w:abstractNum>
  <w:abstractNum w:abstractNumId="11" w15:restartNumberingAfterBreak="0">
    <w:multiLevelType w:val="hybridMultilevel"/>
    <w:lvl w:ilvl="0" w:tentative="1">
      <w:start w:val="1"/>
      <w:numFmt w:val="decimal"/>
      <w:lvlText w:val="%1."/>
      <w:lvlJc w:val="left"/>
      <w:pPr>
        <w:ind w:left="400" w:hanging="300"/>
      </w:pPr>
    </w:lvl>
  </w:abstractNum>
  <w:abstractNum w:abstractNumId="12" w15:restartNumberingAfterBreak="0">
    <w:multiLevelType w:val="hybridMultilevel"/>
    <w:lvl w:ilvl="0" w: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3"/>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b/>
      <w:bCs/>
      <w:color w:val="0B2545"/>
      <w:sz w:val="32"/>
      <w:szCs w:val="32"/>
    </w:rPr>
  </w:style>
  <w:style w:type="paragraph" w:styleId="Heading2">
    <w:name w:val="Heading 2"/>
    <w:basedOn w:val="Normal"/>
    <w:next w:val="Normal"/>
    <w:qFormat/>
    <w:pPr>
      <w:keepNext/>
      <w:spacing w:after="100" w:before="240"/>
      <w:outlineLvl w:val="1"/>
    </w:pPr>
    <w:rPr>
      <w:b/>
      <w:bCs/>
      <w:color w:val="1570B8"/>
      <w:sz w:val="25"/>
      <w:szCs w:val="25"/>
    </w:rPr>
  </w:style>
  <w:style w:type="paragraph" w:styleId="Heading3">
    <w:name w:val="Heading 3"/>
    <w:basedOn w:val="Normal"/>
    <w:next w:val="Normal"/>
    <w:qFormat/>
    <w:pPr>
      <w:spacing w:after="80" w:before="160"/>
      <w:outlineLvl w:val="2"/>
    </w:pPr>
    <w:rPr>
      <w:b/>
      <w:bCs/>
      <w:color w:val="0B2545"/>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theme" Target="theme/theme1.xml"/><Relationship Id="rIdwj7onfgffxdui7yg-ukxy" Type="http://schemas.openxmlformats.org/officeDocument/2006/relationships/hyperlink" Target="https://github.com/sassoftware/sas-mcp-server" TargetMode="External"/><Relationship Id="rIdyha3pt_zitovrrootzqea" Type="http://schemas.openxmlformats.org/officeDocument/2006/relationships/hyperlink" Target="https://www.sas.com/en_us/software/viya/mcp-server.html" TargetMode="External"/><Relationship Id="rIdapgkme1q94zhz4jjptwhm" Type="http://schemas.openxmlformats.org/officeDocument/2006/relationships/hyperlink" Target="https://www.sas.com/en_us/news/press-releases/2026/april/innovate-viya-ai-assistants-agentic.html" TargetMode="External"/><Relationship Id="rIdr2jm8ilwvxf22rr_b8kgm" Type="http://schemas.openxmlformats.org/officeDocument/2006/relationships/hyperlink" Target="https://blogs.sas.com/content/subconsciousmusings/2026/08/06/building-a-governed-banking-workflow-with-sas-viya-mcp-server-and-claude-cowork/" TargetMode="External"/><Relationship Id="rIdyim556rqf4bv8tqi3zsx7" Type="http://schemas.openxmlformats.org/officeDocument/2006/relationships/hyperlink" Target="https://communities.sas.com/t5/SAS-Communities-Library/Using-REST-APIs-to-Export-Data-in-SAS-Model-Risk-Management/ta-p/986389" TargetMode="External"/><Relationship Id="rId1t1sbefrvnu86jum-bbb7" Type="http://schemas.openxmlformats.org/officeDocument/2006/relationships/hyperlink" Target="https://www.sas.com/en_us/software/governance-compliance-manager/features-list.html" TargetMode="External"/><Relationship Id="rIdzruhejmsriaw-dbazzcij" Type="http://schemas.openxmlformats.org/officeDocument/2006/relationships/hyperlink" Target="https://support.sas.com/en/software/governance-and-compliance-manager-support.html" TargetMode="External"/><Relationship Id="rId-f2x9vadap30-kxgmm9dh" Type="http://schemas.openxmlformats.org/officeDocument/2006/relationships/hyperlink" Target="https://documentation.sas.com/api/docsets/dplyml0phy0dkr/v_066/content/dplyml0phy0dkr.pdf?locale=en" TargetMode="External"/><Relationship Id="rId10" Type="http://schemas.openxmlformats.org/officeDocument/2006/relationships/image" Target="media/1cefbcef3bed4e005f991b4efd46c61df03a5d19.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cefbcef3bed4e005f991b4efd46c61df03a5d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GRC on SAS — Response to Proposal</dc:title>
  <dc:creator>Fleet Studio team</dc:creator>
  <cp:lastModifiedBy>Un-named</cp:lastModifiedBy>
  <cp:revision>1</cp:revision>
  <dcterms:created xsi:type="dcterms:W3CDTF">2026-10-01T01:10:28.103Z</dcterms:created>
  <dcterms:modified xsi:type="dcterms:W3CDTF">2026-10-01T01:10:28.107Z</dcterms:modified>
</cp:coreProperties>
</file>

<file path=docProps/custom.xml><?xml version="1.0" encoding="utf-8"?>
<Properties xmlns="http://schemas.openxmlformats.org/officeDocument/2006/custom-properties" xmlns:vt="http://schemas.openxmlformats.org/officeDocument/2006/docPropsVTypes"/>
</file>