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360"/>
      </w:pPr>
      <w:r>
        <w:drawing>
          <wp:inline distT="0" distB="0" distL="0" distR="0">
            <wp:extent cx="2381250" cy="561975"/>
            <wp:effectExtent t="0" r="0" b="0" l="0"/>
            <wp:docPr id="1" name="Fleet Studio logo" descr="Fleet Studio by Verto Wave" title="Fleet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561975"/>
                    </a:xfrm>
                    <a:prstGeom prst="rect">
                      <a:avLst/>
                    </a:prstGeom>
                  </pic:spPr>
                </pic:pic>
              </a:graphicData>
            </a:graphic>
          </wp:inline>
        </w:drawing>
      </w:r>
    </w:p>
    <w:p>
      <w:pPr>
        <w:spacing w:after="120" w:before="0"/>
      </w:pPr>
      <w:r>
        <w:rPr>
          <w:b/>
          <w:bCs/>
          <w:color w:val="1570B8"/>
          <w:spacing w:val="40"/>
          <w:sz w:val="22"/>
          <w:szCs w:val="22"/>
        </w:rPr>
        <w:t xml:space="preserve">PRODUCT OVERVIEW</w:t>
      </w:r>
    </w:p>
    <w:p>
      <w:pPr>
        <w:spacing w:after="200"/>
      </w:pPr>
      <w:r>
        <w:rPr>
          <w:b/>
          <w:bCs/>
          <w:color w:val="0B2545"/>
          <w:sz w:val="64"/>
          <w:szCs w:val="64"/>
        </w:rPr>
        <w:t xml:space="preserve">Fleet Studio</w:t>
      </w:r>
    </w:p>
    <w:p>
      <w:pPr>
        <w:spacing w:after="500"/>
      </w:pPr>
      <w:r>
        <w:rPr>
          <w:color w:val="5B6770"/>
          <w:sz w:val="28"/>
          <w:szCs w:val="28"/>
        </w:rPr>
        <w:t xml:space="preserve">Governed AI workforces on SAS: people decide, agents do the work, and every claim can be checked</w:t>
      </w:r>
    </w:p>
    <w:p>
      <w:pPr>
        <w:pBdr>
          <w:bottom w:val="single" w:color="1570B8" w:sz="8" w:space="4"/>
        </w:pBdr>
      </w:pPr>
    </w:p>
    <w:p>
      <w:pPr>
        <w:spacing w:after="60"/>
      </w:pPr>
    </w:p>
    <w:p>
      <w:pPr>
        <w:spacing w:after="120" w:line="276"/>
      </w:pPr>
      <w:r>
        <w:rPr>
          <w:b/>
          <w:bCs/>
        </w:rPr>
        <w:t xml:space="preserve">Date:</w:t>
      </w:r>
      <w:r>
        <w:t xml:space="preserve"> 1 October 2026</w:t>
      </w:r>
    </w:p>
    <w:p>
      <w:pPr>
        <w:spacing w:after="120" w:line="276"/>
      </w:pPr>
      <w:r>
        <w:rPr>
          <w:b/>
          <w:bCs/>
        </w:rPr>
        <w:t xml:space="preserve">Status:</w:t>
      </w:r>
      <w:r>
        <w:t xml:space="preserve"> Draft for discussion</w:t>
      </w:r>
    </w:p>
    <w:p>
      <w:pPr>
        <w:spacing w:after="120" w:line="276"/>
      </w:pPr>
      <w:r>
        <w:rPr>
          <w:b/>
          <w:bCs/>
        </w:rPr>
        <w:t xml:space="preserve">Audience:</w:t>
      </w:r>
      <w:r>
        <w:t xml:space="preserve"> Business and technology leaders, prospective design partners, partners</w:t>
      </w:r>
    </w:p>
    <w:p>
      <w:pPr>
        <w:spacing w:after="120" w:line="276"/>
      </w:pPr>
      <w:r>
        <w:rPr>
          <w:b/>
          <w:bCs/>
        </w:rPr>
        <w:t xml:space="preserve">Worked example:</w:t>
      </w:r>
      <w:r>
        <w:t xml:space="preserve"> Anti-money-laundering investigation on SAS</w:t>
      </w:r>
    </w:p>
    <w:p>
      <w:pPr>
        <w:spacing w:after="120" w:line="276"/>
      </w:pPr>
      <w:r>
        <w:rPr>
          <w:color w:val="5B6770"/>
          <w:sz w:val="16"/>
          <w:szCs w:val="16"/>
        </w:rPr>
        <w:t xml:space="preserve">Fleet Studio is a product of Verto Wave. It runs AI agents on Hermes Agent, the open-source agent runtime from Nous Research.</w:t>
      </w:r>
    </w:p>
    <w:p>
      <w:r>
        <w:br w:type="page"/>
      </w:r>
    </w:p>
    <w:p>
      <w:pPr>
        <w:pStyle w:val="Heading1"/>
      </w:pPr>
      <w:r>
        <w:t xml:space="preserve">1. Executive summary</w:t>
      </w:r>
    </w:p>
    <w:p>
      <w:pPr>
        <w:pBdr>
          <w:left w:val="single" w:color="1570B8" w:sz="18" w:space="10"/>
        </w:pBdr>
        <w:spacing w:after="200" w:before="120"/>
        <w:ind w:left="200"/>
      </w:pPr>
      <w:r>
        <w:rPr>
          <w:i/>
          <w:iCs/>
          <w:color w:val="0B2545"/>
          <w:sz w:val="24"/>
          <w:szCs w:val="24"/>
        </w:rPr>
        <w:t xml:space="preserve">A digital workforce that a regulated institution can put in front of its auditors: agents investigate, analyse and draft; accountable people decide; and every step leaves evidence someone can check.</w:t>
      </w:r>
    </w:p>
    <w:p>
      <w:pPr>
        <w:spacing w:after="120" w:line="276"/>
      </w:pPr>
      <w:r>
        <w:t xml:space="preserve">AI agents can now read systems, run analyses and write documents. Regulated institutions want that capacity, but they cannot hand material decisions to software they cannot test, supervise or explain. Most agent products answer with a chat window and a promise. Fleet Studio answers with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rPr>
          <w:cantSplit/>
        </w:trPr>
        <w:tc>
          <w:tcPr>
            <w:tcW w:type="dxa" w:w="2313"/>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What it is</w:t>
            </w:r>
          </w:p>
        </w:tc>
        <w:tc>
          <w:tcPr>
            <w:tcW w:type="dxa" w:w="732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 control plane for fleets of AI agents. It designs a fleet from a mission, tests it, deploys it through an approval process, watches what the agents actually did, and gives business people one place to review the evidence and decide.</w:t>
            </w:r>
          </w:p>
        </w:tc>
      </w:tr>
      <w:tr>
        <w:trPr>
          <w:cantSplit/>
        </w:trPr>
        <w:tc>
          <w:tcPr>
            <w:tcW w:type="dxa" w:w="2313"/>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Who it is for</w:t>
            </w:r>
          </w:p>
        </w:tc>
        <w:tc>
          <w:tcPr>
            <w:tcW w:type="dxa" w:w="732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Banks, insurers, public bodies and other regulated organisations, starting with those that run SAS for their risk, fraud, compliance and analytics work.</w:t>
            </w:r>
          </w:p>
        </w:tc>
      </w:tr>
      <w:tr>
        <w:trPr>
          <w:cantSplit/>
        </w:trPr>
        <w:tc>
          <w:tcPr>
            <w:tcW w:type="dxa" w:w="2313"/>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Why SAS</w:t>
            </w:r>
          </w:p>
        </w:tc>
        <w:tc>
          <w:tcPr>
            <w:tcW w:type="dxa" w:w="732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is where these organisations keep their data, models, rules and risk records. SAS now lets outside AI agents call its analytics through the SAS Viya MCP Server. Fleet Studio turns that access into governed work: agents use SAS; SAS stays the system of record.</w:t>
            </w:r>
          </w:p>
        </w:tc>
      </w:tr>
      <w:tr>
        <w:trPr>
          <w:cantSplit/>
        </w:trPr>
        <w:tc>
          <w:tcPr>
            <w:tcW w:type="dxa" w:w="2313"/>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What makes it different</w:t>
            </w:r>
          </w:p>
        </w:tc>
        <w:tc>
          <w:tcPr>
            <w:tcW w:type="dxa" w:w="732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Agents are governed assets, not chat sessions: each fleet is a versioned blueprint with its own permissions and tests. Every material decision passes through a named person. Every claim an agent makes is graded against what it actually did.</w:t>
            </w:r>
          </w:p>
        </w:tc>
      </w:tr>
      <w:tr>
        <w:trPr>
          <w:cantSplit/>
        </w:trPr>
        <w:tc>
          <w:tcPr>
            <w:tcW w:type="dxa" w:w="2313"/>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What exists today</w:t>
            </w:r>
          </w:p>
        </w:tc>
        <w:tc>
          <w:tcPr>
            <w:tcW w:type="dxa" w:w="732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The full portal is built and tested: design, deployment, testing, evidence grading, workflows with human gates, Decision Rooms, messaging, access control and audit. It runs against real Hermes hosts and has called SAS Viya through SAS’s own MCP server in our lab. A library of 24 ready-made missions across 8 sectors is provisioned from the product.</w:t>
            </w:r>
          </w:p>
        </w:tc>
      </w:tr>
      <w:tr>
        <w:trPr>
          <w:cantSplit/>
        </w:trPr>
        <w:tc>
          <w:tcPr>
            <w:tcW w:type="dxa" w:w="2313"/>
            <w:tcBorders>
              <w:top w:val="single" w:color="C9D3DD" w:sz="4"/>
              <w:left w:val="single" w:color="C9D3DD" w:sz="4"/>
              <w:bottom w:val="single" w:color="C9D3DD" w:sz="4"/>
              <w:right w:val="single" w:color="C9D3DD" w:sz="4"/>
            </w:tcBorders>
            <w:shd w:fill="EAF1F8" w:color="auto" w:val="clear"/>
            <w:tcMar>
              <w:top w:type="dxa" w:w="70"/>
              <w:left w:type="dxa" w:w="100"/>
              <w:bottom w:type="dxa" w:w="70"/>
              <w:right w:type="dxa" w:w="100"/>
            </w:tcMar>
          </w:tcPr>
          <w:p>
            <w:pPr>
              <w:spacing w:after="40"/>
            </w:pPr>
            <w:r>
              <w:rPr>
                <w:b/>
                <w:bCs/>
                <w:color w:val="0B2545"/>
                <w:sz w:val="18"/>
                <w:szCs w:val="18"/>
              </w:rPr>
              <w:t xml:space="preserve">Worked example</w:t>
            </w:r>
          </w:p>
        </w:tc>
        <w:tc>
          <w:tcPr>
            <w:tcW w:type="dxa" w:w="732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Anti-money laundering: a five-agent fleet investigates a flagged wire transfer, screens sanctions, traces ownership, argues against its own conclusion, and drafts the SAR. A compliance officer approves the investigation, and two officers decide in a Decision Room whether the institution files. Section 7 follows one case end to end.</w:t>
            </w:r>
          </w:p>
        </w:tc>
      </w:tr>
    </w:tbl>
    <w:p>
      <w:pPr>
        <w:spacing w:after="60"/>
      </w:pPr>
    </w:p>
    <w:p>
      <w:pPr>
        <w:spacing w:after="120" w:line="276"/>
      </w:pPr>
      <w:r>
        <w:rPr>
          <w:b/>
          <w:bCs/>
        </w:rPr>
        <w:t xml:space="preserve">What we ask:</w:t>
      </w:r>
      <w:r>
        <w:t xml:space="preserve"> one design-partner institution running SAS, for a 10 to 12 week pilot on one mission, with its compliance and model-risk teams involved from the start (section 11).</w:t>
      </w:r>
    </w:p>
    <w:p>
      <w:r>
        <w:br w:type="page"/>
      </w:r>
    </w:p>
    <w:p>
      <w:pPr>
        <w:pStyle w:val="Heading1"/>
      </w:pPr>
      <w:r>
        <w:t xml:space="preserve">2. The problem</w:t>
      </w:r>
    </w:p>
    <w:p>
      <w:pPr>
        <w:spacing w:after="120" w:line="276"/>
      </w:pPr>
      <w:r>
        <w:t xml:space="preserve">Every regulated institution now faces the same gap. The technology to delegate investigative and analytical work to AI agents exists; the controls to do it responsibly do not.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rPr>
          <w:tblHeader/>
        </w:trPr>
        <w:tc>
          <w:tcPr>
            <w:tcW w:type="dxa" w:w="347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institutions need</w:t>
            </w:r>
          </w:p>
        </w:tc>
        <w:tc>
          <w:tcPr>
            <w:tcW w:type="dxa" w:w="616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they get today</w:t>
            </w:r>
          </w:p>
        </w:tc>
      </w:tr>
      <w:tr>
        <w:trPr>
          <w:cantSplit/>
        </w:trPr>
        <w:tc>
          <w:tcPr>
            <w:tcW w:type="dxa" w:w="347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Someone accountable for every material decision</w:t>
            </w:r>
          </w:p>
        </w:tc>
        <w:tc>
          <w:tcPr>
            <w:tcW w:type="dxa" w:w="616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Assistants that answer one person at a time, with no separation between who prepares and who approves.</w:t>
            </w:r>
          </w:p>
        </w:tc>
      </w:tr>
      <w:tr>
        <w:trPr>
          <w:cantSplit/>
        </w:trPr>
        <w:tc>
          <w:tcPr>
            <w:tcW w:type="dxa" w:w="347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Proof of what an agent actually did</w:t>
            </w:r>
          </w:p>
        </w:tc>
        <w:tc>
          <w:tcPr>
            <w:tcW w:type="dxa" w:w="616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 fluent answer. Whether the agent really screened that name, read that table or ran that check is not visible, so reviewers redo the work or trust it blindly.</w:t>
            </w:r>
          </w:p>
        </w:tc>
      </w:tr>
      <w:tr>
        <w:trPr>
          <w:cantSplit/>
        </w:trPr>
        <w:tc>
          <w:tcPr>
            <w:tcW w:type="dxa" w:w="347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Agents that can be tested and approved like any other model</w:t>
            </w:r>
          </w:p>
        </w:tc>
        <w:tc>
          <w:tcPr>
            <w:tcW w:type="dxa" w:w="616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Prompts and settings changed by hand in a console, with no versions, no tests before release and no record of who changed what.</w:t>
            </w:r>
          </w:p>
        </w:tc>
      </w:tr>
      <w:tr>
        <w:trPr>
          <w:cantSplit/>
        </w:trPr>
        <w:tc>
          <w:tcPr>
            <w:tcW w:type="dxa" w:w="347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Control over what each agent may touch</w:t>
            </w:r>
          </w:p>
        </w:tc>
        <w:tc>
          <w:tcPr>
            <w:tcW w:type="dxa" w:w="616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Broad credentials shared across agents, or none at all. A write to a production system is one prompt away.</w:t>
            </w:r>
          </w:p>
        </w:tc>
      </w:tr>
      <w:tr>
        <w:trPr>
          <w:cantSplit/>
        </w:trPr>
        <w:tc>
          <w:tcPr>
            <w:tcW w:type="dxa" w:w="347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Work that spans systems</w:t>
            </w:r>
          </w:p>
        </w:tc>
        <w:tc>
          <w:tcPr>
            <w:tcW w:type="dxa" w:w="616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 copilot inside each product. Investigations cross fraud, rules, models, risk registers and documents; no single copilot does.</w:t>
            </w:r>
          </w:p>
        </w:tc>
      </w:tr>
      <w:tr>
        <w:trPr>
          <w:cantSplit/>
        </w:trPr>
        <w:tc>
          <w:tcPr>
            <w:tcW w:type="dxa" w:w="347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An audit trail a supervisor accepts</w:t>
            </w:r>
          </w:p>
        </w:tc>
        <w:tc>
          <w:tcPr>
            <w:tcW w:type="dxa" w:w="616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Chat logs.</w:t>
            </w:r>
          </w:p>
        </w:tc>
      </w:tr>
    </w:tbl>
    <w:p>
      <w:pPr>
        <w:spacing w:after="60"/>
      </w:pPr>
    </w:p>
    <w:p>
      <w:pPr>
        <w:spacing w:after="120" w:line="276"/>
      </w:pPr>
      <w:r>
        <w:t xml:space="preserve">The result is predictable: pilots that impress in a demo and stall in front of the second line of defence, internal audit or the regulator. The blocker is not the intelligence of the agents. It is the absence of a way to govern them.</w:t>
      </w:r>
    </w:p>
    <w:p>
      <w:pPr>
        <w:pStyle w:val="Heading1"/>
      </w:pPr>
      <w:r>
        <w:t xml:space="preserve">3. Vision and purpose</w:t>
      </w:r>
    </w:p>
    <w:p>
      <w:pPr>
        <w:pBdr>
          <w:left w:val="single" w:color="1570B8" w:sz="18" w:space="10"/>
        </w:pBdr>
        <w:spacing w:after="200" w:before="120"/>
        <w:ind w:left="200"/>
      </w:pPr>
      <w:r>
        <w:rPr>
          <w:i/>
          <w:iCs/>
          <w:color w:val="0B2545"/>
          <w:sz w:val="24"/>
          <w:szCs w:val="24"/>
        </w:rPr>
        <w:t xml:space="preserve">Every material decision is made by an accountable person, with the agents’ work behind it as evidence anyone can check.</w:t>
      </w:r>
    </w:p>
    <w:p>
      <w:pPr>
        <w:spacing w:after="120" w:line="276"/>
      </w:pPr>
      <w:r>
        <w:t xml:space="preserve">Fleet Studio exists so that institutions can use AI agents for real work in regulated processes, at scale, without giving up control. Five principles shape every part of the product: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6939"/>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Principle</w:t>
            </w:r>
          </w:p>
        </w:tc>
        <w:tc>
          <w:tcPr>
            <w:tcW w:type="dxa" w:w="693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it means in practice</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People decide; agents prepare</w:t>
            </w:r>
          </w:p>
        </w:tc>
        <w:tc>
          <w:tcPr>
            <w:tcW w:type="dxa" w:w="693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Agents investigate, analyse and draft. Approvals, filings, ratings, payments and every other material decision are recorded by a named person, with a rationale, in a Decision Room. A reply in a chat channel is never treated as a decision.</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Evidence over assertion</w:t>
            </w:r>
          </w:p>
        </w:tc>
        <w:tc>
          <w:tcPr>
            <w:tcW w:type="dxa" w:w="693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Each claim an agent makes is graded against its own session record with one of four verdicts: Evidence found, No evidence, Not verifiable, Policy blocked. We never claim an agent “cannot hallucinate”; we show where its claims are and are not backed.</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Agents are governed assets</w:t>
            </w:r>
          </w:p>
        </w:tc>
        <w:tc>
          <w:tcPr>
            <w:tcW w:type="dxa" w:w="693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 fleet is a versioned blueprint: its agents, their instructions, models, tools, permissions, workflows and tests. It is reviewed, tested and approved before production, and changes made by hand are detected as drift.</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The systems of record stay in charge</w:t>
            </w:r>
          </w:p>
        </w:tc>
        <w:tc>
          <w:tcPr>
            <w:tcW w:type="dxa" w:w="693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SAS keeps the data, models, rules and risk records, and its own authentication. Agents read through governed interfaces with their own identities; Fleet Studio never bypasses a system’s permissions.</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Open runtime, no lock-in</w:t>
            </w:r>
          </w:p>
        </w:tc>
        <w:tc>
          <w:tcPr>
            <w:tcW w:type="dxa" w:w="693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Agents run on Hermes Agent, an open-source runtime, on the institution’s own hosts, with the model the institution chooses, including models hosted on premises.</w:t>
            </w:r>
          </w:p>
        </w:tc>
      </w:tr>
    </w:tbl>
    <w:p>
      <w:pPr>
        <w:spacing w:after="60"/>
      </w:pPr>
    </w:p>
    <w:p>
      <w:pPr>
        <w:pStyle w:val="Heading2"/>
      </w:pPr>
      <w:r>
        <w:t xml:space="preserve">The long-term vision</w:t>
      </w:r>
    </w:p>
    <w:p>
      <w:pPr>
        <w:spacing w:after="120" w:line="276"/>
      </w:pPr>
      <w:r>
        <w:t xml:space="preserve">Today, an institution buys a separate AI assistant for each product it owns. Our vision is one governed digital workforce per institution: fleets of specialist agents, each with a clear mission, working across the institution’s systems, supervised through one set of controls that compliance, risk and audit already understand. Fleet Studio is where that workforce is designed, deployed, supervised and held to account.</w:t>
      </w:r>
    </w:p>
    <w:p>
      <w:r>
        <w:br w:type="page"/>
      </w:r>
    </w:p>
    <w:p>
      <w:pPr>
        <w:pStyle w:val="Heading1"/>
      </w:pPr>
      <w:r>
        <w:t xml:space="preserve">4. The product</w:t>
      </w:r>
    </w:p>
    <w:p>
      <w:pPr>
        <w:spacing w:after="120" w:line="276"/>
      </w:pPr>
      <w:r>
        <w:t xml:space="preserve">Fleet Studio has two experiences in one application. Technology teams design and run fleets in the </w:t>
      </w:r>
      <w:r>
        <w:rPr>
          <w:b/>
          <w:bCs/>
        </w:rPr>
        <w:t xml:space="preserve">admin portal</w:t>
      </w:r>
      <w:r>
        <w:t xml:space="preserve">. Business people (compliance officers, approvers, risk owners, auditors) use the </w:t>
      </w:r>
      <w:r>
        <w:rPr>
          <w:b/>
          <w:bCs/>
        </w:rPr>
        <w:t xml:space="preserve">Workspace</w:t>
      </w:r>
      <w:r>
        <w:t xml:space="preserve">, where they see what the fleets produced and make decisions.</w:t>
      </w:r>
    </w:p>
    <w:p>
      <w:pPr>
        <w:pStyle w:val="Heading2"/>
      </w:pPr>
      <w:r>
        <w:t xml:space="preserve">4.1 Building blocks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2506"/>
        <w:gridCol w:w="5975"/>
      </w:tblGrid>
      <w:tr>
        <w:trPr>
          <w:tblHeader/>
        </w:trPr>
        <w:tc>
          <w:tcPr>
            <w:tcW w:type="dxa" w:w="115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Area</w:t>
            </w:r>
          </w:p>
        </w:tc>
        <w:tc>
          <w:tcPr>
            <w:tcW w:type="dxa" w:w="2506"/>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Capability</w:t>
            </w:r>
          </w:p>
        </w:tc>
        <w:tc>
          <w:tcPr>
            <w:tcW w:type="dxa" w:w="597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it does for the institution</w:t>
            </w:r>
          </w:p>
        </w:tc>
      </w:tr>
      <w:tr>
        <w:trPr>
          <w:cantSplit/>
        </w:trPr>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Design</w:t>
            </w:r>
          </w:p>
        </w:tc>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Mission library</w:t>
            </w:r>
          </w:p>
        </w:tc>
        <w:tc>
          <w:tcPr>
            <w:tcW w:type="dxa" w:w="597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24 ready-made fleets for work on SAS across 8 sectors. Choose one, provision it onto an instance, and adapt it.</w:t>
            </w:r>
          </w:p>
        </w:tc>
      </w:tr>
      <w:tr>
        <w:trPr>
          <w:cantSplit/>
        </w:trPr>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Design</w:t>
            </w:r>
          </w:p>
        </w:tc>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Fleet Architect</w:t>
            </w:r>
          </w:p>
        </w:tc>
        <w:tc>
          <w:tcPr>
            <w:tcW w:type="dxa" w:w="597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Describe a mission and constraints in plain language; an architect agent proposes a fleet (agents, tools, tests, policies) for a person to accept, edit or reject.</w:t>
            </w:r>
          </w:p>
        </w:tc>
      </w:tr>
      <w:tr>
        <w:trPr>
          <w:cantSplit/>
        </w:trPr>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Design</w:t>
            </w:r>
          </w:p>
        </w:tc>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Fleet Designer and Agent Studio</w:t>
            </w:r>
          </w:p>
        </w:tc>
        <w:tc>
          <w:tcPr>
            <w:tcW w:type="dxa" w:w="597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See the fleet as a diagram; edit an agent’s instructions, model, tools and permissions. Edits create a new draft version; released versions never change.</w:t>
            </w:r>
          </w:p>
        </w:tc>
      </w:tr>
      <w:tr>
        <w:trPr>
          <w:cantSplit/>
        </w:trPr>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Design</w:t>
            </w:r>
          </w:p>
        </w:tc>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Workflows</w:t>
            </w:r>
          </w:p>
        </w:tc>
        <w:tc>
          <w:tcPr>
            <w:tcW w:type="dxa" w:w="597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Ordered steps, parallel work, human gates with deadlines and escalation, and a Decision Room at the end.</w:t>
            </w:r>
          </w:p>
        </w:tc>
      </w:tr>
      <w:tr>
        <w:trPr>
          <w:cantSplit/>
        </w:trPr>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Deploy</w:t>
            </w:r>
          </w:p>
        </w:tc>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Blueprints, plans and approvals</w:t>
            </w:r>
          </w:p>
        </w:tc>
        <w:tc>
          <w:tcPr>
            <w:tcW w:type="dxa" w:w="597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Every change is computed as a plan against what really runs, approved (two approvers for production by default, never the plan’s author) and applied with a snapshot for rollback.</w:t>
            </w:r>
          </w:p>
        </w:tc>
      </w:tr>
      <w:tr>
        <w:trPr>
          <w:cantSplit/>
        </w:trPr>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Deploy</w:t>
            </w:r>
          </w:p>
        </w:tc>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Drift</w:t>
            </w:r>
          </w:p>
        </w:tc>
        <w:tc>
          <w:tcPr>
            <w:tcW w:type="dxa" w:w="597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Detects changes made by hand outside Fleet Studio and lets a person accept, revert or allow them.</w:t>
            </w:r>
          </w:p>
        </w:tc>
      </w:tr>
      <w:tr>
        <w:trPr>
          <w:cantSplit/>
        </w:trPr>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Assure</w:t>
            </w:r>
          </w:p>
        </w:tc>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Test Lab</w:t>
            </w:r>
          </w:p>
        </w:tc>
        <w:tc>
          <w:tcPr>
            <w:tcW w:type="dxa" w:w="597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Runs each agent’s test scenarios on a lab or staging instance. Production applies wait until the tests pass.</w:t>
            </w:r>
          </w:p>
        </w:tc>
      </w:tr>
      <w:tr>
        <w:trPr>
          <w:cantSplit/>
        </w:trPr>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Assure</w:t>
            </w:r>
          </w:p>
        </w:tc>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Assurance</w:t>
            </w:r>
          </w:p>
        </w:tc>
        <w:tc>
          <w:tcPr>
            <w:tcW w:type="dxa" w:w="597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Grades every claim with one of the four verdicts, from the agent’s own session record, including every tool it called.</w:t>
            </w:r>
          </w:p>
        </w:tc>
      </w:tr>
      <w:tr>
        <w:trPr>
          <w:cantSplit/>
        </w:trPr>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Decide</w:t>
            </w:r>
          </w:p>
        </w:tc>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Decision Rooms</w:t>
            </w:r>
          </w:p>
        </w:tc>
        <w:tc>
          <w:tcPr>
            <w:tcW w:type="dxa" w:w="597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One question, its evidence, the agents’ findings (each marked as sourced, analytical, interpretation or assumption), the options, and decisions recorded by people, append-only, with a named second approver when required.</w:t>
            </w:r>
          </w:p>
        </w:tc>
      </w:tr>
      <w:tr>
        <w:trPr>
          <w:cantSplit/>
        </w:trPr>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Decide</w:t>
            </w:r>
          </w:p>
        </w:tc>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Workspace and My decisions</w:t>
            </w:r>
          </w:p>
        </w:tc>
        <w:tc>
          <w:tcPr>
            <w:tcW w:type="dxa" w:w="597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What is waiting for me, what I decided, and the fleet’s outputs I may see.</w:t>
            </w:r>
          </w:p>
        </w:tc>
      </w:tr>
      <w:tr>
        <w:trPr>
          <w:cantSplit/>
        </w:trPr>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Decide</w:t>
            </w:r>
          </w:p>
        </w:tc>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Ask the fleet</w:t>
            </w:r>
          </w:p>
        </w:tc>
        <w:tc>
          <w:tcPr>
            <w:tcW w:type="dxa" w:w="597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Ask a question and get an answer that cites only sources you are allowed to read; invented citations are dropped.</w:t>
            </w:r>
          </w:p>
        </w:tc>
      </w:tr>
      <w:tr>
        <w:trPr>
          <w:cantSplit/>
        </w:trPr>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Govern</w:t>
            </w:r>
          </w:p>
        </w:tc>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Access and the access inspector</w:t>
            </w:r>
          </w:p>
        </w:tc>
        <w:tc>
          <w:tcPr>
            <w:tcW w:type="dxa" w:w="597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Five roles. One-question checks: may this agent call this tool? May this person decide in this room? Each answer names the rule behind it.</w:t>
            </w:r>
          </w:p>
        </w:tc>
      </w:tr>
      <w:tr>
        <w:trPr>
          <w:cantSplit/>
        </w:trPr>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Govern</w:t>
            </w:r>
          </w:p>
        </w:tc>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Content zones</w:t>
            </w:r>
          </w:p>
        </w:tc>
        <w:tc>
          <w:tcPr>
            <w:tcW w:type="dxa" w:w="597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Every file and output belongs to a zone that names who may read it, people and agents alike.</w:t>
            </w:r>
          </w:p>
        </w:tc>
      </w:tr>
      <w:tr>
        <w:trPr>
          <w:cantSplit/>
        </w:trPr>
        <w:tc>
          <w:tcPr>
            <w:tcW w:type="dxa" w:w="115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Govern</w:t>
            </w:r>
          </w:p>
        </w:tc>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Messaging and notifications</w:t>
            </w:r>
          </w:p>
        </w:tc>
        <w:tc>
          <w:tcPr>
            <w:tcW w:type="dxa" w:w="597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Decision requests and alerts reach Teams, Slack, email and other channels, always with a link back to the Workspace. The message delivers; the decision is recorded only in the Workspace.</w:t>
            </w:r>
          </w:p>
        </w:tc>
      </w:tr>
      <w:tr>
        <w:trPr>
          <w:cantSplit/>
        </w:trPr>
        <w:tc>
          <w:tcPr>
            <w:tcW w:type="dxa" w:w="115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Govern</w:t>
            </w:r>
          </w:p>
        </w:tc>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Audit log</w:t>
            </w:r>
          </w:p>
        </w:tc>
        <w:tc>
          <w:tcPr>
            <w:tcW w:type="dxa" w:w="597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Every plan, approval, apply, decision, access change and delivery, exportable for internal audit and supervisors.</w:t>
            </w:r>
          </w:p>
        </w:tc>
      </w:tr>
    </w:tbl>
    <w:p>
      <w:pPr>
        <w:spacing w:after="60"/>
      </w:pPr>
    </w:p>
    <w:p>
      <w:pPr>
        <w:pStyle w:val="Heading2"/>
      </w:pPr>
      <w:r>
        <w:t xml:space="preserve">4.2 Who uses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2891"/>
        <w:gridCol w:w="5012"/>
      </w:tblGrid>
      <w:tr>
        <w:trPr>
          <w:tblHeader/>
        </w:trPr>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Role</w:t>
            </w:r>
          </w:p>
        </w:tc>
        <w:tc>
          <w:tcPr>
            <w:tcW w:type="dxa" w:w="2891"/>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Typically</w:t>
            </w:r>
          </w:p>
        </w:tc>
        <w:tc>
          <w:tcPr>
            <w:tcW w:type="dxa" w:w="501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Uses Fleet Studio to</w:t>
            </w:r>
          </w:p>
        </w:tc>
      </w:tr>
      <w:tr>
        <w:trPr>
          <w:cantSplit/>
        </w:trPr>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Admin</w:t>
            </w:r>
          </w:p>
        </w:tc>
        <w:tc>
          <w:tcPr>
            <w:tcW w:type="dxa" w:w="289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Platform engineering</w:t>
            </w:r>
          </w:p>
        </w:tc>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Connect instances, manage people and access, own messaging.</w:t>
            </w:r>
          </w:p>
        </w:tc>
      </w:tr>
      <w:tr>
        <w:trPr>
          <w:cantSplit/>
        </w:trPr>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Fleet Architect</w:t>
            </w:r>
          </w:p>
        </w:tc>
        <w:tc>
          <w:tcPr>
            <w:tcW w:type="dxa" w:w="2891"/>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AI or automation lead</w:t>
            </w:r>
          </w:p>
        </w:tc>
        <w:tc>
          <w:tcPr>
            <w:tcW w:type="dxa" w:w="501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Design fleets, edit blueprints, create plans, apply to lab and staging, run tests.</w:t>
            </w:r>
          </w:p>
        </w:tc>
      </w:tr>
      <w:tr>
        <w:trPr>
          <w:cantSplit/>
        </w:trPr>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Operator</w:t>
            </w:r>
          </w:p>
        </w:tc>
        <w:tc>
          <w:tcPr>
            <w:tcW w:type="dxa" w:w="289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AI operations</w:t>
            </w:r>
          </w:p>
        </w:tc>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Watch drift and assurance, run workflows, apply approved production plans.</w:t>
            </w:r>
          </w:p>
        </w:tc>
      </w:tr>
      <w:tr>
        <w:trPr>
          <w:cantSplit/>
        </w:trPr>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Approver</w:t>
            </w:r>
          </w:p>
        </w:tc>
        <w:tc>
          <w:tcPr>
            <w:tcW w:type="dxa" w:w="2891"/>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Compliance officer, MLRO, risk owner</w:t>
            </w:r>
          </w:p>
        </w:tc>
        <w:tc>
          <w:tcPr>
            <w:tcW w:type="dxa" w:w="501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Decide in Decision Rooms and human gates, approve production changes, ask the fleet.</w:t>
            </w:r>
          </w:p>
        </w:tc>
      </w:tr>
      <w:tr>
        <w:trPr>
          <w:cantSplit/>
        </w:trPr>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Viewer</w:t>
            </w:r>
          </w:p>
        </w:tc>
        <w:tc>
          <w:tcPr>
            <w:tcW w:type="dxa" w:w="289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Auditor, executive</w:t>
            </w:r>
          </w:p>
        </w:tc>
        <w:tc>
          <w:tcPr>
            <w:tcW w:type="dxa" w:w="501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 decisions, outputs and the audit log.</w:t>
            </w:r>
          </w:p>
        </w:tc>
      </w:tr>
    </w:tbl>
    <w:p>
      <w:r>
        <w:br w:type="page"/>
      </w:r>
    </w:p>
    <w:p>
      <w:pPr>
        <w:pStyle w:val="Heading1"/>
      </w:pPr>
      <w:r>
        <w:t xml:space="preserve">5. How it works</w:t>
      </w:r>
    </w:p>
    <w:p>
      <w:pPr>
        <w:pStyle w:val="Heading2"/>
      </w:pPr>
      <w:r>
        <w:t xml:space="preserve">5.1 The life of a fleet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6"/>
        <w:gridCol w:w="1606"/>
        <w:gridCol w:w="1606"/>
        <w:gridCol w:w="1606"/>
        <w:gridCol w:w="1606"/>
        <w:gridCol w:w="1608"/>
      </w:tblGrid>
      <w:tr>
        <w:tc>
          <w:tcPr>
            <w:tcW w:type="dxa" w:w="1606"/>
            <w:tcBorders>
              <w:top w:val="single" w:color="FFFFFF" w:sz="12"/>
              <w:left w:val="single" w:color="FFFFFF" w:sz="12"/>
              <w:bottom w:val="single" w:color="FFFFFF" w:sz="12"/>
              <w:right w:val="single" w:color="FFFFFF" w:sz="12"/>
            </w:tcBorders>
            <w:shd w:fill="EAF1F8" w:color="auto" w:val="clear"/>
            <w:tcMar>
              <w:top w:type="dxa" w:w="100"/>
              <w:left w:type="dxa" w:w="90"/>
              <w:bottom w:type="dxa" w:w="100"/>
              <w:right w:type="dxa" w:w="90"/>
            </w:tcMar>
          </w:tcPr>
          <w:p>
            <w:pPr>
              <w:spacing w:after="30"/>
            </w:pPr>
            <w:r>
              <w:rPr>
                <w:b/>
                <w:bCs/>
                <w:color w:val="1570B8"/>
                <w:sz w:val="22"/>
                <w:szCs w:val="22"/>
              </w:rPr>
              <w:t xml:space="preserve">1</w:t>
            </w:r>
          </w:p>
          <w:p>
            <w:pPr>
              <w:spacing w:after="40"/>
            </w:pPr>
            <w:r>
              <w:rPr>
                <w:b/>
                <w:bCs/>
                <w:color w:val="0B2545"/>
                <w:sz w:val="18"/>
                <w:szCs w:val="18"/>
              </w:rPr>
              <w:t xml:space="preserve">Mission</w:t>
            </w:r>
          </w:p>
          <w:p>
            <w:r>
              <w:rPr>
                <w:sz w:val="16"/>
                <w:szCs w:val="16"/>
              </w:rPr>
              <w:t xml:space="preserve">Choose from the library or describe it to the Fleet Architect</w:t>
            </w:r>
          </w:p>
        </w:tc>
        <w:tc>
          <w:tcPr>
            <w:tcW w:type="dxa" w:w="1606"/>
            <w:tcBorders>
              <w:top w:val="single" w:color="FFFFFF" w:sz="12"/>
              <w:left w:val="single" w:color="FFFFFF" w:sz="12"/>
              <w:bottom w:val="single" w:color="FFFFFF" w:sz="12"/>
              <w:right w:val="single" w:color="FFFFFF" w:sz="12"/>
            </w:tcBorders>
            <w:shd w:fill="EAF1F8" w:color="auto" w:val="clear"/>
            <w:tcMar>
              <w:top w:type="dxa" w:w="100"/>
              <w:left w:type="dxa" w:w="90"/>
              <w:bottom w:type="dxa" w:w="100"/>
              <w:right w:type="dxa" w:w="90"/>
            </w:tcMar>
          </w:tcPr>
          <w:p>
            <w:pPr>
              <w:spacing w:after="30"/>
            </w:pPr>
            <w:r>
              <w:rPr>
                <w:b/>
                <w:bCs/>
                <w:color w:val="1570B8"/>
                <w:sz w:val="22"/>
                <w:szCs w:val="22"/>
              </w:rPr>
              <w:t xml:space="preserve">2</w:t>
            </w:r>
          </w:p>
          <w:p>
            <w:pPr>
              <w:spacing w:after="40"/>
            </w:pPr>
            <w:r>
              <w:rPr>
                <w:b/>
                <w:bCs/>
                <w:color w:val="0B2545"/>
                <w:sz w:val="18"/>
                <w:szCs w:val="18"/>
              </w:rPr>
              <w:t xml:space="preserve">Blueprint</w:t>
            </w:r>
          </w:p>
          <w:p>
            <w:r>
              <w:rPr>
                <w:sz w:val="16"/>
                <w:szCs w:val="16"/>
              </w:rPr>
              <w:t xml:space="preserve">Agents, tools, permissions, workflow and tests as one versioned draft</w:t>
            </w:r>
          </w:p>
        </w:tc>
        <w:tc>
          <w:tcPr>
            <w:tcW w:type="dxa" w:w="1606"/>
            <w:tcBorders>
              <w:top w:val="single" w:color="FFFFFF" w:sz="12"/>
              <w:left w:val="single" w:color="FFFFFF" w:sz="12"/>
              <w:bottom w:val="single" w:color="FFFFFF" w:sz="12"/>
              <w:right w:val="single" w:color="FFFFFF" w:sz="12"/>
            </w:tcBorders>
            <w:shd w:fill="EAF1F8" w:color="auto" w:val="clear"/>
            <w:tcMar>
              <w:top w:type="dxa" w:w="100"/>
              <w:left w:type="dxa" w:w="90"/>
              <w:bottom w:type="dxa" w:w="100"/>
              <w:right w:type="dxa" w:w="90"/>
            </w:tcMar>
          </w:tcPr>
          <w:p>
            <w:pPr>
              <w:spacing w:after="30"/>
            </w:pPr>
            <w:r>
              <w:rPr>
                <w:b/>
                <w:bCs/>
                <w:color w:val="1570B8"/>
                <w:sz w:val="22"/>
                <w:szCs w:val="22"/>
              </w:rPr>
              <w:t xml:space="preserve">3</w:t>
            </w:r>
          </w:p>
          <w:p>
            <w:pPr>
              <w:spacing w:after="40"/>
            </w:pPr>
            <w:r>
              <w:rPr>
                <w:b/>
                <w:bCs/>
                <w:color w:val="0B2545"/>
                <w:sz w:val="18"/>
                <w:szCs w:val="18"/>
              </w:rPr>
              <w:t xml:space="preserve">Test</w:t>
            </w:r>
          </w:p>
          <w:p>
            <w:r>
              <w:rPr>
                <w:sz w:val="16"/>
                <w:szCs w:val="16"/>
              </w:rPr>
              <w:t xml:space="preserve">Scenarios run in Test Lab; results graded</w:t>
            </w:r>
          </w:p>
        </w:tc>
        <w:tc>
          <w:tcPr>
            <w:tcW w:type="dxa" w:w="1606"/>
            <w:tcBorders>
              <w:top w:val="single" w:color="FFFFFF" w:sz="12"/>
              <w:left w:val="single" w:color="FFFFFF" w:sz="12"/>
              <w:bottom w:val="single" w:color="FFFFFF" w:sz="12"/>
              <w:right w:val="single" w:color="FFFFFF" w:sz="12"/>
            </w:tcBorders>
            <w:shd w:fill="FFF1D6" w:color="auto" w:val="clear"/>
            <w:tcMar>
              <w:top w:type="dxa" w:w="100"/>
              <w:left w:type="dxa" w:w="90"/>
              <w:bottom w:type="dxa" w:w="100"/>
              <w:right w:type="dxa" w:w="90"/>
            </w:tcMar>
          </w:tcPr>
          <w:p>
            <w:pPr>
              <w:spacing w:after="30"/>
            </w:pPr>
            <w:r>
              <w:rPr>
                <w:b/>
                <w:bCs/>
                <w:color w:val="B7791F"/>
                <w:sz w:val="22"/>
                <w:szCs w:val="22"/>
              </w:rPr>
              <w:t xml:space="preserve">4</w:t>
            </w:r>
          </w:p>
          <w:p>
            <w:pPr>
              <w:spacing w:after="40"/>
            </w:pPr>
            <w:r>
              <w:rPr>
                <w:b/>
                <w:bCs/>
                <w:color w:val="0B2545"/>
                <w:sz w:val="18"/>
                <w:szCs w:val="18"/>
              </w:rPr>
              <w:t xml:space="preserve">Approve</w:t>
            </w:r>
          </w:p>
          <w:p>
            <w:r>
              <w:rPr>
                <w:sz w:val="16"/>
                <w:szCs w:val="16"/>
              </w:rPr>
              <w:t xml:space="preserve">Plan reviewed; production needs two approvers</w:t>
            </w:r>
          </w:p>
        </w:tc>
        <w:tc>
          <w:tcPr>
            <w:tcW w:type="dxa" w:w="1606"/>
            <w:tcBorders>
              <w:top w:val="single" w:color="FFFFFF" w:sz="12"/>
              <w:left w:val="single" w:color="FFFFFF" w:sz="12"/>
              <w:bottom w:val="single" w:color="FFFFFF" w:sz="12"/>
              <w:right w:val="single" w:color="FFFFFF" w:sz="12"/>
            </w:tcBorders>
            <w:shd w:fill="FFF1D6" w:color="auto" w:val="clear"/>
            <w:tcMar>
              <w:top w:type="dxa" w:w="100"/>
              <w:left w:type="dxa" w:w="90"/>
              <w:bottom w:type="dxa" w:w="100"/>
              <w:right w:type="dxa" w:w="90"/>
            </w:tcMar>
          </w:tcPr>
          <w:p>
            <w:pPr>
              <w:spacing w:after="30"/>
            </w:pPr>
            <w:r>
              <w:rPr>
                <w:b/>
                <w:bCs/>
                <w:color w:val="B7791F"/>
                <w:sz w:val="22"/>
                <w:szCs w:val="22"/>
              </w:rPr>
              <w:t xml:space="preserve">5</w:t>
            </w:r>
          </w:p>
          <w:p>
            <w:pPr>
              <w:spacing w:after="40"/>
            </w:pPr>
            <w:r>
              <w:rPr>
                <w:b/>
                <w:bCs/>
                <w:color w:val="0B2545"/>
                <w:sz w:val="18"/>
                <w:szCs w:val="18"/>
              </w:rPr>
              <w:t xml:space="preserve">Run</w:t>
            </w:r>
          </w:p>
          <w:p>
            <w:r>
              <w:rPr>
                <w:sz w:val="16"/>
                <w:szCs w:val="16"/>
              </w:rPr>
              <w:t xml:space="preserve">Agents work; gates stop for people</w:t>
            </w:r>
          </w:p>
        </w:tc>
        <w:tc>
          <w:tcPr>
            <w:tcW w:type="dxa" w:w="1608"/>
            <w:tcBorders>
              <w:top w:val="single" w:color="FFFFFF" w:sz="12"/>
              <w:left w:val="single" w:color="FFFFFF" w:sz="12"/>
              <w:bottom w:val="single" w:color="FFFFFF" w:sz="12"/>
              <w:right w:val="single" w:color="FFFFFF" w:sz="12"/>
            </w:tcBorders>
            <w:shd w:fill="FFF1D6" w:color="auto" w:val="clear"/>
            <w:tcMar>
              <w:top w:type="dxa" w:w="100"/>
              <w:left w:type="dxa" w:w="90"/>
              <w:bottom w:type="dxa" w:w="100"/>
              <w:right w:type="dxa" w:w="90"/>
            </w:tcMar>
          </w:tcPr>
          <w:p>
            <w:pPr>
              <w:spacing w:after="30"/>
            </w:pPr>
            <w:r>
              <w:rPr>
                <w:b/>
                <w:bCs/>
                <w:color w:val="B7791F"/>
                <w:sz w:val="22"/>
                <w:szCs w:val="22"/>
              </w:rPr>
              <w:t xml:space="preserve">6</w:t>
            </w:r>
          </w:p>
          <w:p>
            <w:pPr>
              <w:spacing w:after="40"/>
            </w:pPr>
            <w:r>
              <w:rPr>
                <w:b/>
                <w:bCs/>
                <w:color w:val="0B2545"/>
                <w:sz w:val="18"/>
                <w:szCs w:val="18"/>
              </w:rPr>
              <w:t xml:space="preserve">Decide</w:t>
            </w:r>
          </w:p>
          <w:p>
            <w:r>
              <w:rPr>
                <w:sz w:val="16"/>
                <w:szCs w:val="16"/>
              </w:rPr>
              <w:t xml:space="preserve">Decision Room; decisions recorded with rationale</w:t>
            </w:r>
          </w:p>
        </w:tc>
      </w:tr>
    </w:tbl>
    <w:p>
      <w:pPr>
        <w:spacing w:after="120" w:line="276"/>
      </w:pPr>
      <w:r>
        <w:rPr>
          <w:color w:val="5B6770"/>
          <w:sz w:val="16"/>
          <w:szCs w:val="16"/>
        </w:rPr>
        <w:t xml:space="preserve">Blue: agents or the platform do the work. Amber: a person decides.</w:t>
      </w:r>
    </w:p>
    <w:p>
      <w:pPr>
        <w:spacing w:after="120" w:line="276"/>
      </w:pPr>
      <w:r>
        <w:t xml:space="preserve">Around that cycle, Fleet Studio keeps watching: it grades every run, detects drift from the approved blueprint, and records everything in the audit log. Changing a fleet means a new version, a new plan and new approvals.</w:t>
      </w:r>
    </w:p>
    <w:p>
      <w:pPr>
        <w:pStyle w:val="Heading2"/>
      </w:pPr>
      <w:r>
        <w:t xml:space="preserve">5.2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891"/>
        <w:gridCol w:w="5205"/>
      </w:tblGrid>
      <w:tr>
        <w:trPr>
          <w:tblHeader/>
        </w:trPr>
        <w:tc>
          <w:tcPr>
            <w:tcW w:type="dxa" w:w="154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Layer</w:t>
            </w:r>
          </w:p>
        </w:tc>
        <w:tc>
          <w:tcPr>
            <w:tcW w:type="dxa" w:w="2891"/>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Component</w:t>
            </w:r>
          </w:p>
        </w:tc>
        <w:tc>
          <w:tcPr>
            <w:tcW w:type="dxa" w:w="520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Role</w:t>
            </w:r>
          </w:p>
        </w:tc>
      </w:tr>
      <w:tr>
        <w:trPr>
          <w:cantSplit/>
        </w:trPr>
        <w:tc>
          <w:tcPr>
            <w:tcW w:type="dxa" w:w="154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People</w:t>
            </w:r>
          </w:p>
        </w:tc>
        <w:tc>
          <w:tcPr>
            <w:tcW w:type="dxa" w:w="289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Admin portal and Workspace</w:t>
            </w:r>
          </w:p>
        </w:tc>
        <w:tc>
          <w:tcPr>
            <w:tcW w:type="dxa" w:w="520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Design and operate fleets; review evidence and decide.</w:t>
            </w:r>
          </w:p>
        </w:tc>
      </w:tr>
      <w:tr>
        <w:trPr>
          <w:cantSplit/>
        </w:trPr>
        <w:tc>
          <w:tcPr>
            <w:tcW w:type="dxa" w:w="154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Control plane</w:t>
            </w:r>
          </w:p>
        </w:tc>
        <w:tc>
          <w:tcPr>
            <w:tcW w:type="dxa" w:w="2891"/>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Fleet Studio (web application and API)</w:t>
            </w:r>
          </w:p>
        </w:tc>
        <w:tc>
          <w:tcPr>
            <w:tcW w:type="dxa" w:w="520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Blueprints, plans, approvals, tests, evidence grading, workflows, Decision Rooms, access, audit. Holds no credentials for the systems agents use.</w:t>
            </w:r>
          </w:p>
        </w:tc>
      </w:tr>
      <w:tr>
        <w:trPr>
          <w:cantSplit/>
        </w:trPr>
        <w:tc>
          <w:tcPr>
            <w:tcW w:type="dxa" w:w="154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On each agent host</w:t>
            </w:r>
          </w:p>
        </w:tc>
        <w:tc>
          <w:tcPr>
            <w:tcW w:type="dxa" w:w="289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Fleet Studio Agent (host service and a plugin inside Hermes)</w:t>
            </w:r>
          </w:p>
        </w:tc>
        <w:tc>
          <w:tcPr>
            <w:tcW w:type="dxa" w:w="520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Applies approved changes, reports what runs, captures every tool call as evidence, and blocks any call a policy forbids before it happens. It connects outwards only; nothing on the host is exposed.</w:t>
            </w:r>
          </w:p>
        </w:tc>
      </w:tr>
      <w:tr>
        <w:trPr>
          <w:cantSplit/>
        </w:trPr>
        <w:tc>
          <w:tcPr>
            <w:tcW w:type="dxa" w:w="154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Agent runtime</w:t>
            </w:r>
          </w:p>
        </w:tc>
        <w:tc>
          <w:tcPr>
            <w:tcW w:type="dxa" w:w="2891"/>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Hermes Agent (open source)</w:t>
            </w:r>
          </w:p>
        </w:tc>
        <w:tc>
          <w:tcPr>
            <w:tcW w:type="dxa" w:w="520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Runs the agents: one isolated profile per agent, with its own instructions, model, tools and credentials.</w:t>
            </w:r>
          </w:p>
        </w:tc>
      </w:tr>
      <w:tr>
        <w:trPr>
          <w:cantSplit/>
        </w:trPr>
        <w:tc>
          <w:tcPr>
            <w:tcW w:type="dxa" w:w="154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Systems of record</w:t>
            </w:r>
          </w:p>
        </w:tc>
        <w:tc>
          <w:tcPr>
            <w:tcW w:type="dxa" w:w="289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Viya and other systems</w:t>
            </w:r>
          </w:p>
        </w:tc>
        <w:tc>
          <w:tcPr>
            <w:tcW w:type="dxa" w:w="520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Data, analytics, models, rules and records. Reached through MCP servers with each agent’s own identity.</w:t>
            </w:r>
          </w:p>
        </w:tc>
      </w:tr>
    </w:tbl>
    <w:p>
      <w:pPr>
        <w:spacing w:after="60"/>
      </w:pPr>
    </w:p>
    <w:p>
      <w:pPr>
        <w:pStyle w:val="Heading2"/>
      </w:pPr>
      <w:r>
        <w:t xml:space="preserve">5.3 How control is enforced, not just described</w:t>
      </w:r>
    </w:p>
    <w:p>
      <w:pPr>
        <w:pStyle w:val="ListParagraph"/>
        <w:numPr>
          <w:ilvl w:val="0"/>
          <w:numId w:val="2"/>
        </w:numPr>
        <w:spacing w:after="60" w:line="264"/>
      </w:pPr>
      <w:r>
        <w:rPr>
          <w:b/>
          <w:bCs/>
        </w:rPr>
        <w:t xml:space="preserve">Before the fact:</w:t>
      </w:r>
      <w:r>
        <w:t xml:space="preserve"> each agent’s blueprint lists the tools it may use. The plugin inside Hermes blocks any forbidden call and holds calls that need approval until a person gives it.</w:t>
      </w:r>
    </w:p>
    <w:p>
      <w:pPr>
        <w:pStyle w:val="ListParagraph"/>
        <w:numPr>
          <w:ilvl w:val="0"/>
          <w:numId w:val="2"/>
        </w:numPr>
        <w:spacing w:after="60" w:line="264"/>
      </w:pPr>
      <w:r>
        <w:rPr>
          <w:b/>
          <w:bCs/>
        </w:rPr>
        <w:t xml:space="preserve">At the gates:</w:t>
      </w:r>
      <w:r>
        <w:t xml:space="preserve"> workflows stop at human gates owned by a role. A person approves, or sends the work back to an agent with a note; everything after that step reruns.</w:t>
      </w:r>
    </w:p>
    <w:p>
      <w:pPr>
        <w:pStyle w:val="ListParagraph"/>
        <w:numPr>
          <w:ilvl w:val="0"/>
          <w:numId w:val="2"/>
        </w:numPr>
        <w:spacing w:after="60" w:line="264"/>
      </w:pPr>
      <w:r>
        <w:rPr>
          <w:b/>
          <w:bCs/>
        </w:rPr>
        <w:t xml:space="preserve">After the fact:</w:t>
      </w:r>
      <w:r>
        <w:t xml:space="preserve"> each claim is graded against the session record. A claim with no evidence is flagged, and an alert can go to the operations channel.</w:t>
      </w:r>
    </w:p>
    <w:p>
      <w:pPr>
        <w:pStyle w:val="ListParagraph"/>
        <w:numPr>
          <w:ilvl w:val="0"/>
          <w:numId w:val="2"/>
        </w:numPr>
        <w:spacing w:after="60" w:line="264"/>
      </w:pPr>
      <w:r>
        <w:rPr>
          <w:b/>
          <w:bCs/>
        </w:rPr>
        <w:t xml:space="preserve">Over time:</w:t>
      </w:r>
      <w:r>
        <w:t xml:space="preserve"> tests gate every production release; drift detection catches hand changes; the audit log records who approved what.</w:t>
      </w:r>
    </w:p>
    <w:p>
      <w:pPr>
        <w:pStyle w:val="ListParagraph"/>
        <w:numPr>
          <w:ilvl w:val="0"/>
          <w:numId w:val="2"/>
        </w:numPr>
        <w:spacing w:after="60" w:line="264"/>
      </w:pPr>
      <w:r>
        <w:rPr>
          <w:b/>
          <w:bCs/>
        </w:rPr>
        <w:t xml:space="preserve">Separation of duties:</w:t>
      </w:r>
      <w:r>
        <w:t xml:space="preserve"> the author of a change cannot approve it; decisions are one per person and append-only; a named second approver can be required.</w:t>
      </w:r>
    </w:p>
    <w:p>
      <w:r>
        <w:br w:type="page"/>
      </w:r>
    </w:p>
    <w:p>
      <w:pPr>
        <w:pStyle w:val="Heading1"/>
      </w:pPr>
      <w:r>
        <w:t xml:space="preserve">6. Integration with the SAS platform</w:t>
      </w:r>
    </w:p>
    <w:p>
      <w:pPr>
        <w:spacing w:after="120" w:line="276"/>
      </w:pPr>
      <w:r>
        <w:t xml:space="preserve">SAS is where most of our target institutions keep the data, models, decision rules and risk records their regulated work depends on. Fleet Studio does not replace any of it. It lets governed agents work with it.</w:t>
      </w:r>
    </w:p>
    <w:p>
      <w:pPr>
        <w:pStyle w:val="Heading2"/>
      </w:pPr>
      <w:r>
        <w:t xml:space="preserve">6.1 How agents reach SAS</w:t>
      </w:r>
    </w:p>
    <w:p>
      <w:pPr>
        <w:spacing w:after="120" w:line="276"/>
      </w:pPr>
      <w:r>
        <w:t xml:space="preserve">In 2026 SAS released the </w:t>
      </w:r>
      <w:r>
        <w:rPr>
          <w:b/>
          <w:bCs/>
        </w:rPr>
        <w:t xml:space="preserve">SAS Viya MCP Server</w:t>
      </w:r>
      <w:r>
        <w:t xml:space="preserve">, an open-source server that lets outside AI agents call SAS Viya through the Model Context Protocol, the emerging standard for connecting agents to tools. It offers 92 tools in 10 areas; 51 of them only read.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3"/>
        <w:gridCol w:w="3855"/>
      </w:tblGrid>
      <w:tr>
        <w:trPr>
          <w:tblHeader/>
        </w:trPr>
        <w:tc>
          <w:tcPr>
            <w:tcW w:type="dxa" w:w="5783"/>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agents can use through SAS’s MCP server today</w:t>
            </w:r>
          </w:p>
        </w:tc>
        <w:tc>
          <w:tcPr>
            <w:tcW w:type="dxa" w:w="385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Example tools</w:t>
            </w:r>
          </w:p>
        </w:tc>
      </w:tr>
      <w:tr>
        <w:trPr>
          <w:cantSplit/>
        </w:trPr>
        <w:tc>
          <w:tcPr>
            <w:tcW w:type="dxa" w:w="578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Find and read governed data (CAS tables, SAS libraries, the information catalog)</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catalog_search, get_castable_data, list_table_terms</w:t>
            </w:r>
          </w:p>
        </w:tc>
      </w:tr>
      <w:tr>
        <w:trPr>
          <w:cantSplit/>
        </w:trPr>
        <w:tc>
          <w:tcPr>
            <w:tcW w:type="dxa" w:w="578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 reports and dashboards (SAS Visual Analytics)</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list_reports, export_report</w:t>
            </w:r>
          </w:p>
        </w:tc>
      </w:tr>
      <w:tr>
        <w:trPr>
          <w:cantSplit/>
        </w:trPr>
        <w:tc>
          <w:tcPr>
            <w:tcW w:type="dxa" w:w="578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 decision rules and flows (SAS Intelligent Decisioning)</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get_decision_flow, list_business_rules</w:t>
            </w:r>
          </w:p>
        </w:tc>
      </w:tr>
      <w:tr>
        <w:trPr>
          <w:cantSplit/>
        </w:trPr>
        <w:tc>
          <w:tcPr>
            <w:tcW w:type="dxa" w:w="578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Read the model registry (SAS Model Manager)</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list_registered_models</w:t>
            </w:r>
          </w:p>
        </w:tc>
      </w:tr>
      <w:tr>
        <w:trPr>
          <w:cantSplit/>
        </w:trPr>
        <w:tc>
          <w:tcPr>
            <w:tcW w:type="dxa" w:w="578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 job status and logs</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get_job_status, get_job_log</w:t>
            </w:r>
          </w:p>
        </w:tc>
      </w:tr>
      <w:tr>
        <w:trPr>
          <w:cantSplit/>
        </w:trPr>
        <w:tc>
          <w:tcPr>
            <w:tcW w:type="dxa" w:w="578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Understand the business glossary (SAS Data Governance)</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search_glossary_terms</w:t>
            </w:r>
          </w:p>
        </w:tc>
      </w:tr>
    </w:tbl>
    <w:p>
      <w:pPr>
        <w:spacing w:after="60"/>
      </w:pPr>
    </w:p>
    <w:p>
      <w:pPr>
        <w:spacing w:after="120" w:line="276"/>
      </w:pPr>
      <w:r>
        <w:t xml:space="preserve">We have run this end to end: a Hermes agent governed by Fleet Studio called SAS Viya through SAS’s MCP server in our lab, and Fleet Studio discovered and listed all of the server’s tools. The integration work taught us the practical details a customer deployment needs (certificates, per-agent sign-in, session lifetimes), and they are documented.</w:t>
      </w:r>
    </w:p>
    <w:p>
      <w:pPr>
        <w:pStyle w:val="Heading2"/>
      </w:pPr>
      <w:r>
        <w:t xml:space="preserve">6.2 The rules agents follow on SAS</w:t>
      </w:r>
    </w:p>
    <w:p>
      <w:pPr>
        <w:pStyle w:val="ListParagraph"/>
        <w:numPr>
          <w:ilvl w:val="0"/>
          <w:numId w:val="2"/>
        </w:numPr>
        <w:spacing w:after="60" w:line="264"/>
      </w:pPr>
      <w:r>
        <w:rPr>
          <w:b/>
          <w:bCs/>
        </w:rPr>
        <w:t xml:space="preserve">Read-only by default.</w:t>
      </w:r>
      <w:r>
        <w:t xml:space="preserve"> Every mission blocks the 41 SAS tools that change something or start work, using SAS’s own classification of its tools.</w:t>
      </w:r>
    </w:p>
    <w:p>
      <w:pPr>
        <w:pStyle w:val="ListParagraph"/>
        <w:numPr>
          <w:ilvl w:val="0"/>
          <w:numId w:val="2"/>
        </w:numPr>
        <w:spacing w:after="60" w:line="264"/>
      </w:pPr>
      <w:r>
        <w:rPr>
          <w:b/>
          <w:bCs/>
        </w:rPr>
        <w:t xml:space="preserve">Some actions ask a person every time.</w:t>
      </w:r>
      <w:r>
        <w:t xml:space="preserve"> Where a mission needs one (an ad-hoc query, scoring a model, a draft rule change in a test environment), that tool asks for a person’s approval on each call.</w:t>
      </w:r>
    </w:p>
    <w:p>
      <w:pPr>
        <w:pStyle w:val="ListParagraph"/>
        <w:numPr>
          <w:ilvl w:val="0"/>
          <w:numId w:val="2"/>
        </w:numPr>
        <w:spacing w:after="60" w:line="264"/>
      </w:pPr>
      <w:r>
        <w:rPr>
          <w:b/>
          <w:bCs/>
        </w:rPr>
        <w:t xml:space="preserve">Some actions are never delegated.</w:t>
      </w:r>
      <w:r>
        <w:t xml:space="preserve"> Publishing a decision flow, locking a rule revision, deleting anything, or running arbitrary SAS code are never given to agents, not even with approval.</w:t>
      </w:r>
    </w:p>
    <w:p>
      <w:pPr>
        <w:pStyle w:val="ListParagraph"/>
        <w:numPr>
          <w:ilvl w:val="0"/>
          <w:numId w:val="2"/>
        </w:numPr>
        <w:spacing w:after="60" w:line="264"/>
      </w:pPr>
      <w:r>
        <w:rPr>
          <w:b/>
          <w:bCs/>
        </w:rPr>
        <w:t xml:space="preserve">SAS keeps its own security.</w:t>
      </w:r>
      <w:r>
        <w:t xml:space="preserve"> Each agent signs in to SAS with its own identity, so SAS’s audit trail shows which agent read what. No SAS credential passes through Fleet Studio.</w:t>
      </w:r>
    </w:p>
    <w:p>
      <w:pPr>
        <w:pStyle w:val="Heading2"/>
      </w:pPr>
      <w:r>
        <w:t xml:space="preserve">6.3 What SAS does and what the agents add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3470"/>
        <w:gridCol w:w="2891"/>
      </w:tblGrid>
      <w:tr>
        <w:trPr>
          <w:tblHeader/>
        </w:trPr>
        <w:tc>
          <w:tcPr>
            <w:tcW w:type="dxa" w:w="327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SAS does</w:t>
            </w:r>
          </w:p>
        </w:tc>
        <w:tc>
          <w:tcPr>
            <w:tcW w:type="dxa" w:w="347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The agents add</w:t>
            </w:r>
          </w:p>
        </w:tc>
        <w:tc>
          <w:tcPr>
            <w:tcW w:type="dxa" w:w="2891"/>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People do</w:t>
            </w:r>
          </w:p>
        </w:tc>
      </w:tr>
      <w:tr>
        <w:trPr>
          <w:cantSplit/>
        </w:trPr>
        <w:tc>
          <w:tcPr>
            <w:tcW w:type="dxa" w:w="327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Holds the data, models, rules and records</w:t>
            </w:r>
          </w:p>
        </w:tc>
        <w:tc>
          <w:tcPr>
            <w:tcW w:type="dxa" w:w="347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Find, read and connect them across modules</w:t>
            </w:r>
          </w:p>
        </w:tc>
        <w:tc>
          <w:tcPr>
            <w:tcW w:type="dxa" w:w="289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Decide what the evidence means</w:t>
            </w:r>
          </w:p>
        </w:tc>
      </w:tr>
      <w:tr>
        <w:trPr>
          <w:cantSplit/>
        </w:trPr>
        <w:tc>
          <w:tcPr>
            <w:tcW w:type="dxa" w:w="327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Detects: alerts, scores, thresholds</w:t>
            </w:r>
          </w:p>
        </w:tc>
        <w:tc>
          <w:tcPr>
            <w:tcW w:type="dxa" w:w="347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Investigate: why this alert, what is related, what speaks for and against</w:t>
            </w:r>
          </w:p>
        </w:tc>
        <w:tc>
          <w:tcPr>
            <w:tcW w:type="dxa" w:w="2891"/>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Decide what to do about it</w:t>
            </w:r>
          </w:p>
        </w:tc>
      </w:tr>
      <w:tr>
        <w:trPr>
          <w:cantSplit/>
        </w:trPr>
        <w:tc>
          <w:tcPr>
            <w:tcW w:type="dxa" w:w="327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Computes: every number</w:t>
            </w:r>
          </w:p>
        </w:tc>
        <w:tc>
          <w:tcPr>
            <w:tcW w:type="dxa" w:w="347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Explain: drivers, movements, exceptions, in plain language, citing the source</w:t>
            </w:r>
          </w:p>
        </w:tc>
        <w:tc>
          <w:tcPr>
            <w:tcW w:type="dxa" w:w="289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Accept or challenge the explanation</w:t>
            </w:r>
          </w:p>
        </w:tc>
      </w:tr>
      <w:tr>
        <w:trPr>
          <w:cantSplit/>
        </w:trPr>
        <w:tc>
          <w:tcPr>
            <w:tcW w:type="dxa" w:w="327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Enforces its own permissions</w:t>
            </w:r>
          </w:p>
        </w:tc>
        <w:tc>
          <w:tcPr>
            <w:tcW w:type="dxa" w:w="347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Work under their own identities and the blueprint’s limits</w:t>
            </w:r>
          </w:p>
        </w:tc>
        <w:tc>
          <w:tcPr>
            <w:tcW w:type="dxa" w:w="2891"/>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Grant and review those limits</w:t>
            </w:r>
          </w:p>
        </w:tc>
      </w:tr>
    </w:tbl>
    <w:p>
      <w:pPr>
        <w:spacing w:after="60"/>
      </w:pPr>
    </w:p>
    <w:p>
      <w:pPr>
        <w:pStyle w:val="Heading2"/>
      </w:pPr>
      <w:r>
        <w:t xml:space="preserve">6.4 Beyond the MCP server: connectors</w:t>
      </w:r>
    </w:p>
    <w:p>
      <w:pPr>
        <w:spacing w:after="120" w:line="276"/>
      </w:pPr>
      <w:r>
        <w:t xml:space="preserve">SAS’s MCP server does not yet cover SAS’s industry solutions: Anti-Money Laundering and Visual Investigator, Fraud Decisioning, Risk Cirrus (IFRS 9 / CECL, stress testing, ALM), Model Risk Management and Governance &amp; Compliance Manager. For these we build connectors, as MCP servers of our own on the solutions’ REST APIs, with the same rules: read first, writes only after a person approves. Several of these solutions publish their APIs; others need access through SAS or the customer. This connector work is also where Fleet Studio is hardest to copy.</w:t>
      </w:r>
    </w:p>
    <w:p>
      <w:pPr>
        <w:pStyle w:val="Heading2"/>
      </w:pPr>
      <w:r>
        <w:t xml:space="preserve">6.5 Alongside SAS’s own AI assistants</w:t>
      </w:r>
    </w:p>
    <w:p>
      <w:pPr>
        <w:spacing w:after="120" w:line="276"/>
      </w:pPr>
      <w:r>
        <w:t xml:space="preserve">SAS offers Viya Copilots inside several products (for example Visual Investigator, Model Manager, ALM and data discovery), and lets customers build agents inside Intelligent Decisioning. These help one person inside one product. Fleet Studio is complementary: it runs multi-agent work across products and beyond SAS, with separation of duties, committee decisions, graded evidence and agents the institution can test and version. SAS’s tools become tools our fleets use.</w:t>
      </w:r>
    </w:p>
    <w:p>
      <w:r>
        <w:br w:type="page"/>
      </w:r>
    </w:p>
    <w:p>
      <w:pPr>
        <w:pStyle w:val="Heading1"/>
      </w:pPr>
      <w:r>
        <w:t xml:space="preserve">7. Worked example: anti-money-laundering investigation</w:t>
      </w:r>
    </w:p>
    <w:p>
      <w:pPr>
        <w:pStyle w:val="Heading2"/>
      </w:pPr>
      <w:r>
        <w:t xml:space="preserve">7.1 The problem</w:t>
      </w:r>
    </w:p>
    <w:p>
      <w:pPr>
        <w:spacing w:after="120" w:line="276"/>
      </w:pPr>
      <w:r>
        <w:t xml:space="preserve">Transaction monitoring systems generate many alerts, and most turn out not to be suspicious. Each one still needs an investigation record. True cases need sanctions screening, ownership tracing and a well-argued suspicious activity report (SAR), written under deadline and reviewed by the money laundering reporting officer (MLRO). Investigator capacity is the bottleneck, quality varies between investigators, and every decision must survive review by internal audit and the supervisor.</w:t>
      </w:r>
    </w:p>
    <w:p>
      <w:pPr>
        <w:spacing w:after="120" w:line="276"/>
      </w:pPr>
      <w:r>
        <w:t xml:space="preserve">Many institutions run this process on SAS: SAS Anti-Money Laundering and SAS Visual Investigator for detection, alerts and cases, with transaction and customer data in SAS Viya.</w:t>
      </w:r>
    </w:p>
    <w:p>
      <w:pPr>
        <w:pStyle w:val="Heading2"/>
      </w:pPr>
      <w:r>
        <w:t xml:space="preserve">7.2 The fleet</w:t>
      </w:r>
    </w:p>
    <w:p>
      <w:pPr>
        <w:spacing w:after="120" w:line="276"/>
      </w:pPr>
      <w:r>
        <w:t xml:space="preserve">The reference fleet, aml-investigation, has five agents. Each has one job, its own model and its own permissions.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3855"/>
        <w:gridCol w:w="2120"/>
        <w:gridCol w:w="2121"/>
      </w:tblGrid>
      <w:tr>
        <w:trPr>
          <w:tblHeader/>
        </w:trPr>
        <w:tc>
          <w:tcPr>
            <w:tcW w:type="dxa" w:w="154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Agent</w:t>
            </w:r>
          </w:p>
        </w:tc>
        <w:tc>
          <w:tcPr>
            <w:tcW w:type="dxa" w:w="385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Job</w:t>
            </w:r>
          </w:p>
        </w:tc>
        <w:tc>
          <w:tcPr>
            <w:tcW w:type="dxa" w:w="212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Uses</w:t>
            </w:r>
          </w:p>
        </w:tc>
        <w:tc>
          <w:tcPr>
            <w:tcW w:type="dxa" w:w="2121"/>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Must never</w:t>
            </w:r>
          </w:p>
        </w:tc>
      </w:tr>
      <w:tr>
        <w:trPr>
          <w:cantSplit/>
        </w:trPr>
        <w:tc>
          <w:tcPr>
            <w:tcW w:type="dxa" w:w="154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Case orchestrator</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Owns the case: delegates screening and ownership tracing in parallel, sends every recommendation to the challenger, and assembles the case brief for people.</w:t>
            </w:r>
          </w:p>
        </w:tc>
        <w:tc>
          <w:tcPr>
            <w:tcW w:type="dxa" w:w="212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The case store; case routing, evidence ledger and redaction skills</w:t>
            </w:r>
          </w:p>
        </w:tc>
        <w:tc>
          <w:tcPr>
            <w:tcW w:type="dxa" w:w="212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Contact external systems directly</w:t>
            </w:r>
          </w:p>
        </w:tc>
      </w:tr>
      <w:tr>
        <w:trPr>
          <w:cantSplit/>
        </w:trPr>
        <w:tc>
          <w:tcPr>
            <w:tcW w:type="dxa" w:w="154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Sanctions screener</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Screens every counterparty against OFAC, EU and UN lists, trying transliterations and aliases before declaring no match.</w:t>
            </w:r>
          </w:p>
        </w:tc>
        <w:tc>
          <w:tcPr>
            <w:tcW w:type="dxa" w:w="212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OpenSanctions</w:t>
            </w:r>
          </w:p>
        </w:tc>
        <w:tc>
          <w:tcPr>
            <w:tcW w:type="dxa" w:w="2121"/>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Mark a screening complete without a screening result in the run; use ad-hoc web searches</w:t>
            </w:r>
          </w:p>
        </w:tc>
      </w:tr>
      <w:tr>
        <w:trPr>
          <w:cantSplit/>
        </w:trPr>
        <w:tc>
          <w:tcPr>
            <w:tcW w:type="dxa" w:w="154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Ownership tracer</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Traces beneficial ownership up to three hops from registry filings and returns the ownership graph.</w:t>
            </w:r>
          </w:p>
        </w:tc>
        <w:tc>
          <w:tcPr>
            <w:tcW w:type="dxa" w:w="212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Corporate registry</w:t>
            </w:r>
          </w:p>
        </w:tc>
        <w:tc>
          <w:tcPr>
            <w:tcW w:type="dxa" w:w="212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t>
            </w:r>
          </w:p>
        </w:tc>
      </w:tr>
      <w:tr>
        <w:trPr>
          <w:cantSplit/>
        </w:trPr>
        <w:tc>
          <w:tcPr>
            <w:tcW w:type="dxa" w:w="154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Challenger</w:t>
            </w:r>
          </w:p>
        </w:tc>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Argues against the orchestrator: finds the strongest innocent explanation and cites the case file for every objection.</w:t>
            </w:r>
          </w:p>
        </w:tc>
        <w:tc>
          <w:tcPr>
            <w:tcW w:type="dxa" w:w="212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Counter-argument and citation checks</w:t>
            </w:r>
          </w:p>
        </w:tc>
        <w:tc>
          <w:tcPr>
            <w:tcW w:type="dxa" w:w="2121"/>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Contact external systems. Its disagreement blocks the SAR draft until a person decides.</w:t>
            </w:r>
          </w:p>
        </w:tc>
      </w:tr>
      <w:tr>
        <w:trPr>
          <w:cantSplit/>
        </w:trPr>
        <w:tc>
          <w:tcPr>
            <w:tcW w:type="dxa" w:w="154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SAR drafter</w:t>
            </w:r>
          </w:p>
        </w:tc>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Writes the SAR narrative from the approved case file.</w:t>
            </w:r>
          </w:p>
        </w:tc>
        <w:tc>
          <w:tcPr>
            <w:tcW w:type="dxa" w:w="212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SAR template, document store</w:t>
            </w:r>
          </w:p>
        </w:tc>
        <w:tc>
          <w:tcPr>
            <w:tcW w:type="dxa" w:w="212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Submit anything: two compliance officers must sign first</w:t>
            </w:r>
          </w:p>
        </w:tc>
      </w:tr>
    </w:tbl>
    <w:p>
      <w:pPr>
        <w:spacing w:after="60"/>
      </w:pPr>
    </w:p>
    <w:p>
      <w:pPr>
        <w:spacing w:after="120" w:line="276"/>
      </w:pPr>
      <w:r>
        <w:t xml:space="preserve">Customer data stays on the institution’s premises: the screener and the tracer run on a locally hosted model, and agents on cloud models receive redacted summaries only.</w:t>
      </w:r>
    </w:p>
    <w:p>
      <w:pPr>
        <w:pStyle w:val="Heading2"/>
      </w:pPr>
      <w:r>
        <w:t xml:space="preserve">7.3 Where SAS fits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4433"/>
        <w:gridCol w:w="3470"/>
      </w:tblGrid>
      <w:tr>
        <w:trPr>
          <w:tblHeader/>
        </w:trPr>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Step</w:t>
            </w:r>
          </w:p>
        </w:tc>
        <w:tc>
          <w:tcPr>
            <w:tcW w:type="dxa" w:w="4433"/>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SAS’s part</w:t>
            </w:r>
          </w:p>
        </w:tc>
        <w:tc>
          <w:tcPr>
            <w:tcW w:type="dxa" w:w="3470"/>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How it is reached</w:t>
            </w:r>
          </w:p>
        </w:tc>
      </w:tr>
      <w:tr>
        <w:trPr>
          <w:cantSplit/>
        </w:trPr>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The alert</w:t>
            </w:r>
          </w:p>
        </w:tc>
        <w:tc>
          <w:tcPr>
            <w:tcW w:type="dxa" w:w="443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SAS’s detection (AML scenarios and anomaly models) flags the wire transfer and creates the alert.</w:t>
            </w:r>
          </w:p>
        </w:tc>
        <w:tc>
          <w:tcPr>
            <w:tcW w:type="dxa" w:w="347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Visual Investigator REST API (connector to build)</w:t>
            </w:r>
          </w:p>
        </w:tc>
      </w:tr>
      <w:tr>
        <w:trPr>
          <w:cantSplit/>
        </w:trPr>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The context</w:t>
            </w:r>
          </w:p>
        </w:tc>
        <w:tc>
          <w:tcPr>
            <w:tcW w:type="dxa" w:w="443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Transaction history, customer and account data held in SAS Viya.</w:t>
            </w:r>
          </w:p>
        </w:tc>
        <w:tc>
          <w:tcPr>
            <w:tcW w:type="dxa" w:w="347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SAS Viya MCP Server, read-only (works today)</w:t>
            </w:r>
          </w:p>
        </w:tc>
      </w:tr>
      <w:tr>
        <w:trPr>
          <w:cantSplit/>
        </w:trPr>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Why it was flagged</w:t>
            </w:r>
          </w:p>
        </w:tc>
        <w:tc>
          <w:tcPr>
            <w:tcW w:type="dxa" w:w="443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The scenario rules and decision flows behind the alert.</w:t>
            </w:r>
          </w:p>
        </w:tc>
        <w:tc>
          <w:tcPr>
            <w:tcW w:type="dxa" w:w="3470"/>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Viya MCP Server, Intelligent Decisioning read tools (works today)</w:t>
            </w:r>
          </w:p>
        </w:tc>
      </w:tr>
      <w:tr>
        <w:trPr>
          <w:cantSplit/>
        </w:trPr>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The case record</w:t>
            </w:r>
          </w:p>
        </w:tc>
        <w:tc>
          <w:tcPr>
            <w:tcW w:type="dxa" w:w="443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The case and its disposition stay in the SAS case system.</w:t>
            </w:r>
          </w:p>
        </w:tc>
        <w:tc>
          <w:tcPr>
            <w:tcW w:type="dxa" w:w="3470"/>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Written back only after the people’s decision (connector to build)</w:t>
            </w:r>
          </w:p>
        </w:tc>
      </w:tr>
    </w:tbl>
    <w:p>
      <w:pPr>
        <w:spacing w:after="60"/>
      </w:pPr>
    </w:p>
    <w:p>
      <w:pPr>
        <w:pStyle w:val="Heading2"/>
      </w:pPr>
      <w:r>
        <w:t xml:space="preserve">7.4 The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6"/>
        <w:gridCol w:w="1606"/>
        <w:gridCol w:w="1606"/>
        <w:gridCol w:w="1606"/>
        <w:gridCol w:w="1606"/>
        <w:gridCol w:w="1608"/>
      </w:tblGrid>
      <w:tr>
        <w:tc>
          <w:tcPr>
            <w:tcW w:type="dxa" w:w="1606"/>
            <w:tcBorders>
              <w:top w:val="single" w:color="FFFFFF" w:sz="12"/>
              <w:left w:val="single" w:color="FFFFFF" w:sz="12"/>
              <w:bottom w:val="single" w:color="FFFFFF" w:sz="12"/>
              <w:right w:val="single" w:color="FFFFFF" w:sz="12"/>
            </w:tcBorders>
            <w:shd w:fill="EAF1F8" w:color="auto" w:val="clear"/>
            <w:tcMar>
              <w:top w:type="dxa" w:w="100"/>
              <w:left w:type="dxa" w:w="90"/>
              <w:bottom w:type="dxa" w:w="100"/>
              <w:right w:type="dxa" w:w="90"/>
            </w:tcMar>
          </w:tcPr>
          <w:p>
            <w:pPr>
              <w:spacing w:after="30"/>
            </w:pPr>
            <w:r>
              <w:rPr>
                <w:b/>
                <w:bCs/>
                <w:color w:val="1570B8"/>
                <w:sz w:val="22"/>
                <w:szCs w:val="22"/>
              </w:rPr>
              <w:t xml:space="preserve">1</w:t>
            </w:r>
          </w:p>
          <w:p>
            <w:pPr>
              <w:spacing w:after="40"/>
            </w:pPr>
            <w:r>
              <w:rPr>
                <w:b/>
                <w:bCs/>
                <w:color w:val="0B2545"/>
                <w:sz w:val="18"/>
                <w:szCs w:val="18"/>
              </w:rPr>
              <w:t xml:space="preserve">Case brief</w:t>
            </w:r>
          </w:p>
          <w:p>
            <w:r>
              <w:rPr>
                <w:sz w:val="16"/>
                <w:szCs w:val="16"/>
              </w:rPr>
              <w:t xml:space="preserve">Orchestrator frames the flagged transaction</w:t>
            </w:r>
          </w:p>
        </w:tc>
        <w:tc>
          <w:tcPr>
            <w:tcW w:type="dxa" w:w="1606"/>
            <w:tcBorders>
              <w:top w:val="single" w:color="FFFFFF" w:sz="12"/>
              <w:left w:val="single" w:color="FFFFFF" w:sz="12"/>
              <w:bottom w:val="single" w:color="FFFFFF" w:sz="12"/>
              <w:right w:val="single" w:color="FFFFFF" w:sz="12"/>
            </w:tcBorders>
            <w:shd w:fill="EAF1F8" w:color="auto" w:val="clear"/>
            <w:tcMar>
              <w:top w:type="dxa" w:w="100"/>
              <w:left w:type="dxa" w:w="90"/>
              <w:bottom w:type="dxa" w:w="100"/>
              <w:right w:type="dxa" w:w="90"/>
            </w:tcMar>
          </w:tcPr>
          <w:p>
            <w:pPr>
              <w:spacing w:after="30"/>
            </w:pPr>
            <w:r>
              <w:rPr>
                <w:b/>
                <w:bCs/>
                <w:color w:val="1570B8"/>
                <w:sz w:val="22"/>
                <w:szCs w:val="22"/>
              </w:rPr>
              <w:t xml:space="preserve">2</w:t>
            </w:r>
          </w:p>
          <w:p>
            <w:pPr>
              <w:spacing w:after="40"/>
            </w:pPr>
            <w:r>
              <w:rPr>
                <w:b/>
                <w:bCs/>
                <w:color w:val="0B2545"/>
                <w:sz w:val="18"/>
                <w:szCs w:val="18"/>
              </w:rPr>
              <w:t xml:space="preserve">Screen and trace</w:t>
            </w:r>
          </w:p>
          <w:p>
            <w:r>
              <w:rPr>
                <w:sz w:val="16"/>
                <w:szCs w:val="16"/>
              </w:rPr>
              <w:t xml:space="preserve">Screener and tracer work in parallel</w:t>
            </w:r>
          </w:p>
        </w:tc>
        <w:tc>
          <w:tcPr>
            <w:tcW w:type="dxa" w:w="1606"/>
            <w:tcBorders>
              <w:top w:val="single" w:color="FFFFFF" w:sz="12"/>
              <w:left w:val="single" w:color="FFFFFF" w:sz="12"/>
              <w:bottom w:val="single" w:color="FFFFFF" w:sz="12"/>
              <w:right w:val="single" w:color="FFFFFF" w:sz="12"/>
            </w:tcBorders>
            <w:shd w:fill="EAF1F8" w:color="auto" w:val="clear"/>
            <w:tcMar>
              <w:top w:type="dxa" w:w="100"/>
              <w:left w:type="dxa" w:w="90"/>
              <w:bottom w:type="dxa" w:w="100"/>
              <w:right w:type="dxa" w:w="90"/>
            </w:tcMar>
          </w:tcPr>
          <w:p>
            <w:pPr>
              <w:spacing w:after="30"/>
            </w:pPr>
            <w:r>
              <w:rPr>
                <w:b/>
                <w:bCs/>
                <w:color w:val="1570B8"/>
                <w:sz w:val="22"/>
                <w:szCs w:val="22"/>
              </w:rPr>
              <w:t xml:space="preserve">3</w:t>
            </w:r>
          </w:p>
          <w:p>
            <w:pPr>
              <w:spacing w:after="40"/>
            </w:pPr>
            <w:r>
              <w:rPr>
                <w:b/>
                <w:bCs/>
                <w:color w:val="0B2545"/>
                <w:sz w:val="18"/>
                <w:szCs w:val="18"/>
              </w:rPr>
              <w:t xml:space="preserve">Challenge</w:t>
            </w:r>
          </w:p>
          <w:p>
            <w:r>
              <w:rPr>
                <w:sz w:val="16"/>
                <w:szCs w:val="16"/>
              </w:rPr>
              <w:t xml:space="preserve">Challenger argues the innocent case</w:t>
            </w:r>
          </w:p>
        </w:tc>
        <w:tc>
          <w:tcPr>
            <w:tcW w:type="dxa" w:w="1606"/>
            <w:tcBorders>
              <w:top w:val="single" w:color="FFFFFF" w:sz="12"/>
              <w:left w:val="single" w:color="FFFFFF" w:sz="12"/>
              <w:bottom w:val="single" w:color="FFFFFF" w:sz="12"/>
              <w:right w:val="single" w:color="FFFFFF" w:sz="12"/>
            </w:tcBorders>
            <w:shd w:fill="FFF1D6" w:color="auto" w:val="clear"/>
            <w:tcMar>
              <w:top w:type="dxa" w:w="100"/>
              <w:left w:type="dxa" w:w="90"/>
              <w:bottom w:type="dxa" w:w="100"/>
              <w:right w:type="dxa" w:w="90"/>
            </w:tcMar>
          </w:tcPr>
          <w:p>
            <w:pPr>
              <w:spacing w:after="30"/>
            </w:pPr>
            <w:r>
              <w:rPr>
                <w:b/>
                <w:bCs/>
                <w:color w:val="B7791F"/>
                <w:sz w:val="22"/>
                <w:szCs w:val="22"/>
              </w:rPr>
              <w:t xml:space="preserve">4</w:t>
            </w:r>
          </w:p>
          <w:p>
            <w:pPr>
              <w:spacing w:after="40"/>
            </w:pPr>
            <w:r>
              <w:rPr>
                <w:b/>
                <w:bCs/>
                <w:color w:val="0B2545"/>
                <w:sz w:val="18"/>
                <w:szCs w:val="18"/>
              </w:rPr>
              <w:t xml:space="preserve">Investigator review</w:t>
            </w:r>
          </w:p>
          <w:p>
            <w:r>
              <w:rPr>
                <w:sz w:val="16"/>
                <w:szCs w:val="16"/>
              </w:rPr>
              <w:t xml:space="preserve">An Approver approves or sends it back (24 h, then the MLRO)</w:t>
            </w:r>
          </w:p>
        </w:tc>
        <w:tc>
          <w:tcPr>
            <w:tcW w:type="dxa" w:w="1606"/>
            <w:tcBorders>
              <w:top w:val="single" w:color="FFFFFF" w:sz="12"/>
              <w:left w:val="single" w:color="FFFFFF" w:sz="12"/>
              <w:bottom w:val="single" w:color="FFFFFF" w:sz="12"/>
              <w:right w:val="single" w:color="FFFFFF" w:sz="12"/>
            </w:tcBorders>
            <w:shd w:fill="EAF1F8" w:color="auto" w:val="clear"/>
            <w:tcMar>
              <w:top w:type="dxa" w:w="100"/>
              <w:left w:type="dxa" w:w="90"/>
              <w:bottom w:type="dxa" w:w="100"/>
              <w:right w:type="dxa" w:w="90"/>
            </w:tcMar>
          </w:tcPr>
          <w:p>
            <w:pPr>
              <w:spacing w:after="30"/>
            </w:pPr>
            <w:r>
              <w:rPr>
                <w:b/>
                <w:bCs/>
                <w:color w:val="1570B8"/>
                <w:sz w:val="22"/>
                <w:szCs w:val="22"/>
              </w:rPr>
              <w:t xml:space="preserve">5</w:t>
            </w:r>
          </w:p>
          <w:p>
            <w:pPr>
              <w:spacing w:after="40"/>
            </w:pPr>
            <w:r>
              <w:rPr>
                <w:b/>
                <w:bCs/>
                <w:color w:val="0B2545"/>
                <w:sz w:val="18"/>
                <w:szCs w:val="18"/>
              </w:rPr>
              <w:t xml:space="preserve">SAR draft</w:t>
            </w:r>
          </w:p>
          <w:p>
            <w:r>
              <w:rPr>
                <w:sz w:val="16"/>
                <w:szCs w:val="16"/>
              </w:rPr>
              <w:t xml:space="preserve">Drafter writes the narrative</w:t>
            </w:r>
          </w:p>
        </w:tc>
        <w:tc>
          <w:tcPr>
            <w:tcW w:type="dxa" w:w="1608"/>
            <w:tcBorders>
              <w:top w:val="single" w:color="FFFFFF" w:sz="12"/>
              <w:left w:val="single" w:color="FFFFFF" w:sz="12"/>
              <w:bottom w:val="single" w:color="FFFFFF" w:sz="12"/>
              <w:right w:val="single" w:color="FFFFFF" w:sz="12"/>
            </w:tcBorders>
            <w:shd w:fill="FFF1D6" w:color="auto" w:val="clear"/>
            <w:tcMar>
              <w:top w:type="dxa" w:w="100"/>
              <w:left w:type="dxa" w:w="90"/>
              <w:bottom w:type="dxa" w:w="100"/>
              <w:right w:type="dxa" w:w="90"/>
            </w:tcMar>
          </w:tcPr>
          <w:p>
            <w:pPr>
              <w:spacing w:after="30"/>
            </w:pPr>
            <w:r>
              <w:rPr>
                <w:b/>
                <w:bCs/>
                <w:color w:val="B7791F"/>
                <w:sz w:val="22"/>
                <w:szCs w:val="22"/>
              </w:rPr>
              <w:t xml:space="preserve">6</w:t>
            </w:r>
          </w:p>
          <w:p>
            <w:pPr>
              <w:spacing w:after="40"/>
            </w:pPr>
            <w:r>
              <w:rPr>
                <w:b/>
                <w:bCs/>
                <w:color w:val="0B2545"/>
                <w:sz w:val="18"/>
                <w:szCs w:val="18"/>
              </w:rPr>
              <w:t xml:space="preserve">Decision Room</w:t>
            </w:r>
          </w:p>
          <w:p>
            <w:r>
              <w:rPr>
                <w:sz w:val="16"/>
                <w:szCs w:val="16"/>
              </w:rPr>
              <w:t xml:space="preserve">Two officers decide whether to file</w:t>
            </w:r>
          </w:p>
        </w:tc>
      </w:tr>
    </w:tbl>
    <w:p>
      <w:pPr>
        <w:spacing w:after="120" w:line="276"/>
      </w:pPr>
      <w:r>
        <w:rPr>
          <w:color w:val="5B6770"/>
          <w:sz w:val="16"/>
          <w:szCs w:val="16"/>
        </w:rPr>
        <w:t xml:space="preserve">Blue: agents or the platform do the work. Amber: a person decides.</w:t>
      </w:r>
    </w:p>
    <w:p>
      <w:pPr>
        <w:pStyle w:val="Heading2"/>
      </w:pPr>
      <w:r>
        <w:t xml:space="preserve">7.5 One case, end to end</w:t>
      </w:r>
    </w:p>
    <w:p>
      <w:pPr>
        <w:spacing w:after="120" w:line="276"/>
      </w:pPr>
      <w:r>
        <w:t xml:space="preserve">Case MB-4471 is the fleet’s test fixture: a wire transfer involving Zephyr Maritime Ltd, a Cyprus company, and its two directors. The sequence below is how the fleet handles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
        <w:gridCol w:w="5108"/>
        <w:gridCol w:w="1349"/>
        <w:gridCol w:w="2699"/>
      </w:tblGrid>
      <w:tr>
        <w:trPr>
          <w:tblHeader/>
        </w:trPr>
        <w:tc>
          <w:tcPr>
            <w:tcW w:type="dxa" w:w="48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t>
            </w:r>
          </w:p>
        </w:tc>
        <w:tc>
          <w:tcPr>
            <w:tcW w:type="dxa" w:w="510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happens</w:t>
            </w:r>
          </w:p>
        </w:tc>
        <w:tc>
          <w:tcPr>
            <w:tcW w:type="dxa" w:w="134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Who</w:t>
            </w:r>
          </w:p>
        </w:tc>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is recorded</w:t>
            </w:r>
          </w:p>
        </w:tc>
      </w:tr>
      <w:tr>
        <w:trPr>
          <w:cantSplit/>
        </w:trPr>
        <w:tc>
          <w:tcPr>
            <w:tcW w:type="dxa" w:w="48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1</w:t>
            </w:r>
          </w:p>
        </w:tc>
        <w:tc>
          <w:tcPr>
            <w:tcW w:type="dxa" w:w="510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flags the wire transfer; the workflow starts with the flagged transaction as input.</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platform</w:t>
            </w:r>
          </w:p>
        </w:tc>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Run started; alert reference</w:t>
            </w:r>
          </w:p>
        </w:tc>
      </w:tr>
      <w:tr>
        <w:trPr>
          <w:cantSplit/>
        </w:trPr>
        <w:tc>
          <w:tcPr>
            <w:tcW w:type="dxa" w:w="48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2</w:t>
            </w:r>
          </w:p>
        </w:tc>
        <w:tc>
          <w:tcPr>
            <w:tcW w:type="dxa" w:w="510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The orchestrator writes the case brief: parties, amounts, the rule that fired, open questions.</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Agent</w:t>
            </w:r>
          </w:p>
        </w:tc>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case-brief.md; tool calls to the case store</w:t>
            </w:r>
          </w:p>
        </w:tc>
      </w:tr>
      <w:tr>
        <w:trPr>
          <w:cantSplit/>
        </w:trPr>
        <w:tc>
          <w:tcPr>
            <w:tcW w:type="dxa" w:w="48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3</w:t>
            </w:r>
          </w:p>
        </w:tc>
        <w:tc>
          <w:tcPr>
            <w:tcW w:type="dxa" w:w="510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In parallel, the screener checks the company and both directors (with transliterations) and the tracer builds the ownership graph.</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Agents</w:t>
            </w:r>
          </w:p>
        </w:tc>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screening-result.json with list versions and time; ownership-graph.json</w:t>
            </w:r>
          </w:p>
        </w:tc>
      </w:tr>
      <w:tr>
        <w:trPr>
          <w:cantSplit/>
        </w:trPr>
        <w:tc>
          <w:tcPr>
            <w:tcW w:type="dxa" w:w="48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4</w:t>
            </w:r>
          </w:p>
        </w:tc>
        <w:tc>
          <w:tcPr>
            <w:tcW w:type="dxa" w:w="510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The challenger argues the innocent explanation and objects to any claim the file does not support.</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Agent</w:t>
            </w:r>
          </w:p>
        </w:tc>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challenge-memo.md</w:t>
            </w:r>
          </w:p>
        </w:tc>
      </w:tr>
      <w:tr>
        <w:trPr>
          <w:cantSplit/>
        </w:trPr>
        <w:tc>
          <w:tcPr>
            <w:tcW w:type="dxa" w:w="48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5</w:t>
            </w:r>
          </w:p>
        </w:tc>
        <w:tc>
          <w:tcPr>
            <w:tcW w:type="dxa" w:w="510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Fleet Studio grades each claim: a “no sanctions hits” claim without a screening call in the run would be graded No evidence.</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Platform</w:t>
            </w:r>
          </w:p>
        </w:tc>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Verdict per claim</w:t>
            </w:r>
          </w:p>
        </w:tc>
      </w:tr>
      <w:tr>
        <w:trPr>
          <w:cantSplit/>
        </w:trPr>
        <w:tc>
          <w:tcPr>
            <w:tcW w:type="dxa" w:w="48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6</w:t>
            </w:r>
          </w:p>
        </w:tc>
        <w:tc>
          <w:tcPr>
            <w:tcW w:type="dxa" w:w="510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An investigator with the Approver role reviews the file in the Workspace: approves, or sends it back to the challenger with a note. If nobody acts within 24 hours, the gate escalates to the MLRO.</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Person</w:t>
            </w:r>
          </w:p>
        </w:tc>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Gate decision, note, time; escalation if any</w:t>
            </w:r>
          </w:p>
        </w:tc>
      </w:tr>
      <w:tr>
        <w:trPr>
          <w:cantSplit/>
        </w:trPr>
        <w:tc>
          <w:tcPr>
            <w:tcW w:type="dxa" w:w="48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7</w:t>
            </w:r>
          </w:p>
        </w:tc>
        <w:tc>
          <w:tcPr>
            <w:tcW w:type="dxa" w:w="510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The drafter writes the SAR narrative from the approved file.</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w:t>
            </w:r>
          </w:p>
        </w:tc>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sar-draft.docx</w:t>
            </w:r>
          </w:p>
        </w:tc>
      </w:tr>
      <w:tr>
        <w:trPr>
          <w:cantSplit/>
        </w:trPr>
        <w:tc>
          <w:tcPr>
            <w:tcW w:type="dxa" w:w="48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8</w:t>
            </w:r>
          </w:p>
        </w:tc>
        <w:tc>
          <w:tcPr>
            <w:tcW w:type="dxa" w:w="510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 Decision Room opens: “Should we file a SAR for Zephyr Maritime Ltd?”, with every artifact as evidence. The team is notified in Microsoft Teams, with a link back to the room.</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Platform</w:t>
            </w:r>
          </w:p>
        </w:tc>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Room opened; delivery record</w:t>
            </w:r>
          </w:p>
        </w:tc>
      </w:tr>
      <w:tr>
        <w:trPr>
          <w:cantSplit/>
        </w:trPr>
        <w:tc>
          <w:tcPr>
            <w:tcW w:type="dxa" w:w="48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9</w:t>
            </w:r>
          </w:p>
        </w:tc>
        <w:tc>
          <w:tcPr>
            <w:tcW w:type="dxa" w:w="510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Two compliance officers decide, each with a rationale. If they disagree, the room says so instead of hiding it.</w:t>
            </w:r>
          </w:p>
        </w:tc>
        <w:tc>
          <w:tcPr>
            <w:tcW w:type="dxa" w:w="134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People</w:t>
            </w:r>
          </w:p>
        </w:tc>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Two append-only decisions</w:t>
            </w:r>
          </w:p>
        </w:tc>
      </w:tr>
      <w:tr>
        <w:trPr>
          <w:cantSplit/>
        </w:trPr>
        <w:tc>
          <w:tcPr>
            <w:tcW w:type="dxa" w:w="48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10</w:t>
            </w:r>
          </w:p>
        </w:tc>
        <w:tc>
          <w:tcPr>
            <w:tcW w:type="dxa" w:w="510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Filing, if decided, is done by a person. Any external submission by an agent is held for a person’s approval.</w:t>
            </w:r>
          </w:p>
        </w:tc>
        <w:tc>
          <w:tcPr>
            <w:tcW w:type="dxa" w:w="134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Person</w:t>
            </w:r>
          </w:p>
        </w:tc>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Filing outside the fleet; audit trail complete</w:t>
            </w:r>
          </w:p>
        </w:tc>
      </w:tr>
    </w:tbl>
    <w:p>
      <w:pPr>
        <w:spacing w:after="60"/>
      </w:pPr>
    </w:p>
    <w:p>
      <w:pPr>
        <w:pStyle w:val="Heading2"/>
      </w:pPr>
      <w:r>
        <w:t xml:space="preserve">7.6 What the compliance officer sees</w:t>
      </w:r>
    </w:p>
    <w:p>
      <w:pPr>
        <w:spacing w:after="120" w:line="276"/>
      </w:pPr>
      <w:r>
        <w:t xml:space="preserve">A Decision Room shows one question with everything needed to answer it: the case brief; the screening result with list versions; the ownership graph; the challenger’s memo; the SAR draft; each agent finding marked as sourced, analytical, interpretation or assumption, with its evidence verdict; the options; and the decisions already recorded. The officer decides there, with a rationale. A reply in Teams or email is logged but never counts as a decision.</w:t>
      </w:r>
    </w:p>
    <w:p>
      <w:pPr>
        <w:pStyle w:val="Heading2"/>
      </w:pPr>
      <w:r>
        <w:t xml:space="preserve">7.7 Controls built into this fleet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tblHeader/>
        </w:trPr>
        <w:tc>
          <w:tcPr>
            <w:tcW w:type="dxa" w:w="2506"/>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Control</w:t>
            </w:r>
          </w:p>
        </w:tc>
        <w:tc>
          <w:tcPr>
            <w:tcW w:type="dxa" w:w="713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Effect</w:t>
            </w:r>
          </w:p>
        </w:tc>
      </w:tr>
      <w:tr>
        <w:trPr>
          <w:cantSplit/>
        </w:trPr>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Data residency</w:t>
            </w:r>
          </w:p>
        </w:tc>
        <w:tc>
          <w:tcPr>
            <w:tcW w:type="dxa" w:w="713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Agents on cloud models receive redacted summaries only.</w:t>
            </w:r>
          </w:p>
        </w:tc>
      </w:tr>
      <w:tr>
        <w:trPr>
          <w:cantSplit/>
        </w:trPr>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External submission</w:t>
            </w:r>
          </w:p>
        </w:tc>
        <w:tc>
          <w:tcPr>
            <w:tcW w:type="dxa" w:w="713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sar.submit and any outbound post need a person’s approval, for every agent.</w:t>
            </w:r>
          </w:p>
        </w:tc>
      </w:tr>
      <w:tr>
        <w:trPr>
          <w:cantSplit/>
        </w:trPr>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Screening discipline</w:t>
            </w:r>
          </w:p>
        </w:tc>
        <w:tc>
          <w:tcPr>
            <w:tcW w:type="dxa" w:w="713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The screener may not fetch from the web; screening must use OpenSanctions.</w:t>
            </w:r>
          </w:p>
        </w:tc>
      </w:tr>
      <w:tr>
        <w:trPr>
          <w:cantSplit/>
        </w:trPr>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Tests before production</w:t>
            </w:r>
          </w:p>
        </w:tc>
        <w:tc>
          <w:tcPr>
            <w:tcW w:type="dxa" w:w="713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Screening must call OpenSanctions and return a result; transliterated names are tried; the challenger must object to an unsupported “zero hits” claim; the full workflow must produce the SAR draft.</w:t>
            </w:r>
          </w:p>
        </w:tc>
      </w:tr>
      <w:tr>
        <w:trPr>
          <w:cantSplit/>
        </w:trPr>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Production release</w:t>
            </w:r>
          </w:p>
        </w:tc>
        <w:tc>
          <w:tcPr>
            <w:tcW w:type="dxa" w:w="713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Two approvers must approve the plan before the fleet changes in production; the author cannot approve it.</w:t>
            </w:r>
          </w:p>
        </w:tc>
      </w:tr>
      <w:tr>
        <w:trPr>
          <w:cantSplit/>
        </w:trPr>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Delivery</w:t>
            </w:r>
          </w:p>
        </w:tc>
        <w:tc>
          <w:tcPr>
            <w:tcW w:type="dxa" w:w="713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Decision requests to the investigations channel in Teams; second approvals by email; evidence alerts to the operations channel.</w:t>
            </w:r>
          </w:p>
        </w:tc>
      </w:tr>
    </w:tbl>
    <w:p>
      <w:pPr>
        <w:spacing w:after="60"/>
      </w:pPr>
    </w:p>
    <w:p>
      <w:pPr>
        <w:pStyle w:val="Heading2"/>
      </w:pPr>
      <w:r>
        <w:t xml:space="preserve">7.8 What is built today, and what the pilot adds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Part</w:t>
            </w:r>
          </w:p>
        </w:tc>
        <w:tc>
          <w:tcPr>
            <w:tcW w:type="dxa" w:w="481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Status</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The fleet as a blueprint: five agents, policies, workflow, tests, delivery rules</w:t>
            </w:r>
          </w:p>
        </w:tc>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Built.</w:t>
            </w:r>
            <w:r>
              <w:rPr>
                <w:sz w:val="18"/>
                <w:szCs w:val="18"/>
              </w:rPr>
              <w:t xml:space="preserve"> The reference blueprint runs in the demo environment.</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Plan, approvals, apply, drift, tests, evidence grading, Decision Rooms, messaging</w:t>
            </w:r>
          </w:p>
        </w:tc>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Built</w:t>
            </w:r>
            <w:r>
              <w:rPr>
                <w:sz w:val="18"/>
                <w:szCs w:val="18"/>
              </w:rPr>
              <w:t xml:space="preserve"> and tested.</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Reading transaction and customer data and decision rules in SAS Viya</w:t>
            </w:r>
          </w:p>
        </w:tc>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Works today</w:t>
            </w:r>
            <w:r>
              <w:rPr>
                <w:sz w:val="18"/>
                <w:szCs w:val="18"/>
              </w:rPr>
              <w:t xml:space="preserve"> through the SAS Viya MCP Server.</w:t>
            </w:r>
          </w:p>
        </w:tc>
      </w:tr>
      <w:tr>
        <w:trPr>
          <w:cantSplit/>
        </w:trPr>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Taking alerts from, and writing dispositions to, SAS AML / Visual Investigator</w:t>
            </w:r>
          </w:p>
        </w:tc>
        <w:tc>
          <w:tcPr>
            <w:tcW w:type="dxa" w:w="481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To build:</w:t>
            </w:r>
            <w:r>
              <w:rPr>
                <w:sz w:val="18"/>
                <w:szCs w:val="18"/>
              </w:rPr>
              <w:t xml:space="preserve"> a connector on the Visual Investigator REST API, in the pilot.</w:t>
            </w:r>
          </w:p>
        </w:tc>
      </w:tr>
      <w:tr>
        <w:trPr>
          <w:cantSplit/>
        </w:trPr>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OpenSanctions and corporate-registry access</w:t>
            </w:r>
          </w:p>
        </w:tc>
        <w:tc>
          <w:tcPr>
            <w:tcW w:type="dxa" w:w="481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Configured on the customer’s hosts as MCP servers, with the customer’s own subscriptions.</w:t>
            </w:r>
          </w:p>
        </w:tc>
      </w:tr>
    </w:tbl>
    <w:p>
      <w:pPr>
        <w:spacing w:after="60"/>
      </w:pPr>
    </w:p>
    <w:p>
      <w:pPr>
        <w:pStyle w:val="Heading2"/>
      </w:pPr>
      <w:r>
        <w:t xml:space="preserve">7.9 Why this matters for an institution running SAS AML</w:t>
      </w:r>
    </w:p>
    <w:p>
      <w:pPr>
        <w:spacing w:after="120" w:line="276"/>
      </w:pPr>
      <w:r>
        <w:t xml:space="preserve">Several vendors now sell AML investigation agents on their own platforms. For an institution whose detection and cases run on SAS, those mean moving data and processes, or running a parallel system. Fleet Studio works where the institution already works: on its SAS alerts and data, on its hosts, with its models, under controls its compliance and audit teams can inspect. The same governance then carries over to the institution’s other SAS work, from model validation to IFRS 9 and operational risk.</w:t>
      </w:r>
    </w:p>
    <w:p>
      <w:r>
        <w:br w:type="page"/>
      </w:r>
    </w:p>
    <w:p>
      <w:pPr>
        <w:pStyle w:val="Heading1"/>
      </w:pPr>
      <w:r>
        <w:t xml:space="preserve">8. The value proposition</w:t>
      </w:r>
    </w:p>
    <w:p>
      <w:pPr>
        <w:pStyle w:val="Heading2"/>
      </w:pPr>
      <w:r>
        <w:t xml:space="preserve">8.1 For each stakeholder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2506"/>
        <w:gridCol w:w="5204"/>
      </w:tblGrid>
      <w:tr>
        <w:trPr>
          <w:tblHeader/>
        </w:trPr>
        <w:tc>
          <w:tcPr>
            <w:tcW w:type="dxa" w:w="192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Stakeholder</w:t>
            </w:r>
          </w:p>
        </w:tc>
        <w:tc>
          <w:tcPr>
            <w:tcW w:type="dxa" w:w="2506"/>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Their concern</w:t>
            </w:r>
          </w:p>
        </w:tc>
        <w:tc>
          <w:tcPr>
            <w:tcW w:type="dxa" w:w="5204"/>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What Fleet Studio gives them</w:t>
            </w:r>
          </w:p>
        </w:tc>
      </w:tr>
      <w:tr>
        <w:trPr>
          <w:cantSplit/>
        </w:trPr>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Chief Compliance Officer, MLRO</w:t>
            </w:r>
          </w:p>
        </w:tc>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Capacity, consistency, personal accountability</w:t>
            </w:r>
          </w:p>
        </w:tc>
        <w:tc>
          <w:tcPr>
            <w:tcW w:type="dxa" w:w="520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Agents do the gathering and drafting; officers decide with the evidence in one place; every decision carries a name and a rationale.</w:t>
            </w:r>
          </w:p>
        </w:tc>
      </w:tr>
      <w:tr>
        <w:trPr>
          <w:cantSplit/>
        </w:trPr>
        <w:tc>
          <w:tcPr>
            <w:tcW w:type="dxa" w:w="192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Head of operations (investigations, claims, finance close)</w:t>
            </w:r>
          </w:p>
        </w:tc>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Backlogs, deadlines, variable quality</w:t>
            </w:r>
          </w:p>
        </w:tc>
        <w:tc>
          <w:tcPr>
            <w:tcW w:type="dxa" w:w="520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The same investigation steps every time; people spend their time on judgment, not assembly.</w:t>
            </w:r>
          </w:p>
        </w:tc>
      </w:tr>
      <w:tr>
        <w:trPr>
          <w:cantSplit/>
        </w:trPr>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Chief Risk Officer, model risk</w:t>
            </w:r>
          </w:p>
        </w:tc>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Can we validate and control these agents?</w:t>
            </w:r>
          </w:p>
        </w:tc>
        <w:tc>
          <w:tcPr>
            <w:tcW w:type="dxa" w:w="520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Versioned blueprints, tests that gate production, a validation pack per fleet, drift detection.</w:t>
            </w:r>
          </w:p>
        </w:tc>
      </w:tr>
      <w:tr>
        <w:trPr>
          <w:cantSplit/>
        </w:trPr>
        <w:tc>
          <w:tcPr>
            <w:tcW w:type="dxa" w:w="192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CIO, CTO, CISO</w:t>
            </w:r>
          </w:p>
        </w:tc>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Security, lock-in, integration effort</w:t>
            </w:r>
          </w:p>
        </w:tc>
        <w:tc>
          <w:tcPr>
            <w:tcW w:type="dxa" w:w="520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Runs on the institution’s hosts and chosen models; nothing exposed inbound; per-agent identities; no credentials in the control plane; open-source runtime.</w:t>
            </w:r>
          </w:p>
        </w:tc>
      </w:tr>
      <w:tr>
        <w:trPr>
          <w:cantSplit/>
        </w:trPr>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Internal audit</w:t>
            </w:r>
          </w:p>
        </w:tc>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Can we reconstruct what happened?</w:t>
            </w:r>
          </w:p>
        </w:tc>
        <w:tc>
          <w:tcPr>
            <w:tcW w:type="dxa" w:w="520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Every plan, approval, run, verdict and decision in one exportable audit trail.</w:t>
            </w:r>
          </w:p>
        </w:tc>
      </w:tr>
      <w:tr>
        <w:trPr>
          <w:cantSplit/>
        </w:trPr>
        <w:tc>
          <w:tcPr>
            <w:tcW w:type="dxa" w:w="192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Supervisor</w:t>
            </w:r>
          </w:p>
        </w:tc>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Human oversight, explainability, accountability</w:t>
            </w:r>
          </w:p>
        </w:tc>
        <w:tc>
          <w:tcPr>
            <w:tcW w:type="dxa" w:w="520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 named person for every material decision; evidence graded per claim; controls enforced by the system.</w:t>
            </w:r>
          </w:p>
        </w:tc>
      </w:tr>
      <w:tr>
        <w:trPr>
          <w:cantSplit/>
        </w:trPr>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The business</w:t>
            </w:r>
          </w:p>
        </w:tc>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Getting value from AI safely, soon</w:t>
            </w:r>
          </w:p>
        </w:tc>
        <w:tc>
          <w:tcPr>
            <w:tcW w:type="dxa" w:w="520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Ready-made missions on existing SAS investments; a pilot in weeks, not a programme in years.</w:t>
            </w:r>
          </w:p>
        </w:tc>
      </w:tr>
    </w:tbl>
    <w:p>
      <w:pPr>
        <w:spacing w:after="60"/>
      </w:pPr>
    </w:p>
    <w:p>
      <w:pPr>
        <w:pStyle w:val="Heading2"/>
      </w:pPr>
      <w:r>
        <w:t xml:space="preserve">8.2 Value levers and how to measure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tblHeader/>
        </w:trPr>
        <w:tc>
          <w:tcPr>
            <w:tcW w:type="dxa" w:w="2506"/>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Lever</w:t>
            </w:r>
          </w:p>
        </w:tc>
        <w:tc>
          <w:tcPr>
            <w:tcW w:type="dxa" w:w="713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How to measure it in a pilot</w:t>
            </w:r>
          </w:p>
        </w:tc>
      </w:tr>
      <w:tr>
        <w:trPr>
          <w:cantSplit/>
        </w:trPr>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Capacity</w:t>
            </w:r>
          </w:p>
        </w:tc>
        <w:tc>
          <w:tcPr>
            <w:tcW w:type="dxa" w:w="713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Cases or items handled per person per day; backlog age</w:t>
            </w:r>
          </w:p>
        </w:tc>
      </w:tr>
      <w:tr>
        <w:trPr>
          <w:cantSplit/>
        </w:trPr>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Speed</w:t>
            </w:r>
          </w:p>
        </w:tc>
        <w:tc>
          <w:tcPr>
            <w:tcW w:type="dxa" w:w="713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Time from alert or trigger to decision</w:t>
            </w:r>
          </w:p>
        </w:tc>
      </w:tr>
      <w:tr>
        <w:trPr>
          <w:cantSplit/>
        </w:trPr>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Consistency and quality</w:t>
            </w:r>
          </w:p>
        </w:tc>
        <w:tc>
          <w:tcPr>
            <w:tcW w:type="dxa" w:w="713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Share of case files complete at first review; QA findings; rework rate after send-back</w:t>
            </w:r>
          </w:p>
        </w:tc>
      </w:tr>
      <w:tr>
        <w:trPr>
          <w:cantSplit/>
        </w:trPr>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Evidence</w:t>
            </w:r>
          </w:p>
        </w:tc>
        <w:tc>
          <w:tcPr>
            <w:tcW w:type="dxa" w:w="713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Share of agent claims graded Evidence found; claims caught as No evidence before a person relied on them</w:t>
            </w:r>
          </w:p>
        </w:tc>
      </w:tr>
      <w:tr>
        <w:trPr>
          <w:cantSplit/>
        </w:trPr>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Control</w:t>
            </w:r>
          </w:p>
        </w:tc>
        <w:tc>
          <w:tcPr>
            <w:tcW w:type="dxa" w:w="713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Policy blocks and approvals per run; changes released without passing tests (target: none)</w:t>
            </w:r>
          </w:p>
        </w:tc>
      </w:tr>
      <w:tr>
        <w:trPr>
          <w:cantSplit/>
        </w:trPr>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Audit effort</w:t>
            </w:r>
          </w:p>
        </w:tc>
        <w:tc>
          <w:tcPr>
            <w:tcW w:type="dxa" w:w="713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Time to answer an audit or supervisory request about a decision</w:t>
            </w:r>
          </w:p>
        </w:tc>
      </w:tr>
    </w:tbl>
    <w:p>
      <w:pPr>
        <w:spacing w:after="60"/>
      </w:pPr>
    </w:p>
    <w:p>
      <w:pPr>
        <w:pStyle w:val="Heading2"/>
      </w:pPr>
      <w:r>
        <w:t xml:space="preserve">8.3 A sizing template</w:t>
      </w:r>
    </w:p>
    <w:p>
      <w:pPr>
        <w:spacing w:after="120" w:line="276"/>
      </w:pPr>
      <w:r>
        <w:t xml:space="preserve">We do not quote savings before a pilot measures them. This template shows how a design partner can size the opportunity with its own figures. The example values are placeholders, not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3084"/>
        <w:gridCol w:w="2699"/>
      </w:tblGrid>
      <w:tr>
        <w:trPr>
          <w:tblHeader/>
        </w:trPr>
        <w:tc>
          <w:tcPr>
            <w:tcW w:type="dxa" w:w="385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Input</w:t>
            </w:r>
          </w:p>
        </w:tc>
        <w:tc>
          <w:tcPr>
            <w:tcW w:type="dxa" w:w="3084"/>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Example (replace with your own)</w:t>
            </w:r>
          </w:p>
        </w:tc>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Formula</w:t>
            </w:r>
          </w:p>
        </w:tc>
      </w:tr>
      <w:tr>
        <w:trPr>
          <w:cantSplit/>
        </w:trPr>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Alerts or cases per month</w:t>
            </w:r>
          </w:p>
        </w:tc>
        <w:tc>
          <w:tcPr>
            <w:tcW w:type="dxa" w:w="308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w:t>
            </w:r>
          </w:p>
        </w:tc>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t>
            </w:r>
          </w:p>
        </w:tc>
      </w:tr>
      <w:tr>
        <w:trPr>
          <w:cantSplit/>
        </w:trPr>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Minutes of gathering and drafting per case today</w:t>
            </w:r>
          </w:p>
        </w:tc>
        <w:tc>
          <w:tcPr>
            <w:tcW w:type="dxa" w:w="308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M</w:t>
            </w:r>
          </w:p>
        </w:tc>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t>
            </w:r>
          </w:p>
        </w:tc>
      </w:tr>
      <w:tr>
        <w:trPr>
          <w:cantSplit/>
        </w:trPr>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Share of that work the fleet prepares</w:t>
            </w:r>
          </w:p>
        </w:tc>
        <w:tc>
          <w:tcPr>
            <w:tcW w:type="dxa" w:w="308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P (measured in the pilot)</w:t>
            </w:r>
          </w:p>
        </w:tc>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t>
            </w:r>
          </w:p>
        </w:tc>
      </w:tr>
      <w:tr>
        <w:trPr>
          <w:cantSplit/>
        </w:trPr>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Hours returned to investigators per month</w:t>
            </w:r>
          </w:p>
        </w:tc>
        <w:tc>
          <w:tcPr>
            <w:tcW w:type="dxa" w:w="308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t>
            </w:r>
          </w:p>
        </w:tc>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 × M × P ÷ 60</w:t>
            </w:r>
          </w:p>
        </w:tc>
      </w:tr>
      <w:tr>
        <w:trPr>
          <w:cantSplit/>
        </w:trPr>
        <w:tc>
          <w:tcPr>
            <w:tcW w:type="dxa" w:w="385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Loaded cost per investigator hour</w:t>
            </w:r>
          </w:p>
        </w:tc>
        <w:tc>
          <w:tcPr>
            <w:tcW w:type="dxa" w:w="3084"/>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w:t>
            </w:r>
          </w:p>
        </w:tc>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t>
            </w:r>
          </w:p>
        </w:tc>
      </w:tr>
      <w:tr>
        <w:trPr>
          <w:cantSplit/>
        </w:trPr>
        <w:tc>
          <w:tcPr>
            <w:tcW w:type="dxa" w:w="385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Monthly capacity value</w:t>
            </w:r>
          </w:p>
        </w:tc>
        <w:tc>
          <w:tcPr>
            <w:tcW w:type="dxa" w:w="3084"/>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t>
            </w:r>
          </w:p>
        </w:tc>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 × M × P ÷ 60 × C</w:t>
            </w:r>
          </w:p>
        </w:tc>
      </w:tr>
    </w:tbl>
    <w:p>
      <w:pPr>
        <w:spacing w:after="120" w:line="276"/>
      </w:pPr>
      <w:r>
        <w:rPr>
          <w:sz w:val="18"/>
          <w:szCs w:val="18"/>
        </w:rPr>
        <w:t xml:space="preserve">The capacity is usually redeployed to the cases that need judgment, to backlog reduction, or to growth without proportional hiring, rather than taken as headcount reduction. That choice belongs to the institution.</w:t>
      </w:r>
    </w:p>
    <w:p>
      <w:r>
        <w:br w:type="page"/>
      </w:r>
    </w:p>
    <w:p>
      <w:pPr>
        <w:pStyle w:val="Heading1"/>
      </w:pPr>
      <w:r>
        <w:t xml:space="preserve">9. Beyond AML: the mission library</w:t>
      </w:r>
    </w:p>
    <w:p>
      <w:pPr>
        <w:spacing w:after="120" w:line="276"/>
      </w:pPr>
      <w:r>
        <w:t xml:space="preserve">AML is one mission. Fleet Studio ships with a library of 24 ready-made missions, three in each of eight sectors, each a complete fleet with its agents, human decisions, safety rules, tests and market analysis. Nine run on SAS through the SAS Viya MCP Server today; the others need a connector to a SAS module. The full specification is in the companion document, Mission Library.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6939"/>
      </w:tblGrid>
      <w:tr>
        <w:trPr>
          <w:tblHeader/>
        </w:trPr>
        <w:tc>
          <w:tcPr>
            <w:tcW w:type="dxa" w:w="269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Sector</w:t>
            </w:r>
          </w:p>
        </w:tc>
        <w:tc>
          <w:tcPr>
            <w:tcW w:type="dxa" w:w="6939"/>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Missions</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Cross-industry (any SAS Viya)</w:t>
            </w:r>
          </w:p>
        </w:tc>
        <w:tc>
          <w:tcPr>
            <w:tcW w:type="dxa" w:w="693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Decision-strategy change with impact simulation · Critical-data quality and lineage triage · KPI anomaly investigation</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Banking</w:t>
            </w:r>
          </w:p>
        </w:tc>
        <w:tc>
          <w:tcPr>
            <w:tcW w:type="dxa" w:w="693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Credit early warning and annual review · IFRS 9 / CECL expected-credit-loss explanation · Model monitoring and validation</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Insurance</w:t>
            </w:r>
          </w:p>
        </w:tc>
        <w:tc>
          <w:tcPr>
            <w:tcW w:type="dxa" w:w="693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Claims fraud triage · IFRS 17 and Solvency II results explanation · Underwriting referral review</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Health and life sciences</w:t>
            </w:r>
          </w:p>
        </w:tc>
        <w:tc>
          <w:tcPr>
            <w:tcW w:type="dxa" w:w="693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Clinical trial data review · Pharmacovigilance signal triage · Healthcare claims payment integrity</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Government and public sector</w:t>
            </w:r>
          </w:p>
        </w:tc>
        <w:tc>
          <w:tcPr>
            <w:tcW w:type="dxa" w:w="693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Benefits payment integrity · Tax compliance case review · Public procurement integrity</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Manufacturing</w:t>
            </w:r>
          </w:p>
        </w:tc>
        <w:tc>
          <w:tcPr>
            <w:tcW w:type="dxa" w:w="693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Warranty and field-quality root cause · Asset failure investigation · Supply disruption response</w:t>
            </w:r>
          </w:p>
        </w:tc>
      </w:tr>
      <w:tr>
        <w:trPr>
          <w:cantSplit/>
        </w:trPr>
        <w:tc>
          <w:tcPr>
            <w:tcW w:type="dxa" w:w="269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Energy and utilities</w:t>
            </w:r>
          </w:p>
        </w:tc>
        <w:tc>
          <w:tcPr>
            <w:tcW w:type="dxa" w:w="6939"/>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Grid asset risk review · Load forecast exception review · Revenue protection</w:t>
            </w:r>
          </w:p>
        </w:tc>
      </w:tr>
      <w:tr>
        <w:trPr>
          <w:cantSplit/>
        </w:trPr>
        <w:tc>
          <w:tcPr>
            <w:tcW w:type="dxa" w:w="269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Retail and consumer goods</w:t>
            </w:r>
          </w:p>
        </w:tc>
        <w:tc>
          <w:tcPr>
            <w:tcW w:type="dxa" w:w="6939"/>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Demand forecast exception review · Promotion post-event analysis · Marketing campaign compliance review</w:t>
            </w:r>
          </w:p>
        </w:tc>
      </w:tr>
    </w:tbl>
    <w:p>
      <w:pPr>
        <w:spacing w:after="60"/>
      </w:pPr>
    </w:p>
    <w:p>
      <w:pPr>
        <w:spacing w:after="120" w:line="276"/>
      </w:pPr>
      <w:r>
        <w:t xml:space="preserve">Our market research found the least competition in explaining risk and finance results (IFRS 9, stress testing), public-sector integrity work (tax, procurement, benefits), revenue protection and model validation. We found no vendor building governed agents on SAS’s risk solutions.</w:t>
      </w:r>
    </w:p>
    <w:p>
      <w:pPr>
        <w:pStyle w:val="Heading1"/>
      </w:pPr>
      <w:r>
        <w:t xml:space="preserve">10. What makes Fleet Studio different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1735"/>
        <w:gridCol w:w="1928"/>
        <w:gridCol w:w="1735"/>
        <w:gridCol w:w="1927"/>
      </w:tblGrid>
      <w:tr>
        <w:trPr>
          <w:tblHeader/>
        </w:trPr>
        <w:tc>
          <w:tcPr>
            <w:tcW w:type="dxa" w:w="2313"/>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Product copilots (including SAS Viya Copilots)</w:t>
            </w:r>
          </w:p>
        </w:tc>
        <w:tc>
          <w:tcPr>
            <w:tcW w:type="dxa" w:w="1928"/>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Agent governance platforms</w:t>
            </w:r>
          </w:p>
        </w:tc>
        <w:tc>
          <w:tcPr>
            <w:tcW w:type="dxa" w:w="1735"/>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Domain agent vendors</w:t>
            </w:r>
          </w:p>
        </w:tc>
        <w:tc>
          <w:tcPr>
            <w:tcW w:type="dxa" w:w="192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Fleet Studio</w:t>
            </w:r>
          </w:p>
        </w:tc>
      </w:tr>
      <w:tr>
        <w:trPr>
          <w:cantSplit/>
        </w:trPr>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Works across products and systems</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 one product</w:t>
            </w:r>
          </w:p>
        </w:tc>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Registers agents; does not run the work</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Within their own platform</w:t>
            </w:r>
          </w:p>
        </w:tc>
        <w:tc>
          <w:tcPr>
            <w:tcW w:type="dxa" w:w="192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Yes</w:t>
            </w:r>
          </w:p>
        </w:tc>
      </w:tr>
      <w:tr>
        <w:trPr>
          <w:cantSplit/>
        </w:trPr>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Separation of duties and committee decisions</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No</w:t>
            </w:r>
          </w:p>
        </w:tc>
        <w:tc>
          <w:tcPr>
            <w:tcW w:type="dxa" w:w="192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Approval to deploy an agent</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Varies</w:t>
            </w:r>
          </w:p>
        </w:tc>
        <w:tc>
          <w:tcPr>
            <w:tcW w:type="dxa" w:w="192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Yes</w:t>
            </w:r>
          </w:p>
        </w:tc>
      </w:tr>
      <w:tr>
        <w:trPr>
          <w:cantSplit/>
        </w:trPr>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Evidence graded per claim</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w:t>
            </w:r>
          </w:p>
        </w:tc>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No</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Audit trail</w:t>
            </w:r>
          </w:p>
        </w:tc>
        <w:tc>
          <w:tcPr>
            <w:tcW w:type="dxa" w:w="192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Yes</w:t>
            </w:r>
          </w:p>
        </w:tc>
      </w:tr>
      <w:tr>
        <w:trPr>
          <w:cantSplit/>
        </w:trPr>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Agents tested and versioned by the institution</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No</w:t>
            </w:r>
          </w:p>
        </w:tc>
        <w:tc>
          <w:tcPr>
            <w:tcW w:type="dxa" w:w="192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Registry and policies</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No</w:t>
            </w:r>
          </w:p>
        </w:tc>
        <w:tc>
          <w:tcPr>
            <w:tcW w:type="dxa" w:w="192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Yes</w:t>
            </w:r>
          </w:p>
        </w:tc>
      </w:tr>
      <w:tr>
        <w:trPr>
          <w:cantSplit/>
        </w:trPr>
        <w:tc>
          <w:tcPr>
            <w:tcW w:type="dxa" w:w="2313"/>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Runs on the institution’s hosts and chosen models</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Vendor’s choice</w:t>
            </w:r>
          </w:p>
        </w:tc>
        <w:tc>
          <w:tcPr>
            <w:tcW w:type="dxa" w:w="1928"/>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Varies</w:t>
            </w:r>
          </w:p>
        </w:tc>
        <w:tc>
          <w:tcPr>
            <w:tcW w:type="dxa" w:w="1735"/>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Rarely</w:t>
            </w:r>
          </w:p>
        </w:tc>
        <w:tc>
          <w:tcPr>
            <w:tcW w:type="dxa" w:w="192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Yes</w:t>
            </w:r>
          </w:p>
        </w:tc>
      </w:tr>
      <w:tr>
        <w:trPr>
          <w:cantSplit/>
        </w:trPr>
        <w:tc>
          <w:tcPr>
            <w:tcW w:type="dxa" w:w="2313"/>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Works on SAS risk and compliance solutions</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Partly (e.g. ALM)</w:t>
            </w:r>
          </w:p>
        </w:tc>
        <w:tc>
          <w:tcPr>
            <w:tcW w:type="dxa" w:w="1928"/>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No</w:t>
            </w:r>
          </w:p>
        </w:tc>
        <w:tc>
          <w:tcPr>
            <w:tcW w:type="dxa" w:w="1735"/>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No</w:t>
            </w:r>
          </w:p>
        </w:tc>
        <w:tc>
          <w:tcPr>
            <w:tcW w:type="dxa" w:w="192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Yes, through our connectors</w:t>
            </w:r>
          </w:p>
        </w:tc>
      </w:tr>
    </w:tbl>
    <w:p>
      <w:pPr>
        <w:spacing w:after="120" w:line="276"/>
      </w:pPr>
      <w:r>
        <w:rPr>
          <w:color w:val="5B6770"/>
          <w:sz w:val="16"/>
          <w:szCs w:val="16"/>
        </w:rPr>
        <w:t xml:space="preserve">Comparison based on public announcements up to 30 September 2026.</w:t>
      </w:r>
    </w:p>
    <w:p>
      <w:r>
        <w:br w:type="page"/>
      </w:r>
    </w:p>
    <w:p>
      <w:pPr>
        <w:pStyle w:val="Heading1"/>
      </w:pPr>
      <w:r>
        <w:t xml:space="preserve">11. Where we are and the pilot we propose</w:t>
      </w:r>
    </w:p>
    <w:p>
      <w:pPr>
        <w:pStyle w:val="Heading2"/>
      </w:pPr>
      <w:r>
        <w:t xml:space="preserve">11.1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61"/>
        <w:gridCol w:w="3277"/>
      </w:tblGrid>
      <w:tr>
        <w:trPr>
          <w:tblHeader/>
        </w:trPr>
        <w:tc>
          <w:tcPr>
            <w:tcW w:type="dxa" w:w="6361"/>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Area</w:t>
            </w:r>
          </w:p>
        </w:tc>
        <w:tc>
          <w:tcPr>
            <w:tcW w:type="dxa" w:w="3277"/>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Status</w:t>
            </w:r>
          </w:p>
        </w:tc>
      </w:tr>
      <w:tr>
        <w:trPr>
          <w:cantSplit/>
        </w:trPr>
        <w:tc>
          <w:tcPr>
            <w:tcW w:type="dxa" w:w="636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Admin portal and Workspace: design, deployment, drift, tests, evidence, workflows, Decision Rooms, Ask the fleet, messaging, notifications, access inspector, audit</w:t>
            </w:r>
          </w:p>
        </w:tc>
        <w:tc>
          <w:tcPr>
            <w:tcW w:type="dxa" w:w="327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Built</w:t>
            </w:r>
            <w:r>
              <w:rPr>
                <w:sz w:val="18"/>
                <w:szCs w:val="18"/>
              </w:rPr>
              <w:t xml:space="preserve">, with automated tests throughout</w:t>
            </w:r>
          </w:p>
        </w:tc>
      </w:tr>
      <w:tr>
        <w:trPr>
          <w:cantSplit/>
        </w:trPr>
        <w:tc>
          <w:tcPr>
            <w:tcW w:type="dxa" w:w="6361"/>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Hermes integration: the Fleet Studio Agent installed on a real lab host; changes applied, drift detected and reverted end to end</w:t>
            </w:r>
          </w:p>
        </w:tc>
        <w:tc>
          <w:tcPr>
            <w:tcW w:type="dxa" w:w="327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Proven</w:t>
            </w:r>
            <w:r>
              <w:rPr>
                <w:sz w:val="18"/>
                <w:szCs w:val="18"/>
              </w:rPr>
              <w:t xml:space="preserve"> on Hermes 0.21</w:t>
            </w:r>
          </w:p>
        </w:tc>
      </w:tr>
      <w:tr>
        <w:trPr>
          <w:cantSplit/>
        </w:trPr>
        <w:tc>
          <w:tcPr>
            <w:tcW w:type="dxa" w:w="636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SAS Viya integration through SAS’s MCP server</w:t>
            </w:r>
          </w:p>
        </w:tc>
        <w:tc>
          <w:tcPr>
            <w:tcW w:type="dxa" w:w="327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b/>
                <w:bCs/>
                <w:sz w:val="18"/>
                <w:szCs w:val="18"/>
              </w:rPr>
              <w:t xml:space="preserve">Proven</w:t>
            </w:r>
            <w:r>
              <w:rPr>
                <w:sz w:val="18"/>
                <w:szCs w:val="18"/>
              </w:rPr>
              <w:t xml:space="preserve"> in our lab</w:t>
            </w:r>
          </w:p>
        </w:tc>
      </w:tr>
      <w:tr>
        <w:trPr>
          <w:cantSplit/>
        </w:trPr>
        <w:tc>
          <w:tcPr>
            <w:tcW w:type="dxa" w:w="6361"/>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Mission library: 24 missions, provisioned from the portal</w:t>
            </w:r>
          </w:p>
        </w:tc>
        <w:tc>
          <w:tcPr>
            <w:tcW w:type="dxa" w:w="327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b/>
                <w:bCs/>
                <w:sz w:val="18"/>
                <w:szCs w:val="18"/>
              </w:rPr>
              <w:t xml:space="preserve">Built</w:t>
            </w:r>
          </w:p>
        </w:tc>
      </w:tr>
      <w:tr>
        <w:trPr>
          <w:cantSplit/>
        </w:trPr>
        <w:tc>
          <w:tcPr>
            <w:tcW w:type="dxa" w:w="6361"/>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Connectors to SAS industry solutions (Visual Investigator, Risk Cirrus, GCM, Model Risk Management)</w:t>
            </w:r>
          </w:p>
        </w:tc>
        <w:tc>
          <w:tcPr>
            <w:tcW w:type="dxa" w:w="3277"/>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Next, driven by the first design partner</w:t>
            </w:r>
          </w:p>
        </w:tc>
      </w:tr>
      <w:tr>
        <w:trPr>
          <w:cantSplit/>
        </w:trPr>
        <w:tc>
          <w:tcPr>
            <w:tcW w:type="dxa" w:w="6361"/>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Container packaging, single sign-on (OIDC), database migrations for upgrades</w:t>
            </w:r>
          </w:p>
        </w:tc>
        <w:tc>
          <w:tcPr>
            <w:tcW w:type="dxa" w:w="3277"/>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Next, before the first customer installation</w:t>
            </w:r>
          </w:p>
        </w:tc>
      </w:tr>
    </w:tbl>
    <w:p>
      <w:pPr>
        <w:spacing w:after="60"/>
      </w:pPr>
    </w:p>
    <w:p>
      <w:pPr>
        <w:pStyle w:val="Heading2"/>
      </w:pPr>
      <w:r>
        <w:t xml:space="preserve">11.2 A pilot in 10 to 12 weeks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1"/>
      </w:tblGrid>
      <w:tr>
        <w:tc>
          <w:tcPr>
            <w:tcW w:type="dxa" w:w="2409"/>
            <w:tcBorders>
              <w:top w:val="single" w:color="FFFFFF" w:sz="12"/>
              <w:left w:val="single" w:color="FFFFFF" w:sz="12"/>
              <w:bottom w:val="single" w:color="FFFFFF" w:sz="12"/>
              <w:right w:val="single" w:color="FFFFFF" w:sz="12"/>
            </w:tcBorders>
            <w:shd w:fill="EAF1F8" w:color="auto" w:val="clear"/>
            <w:tcMar>
              <w:top w:type="dxa" w:w="100"/>
              <w:left w:type="dxa" w:w="90"/>
              <w:bottom w:type="dxa" w:w="100"/>
              <w:right w:type="dxa" w:w="90"/>
            </w:tcMar>
          </w:tcPr>
          <w:p>
            <w:pPr>
              <w:spacing w:after="30"/>
            </w:pPr>
            <w:r>
              <w:rPr>
                <w:b/>
                <w:bCs/>
                <w:color w:val="1570B8"/>
                <w:sz w:val="22"/>
                <w:szCs w:val="22"/>
              </w:rPr>
              <w:t xml:space="preserve">1</w:t>
            </w:r>
          </w:p>
          <w:p>
            <w:pPr>
              <w:spacing w:after="40"/>
            </w:pPr>
            <w:r>
              <w:rPr>
                <w:b/>
                <w:bCs/>
                <w:color w:val="0B2545"/>
                <w:sz w:val="18"/>
                <w:szCs w:val="18"/>
              </w:rPr>
              <w:t xml:space="preserve">Weeks 1–2</w:t>
            </w:r>
          </w:p>
          <w:p>
            <w:r>
              <w:rPr>
                <w:sz w:val="16"/>
                <w:szCs w:val="16"/>
              </w:rPr>
              <w:t xml:space="preserve">Choose the mission; install on the partner’s hosts; connect SAS</w:t>
            </w:r>
          </w:p>
        </w:tc>
        <w:tc>
          <w:tcPr>
            <w:tcW w:type="dxa" w:w="2409"/>
            <w:tcBorders>
              <w:top w:val="single" w:color="FFFFFF" w:sz="12"/>
              <w:left w:val="single" w:color="FFFFFF" w:sz="12"/>
              <w:bottom w:val="single" w:color="FFFFFF" w:sz="12"/>
              <w:right w:val="single" w:color="FFFFFF" w:sz="12"/>
            </w:tcBorders>
            <w:shd w:fill="EAF1F8" w:color="auto" w:val="clear"/>
            <w:tcMar>
              <w:top w:type="dxa" w:w="100"/>
              <w:left w:type="dxa" w:w="90"/>
              <w:bottom w:type="dxa" w:w="100"/>
              <w:right w:type="dxa" w:w="90"/>
            </w:tcMar>
          </w:tcPr>
          <w:p>
            <w:pPr>
              <w:spacing w:after="30"/>
            </w:pPr>
            <w:r>
              <w:rPr>
                <w:b/>
                <w:bCs/>
                <w:color w:val="1570B8"/>
                <w:sz w:val="22"/>
                <w:szCs w:val="22"/>
              </w:rPr>
              <w:t xml:space="preserve">2</w:t>
            </w:r>
          </w:p>
          <w:p>
            <w:pPr>
              <w:spacing w:after="40"/>
            </w:pPr>
            <w:r>
              <w:rPr>
                <w:b/>
                <w:bCs/>
                <w:color w:val="0B2545"/>
                <w:sz w:val="18"/>
                <w:szCs w:val="18"/>
              </w:rPr>
              <w:t xml:space="preserve">Weeks 3–5</w:t>
            </w:r>
          </w:p>
          <w:p>
            <w:r>
              <w:rPr>
                <w:sz w:val="16"/>
                <w:szCs w:val="16"/>
              </w:rPr>
              <w:t xml:space="preserve">Adapt the fleet; build the connector the mission needs; write tests from closed cases</w:t>
            </w:r>
          </w:p>
        </w:tc>
        <w:tc>
          <w:tcPr>
            <w:tcW w:type="dxa" w:w="2409"/>
            <w:tcBorders>
              <w:top w:val="single" w:color="FFFFFF" w:sz="12"/>
              <w:left w:val="single" w:color="FFFFFF" w:sz="12"/>
              <w:bottom w:val="single" w:color="FFFFFF" w:sz="12"/>
              <w:right w:val="single" w:color="FFFFFF" w:sz="12"/>
            </w:tcBorders>
            <w:shd w:fill="FFF1D6" w:color="auto" w:val="clear"/>
            <w:tcMar>
              <w:top w:type="dxa" w:w="100"/>
              <w:left w:type="dxa" w:w="90"/>
              <w:bottom w:type="dxa" w:w="100"/>
              <w:right w:type="dxa" w:w="90"/>
            </w:tcMar>
          </w:tcPr>
          <w:p>
            <w:pPr>
              <w:spacing w:after="30"/>
            </w:pPr>
            <w:r>
              <w:rPr>
                <w:b/>
                <w:bCs/>
                <w:color w:val="B7791F"/>
                <w:sz w:val="22"/>
                <w:szCs w:val="22"/>
              </w:rPr>
              <w:t xml:space="preserve">3</w:t>
            </w:r>
          </w:p>
          <w:p>
            <w:pPr>
              <w:spacing w:after="40"/>
            </w:pPr>
            <w:r>
              <w:rPr>
                <w:b/>
                <w:bCs/>
                <w:color w:val="0B2545"/>
                <w:sz w:val="18"/>
                <w:szCs w:val="18"/>
              </w:rPr>
              <w:t xml:space="preserve">Weeks 6–10</w:t>
            </w:r>
          </w:p>
          <w:p>
            <w:r>
              <w:rPr>
                <w:sz w:val="16"/>
                <w:szCs w:val="16"/>
              </w:rPr>
              <w:t xml:space="preserve">Run on real cases in parallel with the current process</w:t>
            </w:r>
          </w:p>
        </w:tc>
        <w:tc>
          <w:tcPr>
            <w:tcW w:type="dxa" w:w="2411"/>
            <w:tcBorders>
              <w:top w:val="single" w:color="FFFFFF" w:sz="12"/>
              <w:left w:val="single" w:color="FFFFFF" w:sz="12"/>
              <w:bottom w:val="single" w:color="FFFFFF" w:sz="12"/>
              <w:right w:val="single" w:color="FFFFFF" w:sz="12"/>
            </w:tcBorders>
            <w:shd w:fill="FFF1D6" w:color="auto" w:val="clear"/>
            <w:tcMar>
              <w:top w:type="dxa" w:w="100"/>
              <w:left w:type="dxa" w:w="90"/>
              <w:bottom w:type="dxa" w:w="100"/>
              <w:right w:type="dxa" w:w="90"/>
            </w:tcMar>
          </w:tcPr>
          <w:p>
            <w:pPr>
              <w:spacing w:after="30"/>
            </w:pPr>
            <w:r>
              <w:rPr>
                <w:b/>
                <w:bCs/>
                <w:color w:val="B7791F"/>
                <w:sz w:val="22"/>
                <w:szCs w:val="22"/>
              </w:rPr>
              <w:t xml:space="preserve">4</w:t>
            </w:r>
          </w:p>
          <w:p>
            <w:pPr>
              <w:spacing w:after="40"/>
            </w:pPr>
            <w:r>
              <w:rPr>
                <w:b/>
                <w:bCs/>
                <w:color w:val="0B2545"/>
                <w:sz w:val="18"/>
                <w:szCs w:val="18"/>
              </w:rPr>
              <w:t xml:space="preserve">Weeks 11–12</w:t>
            </w:r>
          </w:p>
          <w:p>
            <w:r>
              <w:rPr>
                <w:sz w:val="16"/>
                <w:szCs w:val="16"/>
              </w:rPr>
              <w:t xml:space="preserve">Measure against the levers in 8.2; decide on production</w:t>
            </w:r>
          </w:p>
        </w:tc>
      </w:tr>
    </w:tbl>
    <w:p>
      <w:pPr>
        <w:spacing w:after="60"/>
      </w:pPr>
    </w:p>
    <w:p>
      <w:pPr>
        <w:spacing w:after="120" w:line="276"/>
      </w:pPr>
      <w:r>
        <w:rPr>
          <w:b/>
          <w:bCs/>
        </w:rPr>
        <w:t xml:space="preserve">What we need from the design partner:</w:t>
      </w:r>
      <w:r>
        <w:t xml:space="preserve"> a mission owner in the business; access to a non-production SAS Viya with the relevant module; hosts for the agent runtime; the chosen model hosting; and early involvement of compliance, model risk and internal audit, so the controls are shaped with them rather than presented to them.</w:t>
      </w:r>
    </w:p>
    <w:p>
      <w:pPr>
        <w:pStyle w:val="Heading1"/>
      </w:pPr>
      <w:r>
        <w:t xml:space="preserve">12.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tblHeader/>
        </w:trPr>
        <w:tc>
          <w:tcPr>
            <w:tcW w:type="dxa" w:w="2506"/>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Term</w:t>
            </w:r>
          </w:p>
        </w:tc>
        <w:tc>
          <w:tcPr>
            <w:tcW w:type="dxa" w:w="7132"/>
            <w:tcBorders>
              <w:top w:val="single" w:color="C9D3DD" w:sz="4"/>
              <w:left w:val="single" w:color="C9D3DD" w:sz="4"/>
              <w:bottom w:val="single" w:color="C9D3DD" w:sz="4"/>
              <w:right w:val="single" w:color="C9D3DD" w:sz="4"/>
            </w:tcBorders>
            <w:shd w:fill="0B2545" w:color="auto" w:val="clear"/>
            <w:tcMar>
              <w:top w:type="dxa" w:w="70"/>
              <w:left w:type="dxa" w:w="100"/>
              <w:bottom w:type="dxa" w:w="70"/>
              <w:right w:type="dxa" w:w="100"/>
            </w:tcMar>
          </w:tcPr>
          <w:p>
            <w:pPr>
              <w:spacing w:after="40"/>
            </w:pPr>
            <w:r>
              <w:rPr>
                <w:b/>
                <w:bCs/>
                <w:color w:val="FFFFFF"/>
                <w:sz w:val="18"/>
                <w:szCs w:val="18"/>
              </w:rPr>
              <w:t xml:space="preserve">Meaning</w:t>
            </w:r>
          </w:p>
        </w:tc>
      </w:tr>
      <w:tr>
        <w:trPr>
          <w:cantSplit/>
        </w:trPr>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Agent</w:t>
            </w:r>
          </w:p>
        </w:tc>
        <w:tc>
          <w:tcPr>
            <w:tcW w:type="dxa" w:w="713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An AI worker with one job, its own instructions, model, tools and permissions.</w:t>
            </w:r>
          </w:p>
        </w:tc>
      </w:tr>
      <w:tr>
        <w:trPr>
          <w:cantSplit/>
        </w:trPr>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Fleet</w:t>
            </w:r>
          </w:p>
        </w:tc>
        <w:tc>
          <w:tcPr>
            <w:tcW w:type="dxa" w:w="713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 group of agents that work together on a mission.</w:t>
            </w:r>
          </w:p>
        </w:tc>
      </w:tr>
      <w:tr>
        <w:trPr>
          <w:cantSplit/>
        </w:trPr>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Mission</w:t>
            </w:r>
          </w:p>
        </w:tc>
        <w:tc>
          <w:tcPr>
            <w:tcW w:type="dxa" w:w="713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 piece of work a fleet is designed for, such as investigating AML alerts.</w:t>
            </w:r>
          </w:p>
        </w:tc>
      </w:tr>
      <w:tr>
        <w:trPr>
          <w:cantSplit/>
        </w:trPr>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Blueprint</w:t>
            </w:r>
          </w:p>
        </w:tc>
        <w:tc>
          <w:tcPr>
            <w:tcW w:type="dxa" w:w="713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The versioned definition of a fleet: agents, permissions, workflow, tests and policies.</w:t>
            </w:r>
          </w:p>
        </w:tc>
      </w:tr>
      <w:tr>
        <w:trPr>
          <w:cantSplit/>
        </w:trPr>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Human gate</w:t>
            </w:r>
          </w:p>
        </w:tc>
        <w:tc>
          <w:tcPr>
            <w:tcW w:type="dxa" w:w="713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 workflow step where a person must approve before work continues, or sends it back.</w:t>
            </w:r>
          </w:p>
        </w:tc>
      </w:tr>
      <w:tr>
        <w:trPr>
          <w:cantSplit/>
        </w:trPr>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Decision Room</w:t>
            </w:r>
          </w:p>
        </w:tc>
        <w:tc>
          <w:tcPr>
            <w:tcW w:type="dxa" w:w="713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The place where a question, its evidence and the options come together, and people record their decisions.</w:t>
            </w:r>
          </w:p>
        </w:tc>
      </w:tr>
      <w:tr>
        <w:trPr>
          <w:cantSplit/>
        </w:trPr>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Evidence verdicts</w:t>
            </w:r>
          </w:p>
        </w:tc>
        <w:tc>
          <w:tcPr>
            <w:tcW w:type="dxa" w:w="713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Evidence found, No evidence, Not verifiable, Policy blocked: how each agent claim is graded.</w:t>
            </w:r>
          </w:p>
        </w:tc>
      </w:tr>
      <w:tr>
        <w:trPr>
          <w:cantSplit/>
        </w:trPr>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Drift</w:t>
            </w:r>
          </w:p>
        </w:tc>
        <w:tc>
          <w:tcPr>
            <w:tcW w:type="dxa" w:w="713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 change made to a running agent outside Fleet Studio.</w:t>
            </w:r>
          </w:p>
        </w:tc>
      </w:tr>
      <w:tr>
        <w:trPr>
          <w:cantSplit/>
        </w:trPr>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MCP (Model Context Protocol)</w:t>
            </w:r>
          </w:p>
        </w:tc>
        <w:tc>
          <w:tcPr>
            <w:tcW w:type="dxa" w:w="713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An open standard for connecting AI agents to tools and systems. SAS provides an MCP server for SAS Viya.</w:t>
            </w:r>
          </w:p>
        </w:tc>
      </w:tr>
      <w:tr>
        <w:trPr>
          <w:cantSplit/>
        </w:trPr>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Connector</w:t>
            </w:r>
          </w:p>
        </w:tc>
        <w:tc>
          <w:tcPr>
            <w:tcW w:type="dxa" w:w="713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An MCP server we build for a system that does not yet offer one, such as SAS Visual Investigator.</w:t>
            </w:r>
          </w:p>
        </w:tc>
      </w:tr>
      <w:tr>
        <w:trPr>
          <w:cantSplit/>
        </w:trPr>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Hermes Agent</w:t>
            </w:r>
          </w:p>
        </w:tc>
        <w:tc>
          <w:tcPr>
            <w:tcW w:type="dxa" w:w="713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The open-source agent runtime, from Nous Research, that runs the agents.</w:t>
            </w:r>
          </w:p>
        </w:tc>
      </w:tr>
      <w:tr>
        <w:trPr>
          <w:cantSplit/>
        </w:trPr>
        <w:tc>
          <w:tcPr>
            <w:tcW w:type="dxa" w:w="2506"/>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SAR</w:t>
            </w:r>
          </w:p>
        </w:tc>
        <w:tc>
          <w:tcPr>
            <w:tcW w:type="dxa" w:w="7132"/>
            <w:tcBorders>
              <w:top w:val="single" w:color="C9D3DD" w:sz="4"/>
              <w:left w:val="single" w:color="C9D3DD" w:sz="4"/>
              <w:bottom w:val="single" w:color="C9D3DD" w:sz="4"/>
              <w:right w:val="single" w:color="C9D3DD" w:sz="4"/>
            </w:tcBorders>
            <w:shd w:fill="F6F8FB" w:color="auto" w:val="clear"/>
            <w:tcMar>
              <w:top w:type="dxa" w:w="70"/>
              <w:left w:type="dxa" w:w="100"/>
              <w:bottom w:type="dxa" w:w="70"/>
              <w:right w:type="dxa" w:w="100"/>
            </w:tcMar>
          </w:tcPr>
          <w:p>
            <w:pPr>
              <w:spacing w:after="40"/>
            </w:pPr>
            <w:r>
              <w:rPr>
                <w:sz w:val="18"/>
                <w:szCs w:val="18"/>
              </w:rPr>
              <w:t xml:space="preserve">Suspicious activity report, filed with the financial intelligence unit when a case warrants it.</w:t>
            </w:r>
          </w:p>
        </w:tc>
      </w:tr>
      <w:tr>
        <w:trPr>
          <w:cantSplit/>
        </w:trPr>
        <w:tc>
          <w:tcPr>
            <w:tcW w:type="dxa" w:w="2506"/>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MLRO</w:t>
            </w:r>
          </w:p>
        </w:tc>
        <w:tc>
          <w:tcPr>
            <w:tcW w:type="dxa" w:w="7132"/>
            <w:tcBorders>
              <w:top w:val="single" w:color="C9D3DD" w:sz="4"/>
              <w:left w:val="single" w:color="C9D3DD" w:sz="4"/>
              <w:bottom w:val="single" w:color="C9D3DD" w:sz="4"/>
              <w:right w:val="single" w:color="C9D3DD" w:sz="4"/>
            </w:tcBorders>
            <w:tcMar>
              <w:top w:type="dxa" w:w="70"/>
              <w:left w:type="dxa" w:w="100"/>
              <w:bottom w:type="dxa" w:w="70"/>
              <w:right w:type="dxa" w:w="100"/>
            </w:tcMar>
          </w:tcPr>
          <w:p>
            <w:pPr>
              <w:spacing w:after="40"/>
            </w:pPr>
            <w:r>
              <w:rPr>
                <w:sz w:val="18"/>
                <w:szCs w:val="18"/>
              </w:rPr>
              <w:t xml:space="preserve">Money laundering reporting officer, accountable for the institution’s SAR decisions.</w:t>
            </w:r>
          </w:p>
        </w:tc>
      </w:tr>
    </w:tbl>
    <w:sectPr>
      <w:headerReference w:type="default" r:id="rId6"/>
      <w:footerReference w:type="default" r:id="rId7"/>
      <w:footerReference w:type="first" r:id="rId8"/>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Page </w:t>
    </w:r>
    <w:r>
      <w:rPr>
        <w:color w:val="5B6770"/>
        <w:sz w:val="16"/>
        <w:szCs w:val="16"/>
      </w:rPr>
      <w:fldChar w:fldCharType="begin"/>
      <w:instrText xml:space="preserve">PAGE</w:instrText>
      <w:fldChar w:fldCharType="separate"/>
      <w:fldChar w:fldCharType="end"/>
    </w:r>
    <w:r>
      <w:rPr>
        <w:color w:val="5B6770"/>
        <w:sz w:val="16"/>
        <w:szCs w:val="16"/>
      </w:rPr>
      <w:t xml:space="preserve">  ·  Internal — draft for discussion</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B6770"/>
        <w:sz w:val="16"/>
        <w:szCs w:val="16"/>
      </w:rPr>
      <w:t xml:space="preserve">Internal — draft for discussion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876300" cy="209550"/>
          <wp:effectExtent t="0" r="0" b="0" l="0"/>
          <wp:docPr id="2" name="Fleet Studio logo" descr="Fleet Studio by Verto Wave" title="Fleet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76300" cy="209550"/>
                  </a:xfrm>
                  <a:prstGeom prst="rect">
                    <a:avLst/>
                  </a:prstGeom>
                </pic:spPr>
              </pic:pic>
            </a:graphicData>
          </a:graphic>
        </wp:inline>
      </w:drawing>
    </w:r>
    <w:r>
      <w:rPr>
        <w:color w:val="5B6770"/>
        <w:sz w:val="16"/>
        <w:szCs w:val="16"/>
      </w:rPr>
      <w:ptab w:alignment="right" w:relativeTo="margin" w:leader="none"/>
      <w:t xml:space="preserve">Fleet Studio — Product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lvl w:ilvl="1" w:tentative="1">
      <w:start w:val="1"/>
      <w:numFmt w:val="bullet"/>
      <w:lvlText w:val="–"/>
      <w:lvlJc w:val="left"/>
      <w:pPr>
        <w:ind w:left="720" w:hanging="240"/>
      </w:pPr>
    </w:lvl>
  </w:abstractNum>
  <w:abstractNum w:abstractNumId="3" w15:restartNumberingAfterBreak="0">
    <w:multiLevelType w:val="hybridMultilevel"/>
    <w:lvl w:ilvl="0" w:tentative="1">
      <w:start w:val="1"/>
      <w:numFmt w:val="decimal"/>
      <w:lvlText w:val="%1."/>
      <w:lvlJc w:val="left"/>
      <w:pPr>
        <w:ind w:left="400" w:hanging="300"/>
      </w:pPr>
    </w:lvl>
  </w:abstractNum>
  <w:abstractNum w:abstractNumId="4" w15:restartNumberingAfterBreak="0">
    <w:multiLevelType w:val="hybridMultilevel"/>
    <w:lvl w:ilvl="0" w:tentative="1">
      <w:start w:val="1"/>
      <w:numFmt w:val="decimal"/>
      <w:lvlText w:val="%1."/>
      <w:lvlJc w:val="left"/>
      <w:pPr>
        <w:ind w:left="400" w:hanging="300"/>
      </w:pPr>
    </w:lvl>
  </w:abstractNum>
  <w:abstractNum w:abstractNumId="5" w15:restartNumberingAfterBreak="0">
    <w:multiLevelType w:val="hybridMultilevel"/>
    <w:lvl w:ilvl="0" w:tentative="1">
      <w:start w:val="1"/>
      <w:numFmt w:val="decimal"/>
      <w:lvlText w:val="%1."/>
      <w:lvlJc w:val="left"/>
      <w:pPr>
        <w:ind w:left="400" w:hanging="300"/>
      </w:pPr>
    </w:lvl>
  </w:abstractNum>
  <w:abstractNum w:abstractNumId="6" w15:restartNumberingAfterBreak="0">
    <w:multiLevelType w:val="hybridMultilevel"/>
    <w:lvl w:ilvl="0" w:tentative="1">
      <w:start w:val="1"/>
      <w:numFmt w:val="decimal"/>
      <w:lvlText w:val="%1."/>
      <w:lvlJc w:val="left"/>
      <w:pPr>
        <w:ind w:left="400" w:hanging="300"/>
      </w:pPr>
    </w:lvl>
  </w:abstractNum>
  <w:abstractNum w:abstractNumId="7" w15:restartNumberingAfterBreak="0">
    <w:multiLevelType w:val="hybridMultilevel"/>
    <w:lvl w:ilvl="0" w:tentative="1">
      <w:start w:val="1"/>
      <w:numFmt w:val="decimal"/>
      <w:lvlText w:val="%1."/>
      <w:lvlJc w:val="left"/>
      <w:pPr>
        <w:ind w:left="400" w:hanging="300"/>
      </w:pPr>
    </w:lvl>
  </w:abstractNum>
  <w:abstractNum w:abstractNumId="8" w15:restartNumberingAfterBreak="0">
    <w:multiLevelType w:val="hybridMultilevel"/>
    <w:lvl w:ilvl="0" w:tentative="1">
      <w:start w:val="1"/>
      <w:numFmt w:val="decimal"/>
      <w:lvlText w:val="%1."/>
      <w:lvlJc w:val="left"/>
      <w:pPr>
        <w:ind w:left="400" w:hanging="300"/>
      </w:pPr>
    </w:lvl>
  </w:abstractNum>
  <w:abstractNum w:abstractNumId="9" w15:restartNumberingAfterBreak="0">
    <w:multiLevelType w:val="hybridMultilevel"/>
    <w:lvl w:ilvl="0" w:tentative="1">
      <w:start w:val="1"/>
      <w:numFmt w:val="decimal"/>
      <w:lvlText w:val="%1."/>
      <w:lvlJc w:val="left"/>
      <w:pPr>
        <w:ind w:left="400" w:hanging="300"/>
      </w:pPr>
    </w:lvl>
  </w:abstractNum>
  <w:abstractNum w:abstractNumId="10" w15:restartNumberingAfterBreak="0">
    <w:multiLevelType w:val="hybridMultilevel"/>
    <w:lvl w:ilvl="0" w:tentative="1">
      <w:start w:val="1"/>
      <w:numFmt w:val="decimal"/>
      <w:lvlText w:val="%1."/>
      <w:lvlJc w:val="left"/>
      <w:pPr>
        <w:ind w:left="400" w:hanging="300"/>
      </w:pPr>
    </w:lvl>
  </w:abstractNum>
  <w:abstractNum w:abstractNumId="11" w15:restartNumberingAfterBreak="0">
    <w:multiLevelType w:val="hybridMultilevel"/>
    <w:lvl w:ilvl="0" w:tentative="1">
      <w:start w:val="1"/>
      <w:numFmt w:val="decimal"/>
      <w:lvlText w:val="%1."/>
      <w:lvlJc w:val="left"/>
      <w:pPr>
        <w:ind w:left="400" w:hanging="300"/>
      </w:pPr>
    </w:lvl>
  </w:abstractNum>
  <w:abstractNum w:abstractNumId="12"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3"/>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0B2545"/>
      <w:sz w:val="32"/>
      <w:szCs w:val="32"/>
    </w:rPr>
  </w:style>
  <w:style w:type="paragraph" w:styleId="Heading2">
    <w:name w:val="Heading 2"/>
    <w:basedOn w:val="Normal"/>
    <w:next w:val="Normal"/>
    <w:qFormat/>
    <w:pPr>
      <w:keepNext/>
      <w:spacing w:after="100" w:before="240"/>
      <w:outlineLvl w:val="1"/>
    </w:pPr>
    <w:rPr>
      <w:b/>
      <w:bCs/>
      <w:color w:val="1570B8"/>
      <w:sz w:val="25"/>
      <w:szCs w:val="25"/>
    </w:rPr>
  </w:style>
  <w:style w:type="paragraph" w:styleId="Heading3">
    <w:name w:val="Heading 3"/>
    <w:basedOn w:val="Normal"/>
    <w:next w:val="Normal"/>
    <w:qFormat/>
    <w:pPr>
      <w:spacing w:after="80" w:before="160"/>
      <w:outlineLvl w:val="2"/>
    </w:pPr>
    <w:rPr>
      <w:b/>
      <w:bCs/>
      <w:color w:val="0B2545"/>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image" Target="media/1cefbcef3bed4e005f991b4efd46c61df03a5d1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cefbcef3bed4e005f991b4efd46c61df03a5d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Fleet Studio — Product Overview</dc:title>
  <dc:creator>Fleet Studio team</dc:creator>
  <cp:lastModifiedBy>Un-named</cp:lastModifiedBy>
  <cp:revision>1</cp:revision>
  <dcterms:created xsi:type="dcterms:W3CDTF">2026-10-01T01:10:28.869Z</dcterms:created>
  <dcterms:modified xsi:type="dcterms:W3CDTF">2026-10-01T01:10:28.870Z</dcterms:modified>
</cp:coreProperties>
</file>

<file path=docProps/custom.xml><?xml version="1.0" encoding="utf-8"?>
<Properties xmlns="http://schemas.openxmlformats.org/officeDocument/2006/custom-properties" xmlns:vt="http://schemas.openxmlformats.org/officeDocument/2006/docPropsVTypes"/>
</file>