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39BB" w:rsidP="72258E8D" w:rsidRDefault="0AE499A7" w14:paraId="2C078E63" w14:textId="3F0FAB8C">
      <w:pPr>
        <w:pStyle w:val="Title"/>
        <w:rPr>
          <w:rFonts w:ascii="Calibri Light" w:hAnsi="Calibri Light"/>
        </w:rPr>
      </w:pPr>
      <w:r w:rsidRPr="72258E8D">
        <w:rPr>
          <w:rFonts w:ascii="Calibri Light" w:hAnsi="Calibri Light"/>
        </w:rPr>
        <w:t>Refactoring</w:t>
      </w:r>
    </w:p>
    <w:p w:rsidR="008F7581" w:rsidP="002173C3" w:rsidRDefault="008F7581" w14:paraId="7C8A5884" w14:textId="08D150B9">
      <w:r>
        <w:t xml:space="preserve">Below is a list </w:t>
      </w:r>
      <w:r w:rsidR="007B05AB">
        <w:t>of</w:t>
      </w:r>
      <w:r>
        <w:t xml:space="preserve"> the various changes we made while refactoring.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6"/>
        <w:gridCol w:w="3116"/>
        <w:gridCol w:w="3118"/>
      </w:tblGrid>
      <w:tr w:rsidR="00964A5F" w:rsidTr="4CDCC056" w14:paraId="3410B788" w14:textId="77777777">
        <w:tc>
          <w:tcPr>
            <w:tcW w:w="1666" w:type="pct"/>
            <w:tcMar/>
          </w:tcPr>
          <w:p w:rsidR="00964A5F" w:rsidP="002173C3" w:rsidRDefault="00964A5F" w14:paraId="1E28BBB9" w14:textId="14BDBF22">
            <w:r>
              <w:t>Task</w:t>
            </w:r>
          </w:p>
        </w:tc>
        <w:tc>
          <w:tcPr>
            <w:tcW w:w="1666" w:type="pct"/>
            <w:tcMar/>
          </w:tcPr>
          <w:p w:rsidR="00964A5F" w:rsidP="002173C3" w:rsidRDefault="00964A5F" w14:paraId="1BB6594A" w14:textId="71D451E3">
            <w:r>
              <w:t>Who</w:t>
            </w:r>
          </w:p>
        </w:tc>
        <w:tc>
          <w:tcPr>
            <w:tcW w:w="1667" w:type="pct"/>
            <w:tcMar/>
          </w:tcPr>
          <w:p w:rsidR="00964A5F" w:rsidP="002173C3" w:rsidRDefault="00964A5F" w14:paraId="3D8C1E63" w14:textId="4F9ACF33">
            <w:r>
              <w:t>Why</w:t>
            </w:r>
          </w:p>
        </w:tc>
      </w:tr>
      <w:tr w:rsidR="00964A5F" w:rsidTr="4CDCC056" w14:paraId="4078431F" w14:textId="77777777">
        <w:tc>
          <w:tcPr>
            <w:tcW w:w="1666" w:type="pct"/>
            <w:tcMar/>
          </w:tcPr>
          <w:p w:rsidR="00964A5F" w:rsidP="002173C3" w:rsidRDefault="00964A5F" w14:paraId="005DA5C4" w14:textId="5F248854">
            <w:r w:rsidRPr="00964A5F">
              <w:t>Add Log4J to the project and log</w:t>
            </w:r>
            <w:r>
              <w:t>ging</w:t>
            </w:r>
            <w:r w:rsidRPr="00964A5F">
              <w:t xml:space="preserve"> to the </w:t>
            </w:r>
            <w:r>
              <w:t>services</w:t>
            </w:r>
          </w:p>
        </w:tc>
        <w:tc>
          <w:tcPr>
            <w:tcW w:w="1666" w:type="pct"/>
            <w:tcMar/>
          </w:tcPr>
          <w:p w:rsidR="00964A5F" w:rsidP="002173C3" w:rsidRDefault="00956286" w14:paraId="23ACFD03" w14:textId="5CB6F1FA">
            <w:r>
              <w:t>Jacob McEwan</w:t>
            </w:r>
          </w:p>
        </w:tc>
        <w:tc>
          <w:tcPr>
            <w:tcW w:w="1667" w:type="pct"/>
            <w:tcMar/>
          </w:tcPr>
          <w:p w:rsidR="00964A5F" w:rsidP="002173C3" w:rsidRDefault="00956286" w14:paraId="3E732765" w14:textId="5CEF32F6">
            <w:r>
              <w:t xml:space="preserve">Much of the code acts silently so </w:t>
            </w:r>
            <w:r w:rsidR="0053659C">
              <w:t xml:space="preserve">debugging errors and finding general information </w:t>
            </w:r>
            <w:r w:rsidR="000445A0">
              <w:t xml:space="preserve">about the current state of the app is currently very difficult or even impossible. </w:t>
            </w:r>
            <w:r w:rsidR="00E12DDE">
              <w:t xml:space="preserve">Adding logs to the app allows for </w:t>
            </w:r>
            <w:r w:rsidR="00BB72D4">
              <w:t>after-the-fact debugging</w:t>
            </w:r>
          </w:p>
        </w:tc>
      </w:tr>
      <w:tr w:rsidR="00964A5F" w:rsidTr="4CDCC056" w14:paraId="09B71E95" w14:textId="77777777">
        <w:tc>
          <w:tcPr>
            <w:tcW w:w="1666" w:type="pct"/>
            <w:tcMar/>
          </w:tcPr>
          <w:p w:rsidR="00964A5F" w:rsidP="002173C3" w:rsidRDefault="00104189" w14:paraId="60B3DCEB" w14:textId="320F81C2">
            <w:r>
              <w:t>Restructuring the test folder</w:t>
            </w:r>
          </w:p>
        </w:tc>
        <w:tc>
          <w:tcPr>
            <w:tcW w:w="1666" w:type="pct"/>
            <w:tcMar/>
          </w:tcPr>
          <w:p w:rsidR="00964A5F" w:rsidP="002173C3" w:rsidRDefault="00104189" w14:paraId="6F2F0959" w14:textId="3D5AB633">
            <w:r>
              <w:t>Moritz</w:t>
            </w:r>
          </w:p>
        </w:tc>
        <w:tc>
          <w:tcPr>
            <w:tcW w:w="1667" w:type="pct"/>
            <w:tcMar/>
          </w:tcPr>
          <w:p w:rsidR="00964A5F" w:rsidP="002173C3" w:rsidRDefault="00104189" w14:paraId="7A867D56" w14:textId="02874565">
            <w:r>
              <w:t xml:space="preserve">Currently all the tests are in one file and are painful to sift through for finding a particular test. </w:t>
            </w:r>
            <w:r w:rsidR="0020127A">
              <w:t xml:space="preserve">Organizing tests by </w:t>
            </w:r>
            <w:r w:rsidR="00D741A8">
              <w:t>feature group will aid in keeping track of tests and keep editor windows clean.</w:t>
            </w:r>
          </w:p>
        </w:tc>
      </w:tr>
      <w:tr w:rsidR="00964A5F" w:rsidTr="4CDCC056" w14:paraId="4533418A" w14:textId="77777777">
        <w:tc>
          <w:tcPr>
            <w:tcW w:w="1666" w:type="pct"/>
            <w:tcMar/>
          </w:tcPr>
          <w:p w:rsidR="00964A5F" w:rsidP="002173C3" w:rsidRDefault="0020127A" w14:paraId="511CEB6E" w14:textId="547D24A7">
            <w:r>
              <w:t>Rename app tab</w:t>
            </w:r>
          </w:p>
        </w:tc>
        <w:tc>
          <w:tcPr>
            <w:tcW w:w="1666" w:type="pct"/>
            <w:tcMar/>
          </w:tcPr>
          <w:p w:rsidR="00964A5F" w:rsidP="002173C3" w:rsidRDefault="0020127A" w14:paraId="5D80C8BB" w14:textId="2C63393F">
            <w:r>
              <w:t>Moritz</w:t>
            </w:r>
          </w:p>
        </w:tc>
        <w:tc>
          <w:tcPr>
            <w:tcW w:w="1667" w:type="pct"/>
            <w:tcMar/>
          </w:tcPr>
          <w:p w:rsidR="00964A5F" w:rsidP="002173C3" w:rsidRDefault="0020127A" w14:paraId="30A18BBF" w14:textId="70352189">
            <w:r>
              <w:t>The tab name in the browser was left as the React App default. It should better reflect the app’s brand to help people know what apps they are using.</w:t>
            </w:r>
          </w:p>
        </w:tc>
      </w:tr>
      <w:tr w:rsidR="00964A5F" w:rsidTr="4CDCC056" w14:paraId="53553792" w14:textId="77777777">
        <w:tc>
          <w:tcPr>
            <w:tcW w:w="1666" w:type="pct"/>
            <w:tcMar/>
          </w:tcPr>
          <w:p w:rsidR="00964A5F" w:rsidP="002173C3" w:rsidRDefault="009D49F6" w14:paraId="5A662D36" w14:textId="54014146">
            <w:r>
              <w:t>Redo the menu bar</w:t>
            </w:r>
          </w:p>
        </w:tc>
        <w:tc>
          <w:tcPr>
            <w:tcW w:w="1666" w:type="pct"/>
            <w:tcMar/>
          </w:tcPr>
          <w:p w:rsidR="00964A5F" w:rsidP="002173C3" w:rsidRDefault="009D49F6" w14:paraId="1CE167E8" w14:textId="5393DB4F">
            <w:proofErr w:type="spellStart"/>
            <w:r>
              <w:t>Minggang</w:t>
            </w:r>
            <w:proofErr w:type="spellEnd"/>
          </w:p>
        </w:tc>
        <w:tc>
          <w:tcPr>
            <w:tcW w:w="1667" w:type="pct"/>
            <w:tcMar/>
          </w:tcPr>
          <w:p w:rsidR="00964A5F" w:rsidP="002173C3" w:rsidRDefault="009D49F6" w14:paraId="0E5BE95B" w14:textId="1B0B9D4E">
            <w:r>
              <w:t xml:space="preserve">Many of the </w:t>
            </w:r>
            <w:r w:rsidR="00687C40">
              <w:t xml:space="preserve">actions available on the menu bar are related or user dependent. </w:t>
            </w:r>
            <w:r w:rsidR="00CB0770">
              <w:t>Grouping some of these will provide a better user experience and simplify the code for user types.</w:t>
            </w:r>
          </w:p>
        </w:tc>
      </w:tr>
      <w:tr w:rsidR="00964A5F" w:rsidTr="4CDCC056" w14:paraId="297804ED" w14:textId="77777777">
        <w:tc>
          <w:tcPr>
            <w:tcW w:w="1666" w:type="pct"/>
            <w:tcMar/>
          </w:tcPr>
          <w:p w:rsidR="00964A5F" w:rsidP="002173C3" w:rsidRDefault="00CB0770" w14:paraId="0741CB50" w14:textId="1C7A94C5">
            <w:r>
              <w:t xml:space="preserve">Rewrite the API to use </w:t>
            </w:r>
            <w:proofErr w:type="spellStart"/>
            <w:r>
              <w:t>Axios</w:t>
            </w:r>
            <w:proofErr w:type="spellEnd"/>
            <w:r>
              <w:t xml:space="preserve"> instances</w:t>
            </w:r>
          </w:p>
        </w:tc>
        <w:tc>
          <w:tcPr>
            <w:tcW w:w="1666" w:type="pct"/>
            <w:tcMar/>
          </w:tcPr>
          <w:p w:rsidR="00964A5F" w:rsidP="002173C3" w:rsidRDefault="00CB0770" w14:paraId="0221656D" w14:textId="510C631C">
            <w:proofErr w:type="spellStart"/>
            <w:r>
              <w:t>Minggang</w:t>
            </w:r>
            <w:proofErr w:type="spellEnd"/>
          </w:p>
        </w:tc>
        <w:tc>
          <w:tcPr>
            <w:tcW w:w="1667" w:type="pct"/>
            <w:tcMar/>
          </w:tcPr>
          <w:p w:rsidR="00964A5F" w:rsidP="002173C3" w:rsidRDefault="00CB0770" w14:paraId="563CC443" w14:textId="121E93C9">
            <w:r>
              <w:t xml:space="preserve">Currently configuration of the </w:t>
            </w:r>
            <w:r w:rsidR="00441355">
              <w:t xml:space="preserve">API for the frontend is managed through multiple separate variables in different files and need to all be bought together for each request. </w:t>
            </w:r>
            <w:proofErr w:type="spellStart"/>
            <w:r w:rsidR="00441355">
              <w:t>Axios</w:t>
            </w:r>
            <w:proofErr w:type="spellEnd"/>
            <w:r w:rsidR="00441355">
              <w:t xml:space="preserve"> instances should allow the configuration to be packaged together </w:t>
            </w:r>
            <w:r w:rsidR="00DA4627">
              <w:t>to keep code clean and readable, while reducing duplicated code. This means changing settings will be easier as there will only be one place for them.</w:t>
            </w:r>
          </w:p>
        </w:tc>
      </w:tr>
      <w:tr w:rsidR="4CDCC056" w:rsidTr="4CDCC056" w14:paraId="2573013B">
        <w:tc>
          <w:tcPr>
            <w:tcW w:w="3116" w:type="dxa"/>
            <w:tcMar/>
          </w:tcPr>
          <w:p w:rsidR="69F04C67" w:rsidP="4CDCC056" w:rsidRDefault="69F04C67" w14:paraId="533D62EE" w14:textId="7D389661">
            <w:pPr>
              <w:pStyle w:val="Normal"/>
            </w:pPr>
            <w:r w:rsidR="69F04C67">
              <w:rPr/>
              <w:t>Refactor book forms to look better and display errors properly</w:t>
            </w:r>
          </w:p>
        </w:tc>
        <w:tc>
          <w:tcPr>
            <w:tcW w:w="3116" w:type="dxa"/>
            <w:tcMar/>
          </w:tcPr>
          <w:p w:rsidR="69F04C67" w:rsidP="4CDCC056" w:rsidRDefault="69F04C67" w14:paraId="7BA681C9" w14:textId="79130ED9">
            <w:pPr>
              <w:pStyle w:val="Normal"/>
            </w:pPr>
            <w:r w:rsidR="69F04C67">
              <w:rPr/>
              <w:t>Jack, Minggang, Jacob</w:t>
            </w:r>
          </w:p>
        </w:tc>
        <w:tc>
          <w:tcPr>
            <w:tcW w:w="3118" w:type="dxa"/>
            <w:tcMar/>
          </w:tcPr>
          <w:p w:rsidR="46D7034D" w:rsidP="4CDCC056" w:rsidRDefault="46D7034D" w14:paraId="34C82D0C" w14:textId="154E6ED9">
            <w:pPr>
              <w:pStyle w:val="Normal"/>
            </w:pPr>
            <w:r w:rsidR="46D7034D">
              <w:rPr/>
              <w:t xml:space="preserve">The add book form is quite unfriendly for users, so fixing the styling to follow the same design as the rest of the </w:t>
            </w:r>
            <w:r w:rsidR="6629FD9C">
              <w:rPr/>
              <w:t>site. Additionally, error</w:t>
            </w:r>
            <w:r w:rsidR="6075B50B">
              <w:rPr/>
              <w:t xml:space="preserve"> handling is poor for users so making sure that the errors are displayed properly in all cases is important.</w:t>
            </w:r>
          </w:p>
        </w:tc>
      </w:tr>
    </w:tbl>
    <w:p w:rsidRPr="008C71C2" w:rsidR="72258E8D" w:rsidP="4CDCC056" w:rsidRDefault="43B83CA7" w14:paraId="2674B974" w14:noSpellErr="1" w14:textId="6285C23D">
      <w:pPr>
        <w:pStyle w:val="ListParagraph"/>
        <w:ind w:left="0"/>
      </w:pPr>
    </w:p>
    <w:sectPr w:rsidRPr="008C71C2" w:rsidR="72258E8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031D2"/>
    <w:multiLevelType w:val="hybridMultilevel"/>
    <w:tmpl w:val="2368D842"/>
    <w:lvl w:ilvl="0" w:tplc="E1D093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E966A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A6FD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98053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A9285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B586A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776DF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BDC42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76F9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F2E27DA"/>
    <w:multiLevelType w:val="hybridMultilevel"/>
    <w:tmpl w:val="24623776"/>
    <w:lvl w:ilvl="0" w:tplc="1DA6EA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23ABC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3B6B0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324E4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9EACE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0DC13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628C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26C57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B5CDB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FDFCE3"/>
    <w:rsid w:val="000445A0"/>
    <w:rsid w:val="00104189"/>
    <w:rsid w:val="0020127A"/>
    <w:rsid w:val="002173C3"/>
    <w:rsid w:val="00441355"/>
    <w:rsid w:val="0053659C"/>
    <w:rsid w:val="00687C40"/>
    <w:rsid w:val="007B05AB"/>
    <w:rsid w:val="007C39BB"/>
    <w:rsid w:val="008C71C2"/>
    <w:rsid w:val="008F7581"/>
    <w:rsid w:val="00956286"/>
    <w:rsid w:val="00964A5F"/>
    <w:rsid w:val="009D49F6"/>
    <w:rsid w:val="00BB72D4"/>
    <w:rsid w:val="00CB0770"/>
    <w:rsid w:val="00D741A8"/>
    <w:rsid w:val="00DA4627"/>
    <w:rsid w:val="00E12DDE"/>
    <w:rsid w:val="04314578"/>
    <w:rsid w:val="04492DEB"/>
    <w:rsid w:val="06BF6990"/>
    <w:rsid w:val="08674EC2"/>
    <w:rsid w:val="08690C31"/>
    <w:rsid w:val="0AE499A7"/>
    <w:rsid w:val="14EFB3EF"/>
    <w:rsid w:val="168641DE"/>
    <w:rsid w:val="16FDFCE3"/>
    <w:rsid w:val="17F8CEED"/>
    <w:rsid w:val="1824081F"/>
    <w:rsid w:val="2212278D"/>
    <w:rsid w:val="249EDF8E"/>
    <w:rsid w:val="27CE93C5"/>
    <w:rsid w:val="2A6A36F1"/>
    <w:rsid w:val="2BEFA2A6"/>
    <w:rsid w:val="335996BE"/>
    <w:rsid w:val="356A8DF2"/>
    <w:rsid w:val="357F0E0D"/>
    <w:rsid w:val="37065E53"/>
    <w:rsid w:val="38838367"/>
    <w:rsid w:val="3B7F5411"/>
    <w:rsid w:val="3EB52805"/>
    <w:rsid w:val="3F7E9E51"/>
    <w:rsid w:val="436C92FB"/>
    <w:rsid w:val="43B83CA7"/>
    <w:rsid w:val="45C37D9C"/>
    <w:rsid w:val="46D7034D"/>
    <w:rsid w:val="475F4DFD"/>
    <w:rsid w:val="4781F206"/>
    <w:rsid w:val="4CDCC056"/>
    <w:rsid w:val="53346FB7"/>
    <w:rsid w:val="56AB7AF4"/>
    <w:rsid w:val="56BBB948"/>
    <w:rsid w:val="57779A78"/>
    <w:rsid w:val="57F41820"/>
    <w:rsid w:val="59F35A0A"/>
    <w:rsid w:val="6075B50B"/>
    <w:rsid w:val="61055461"/>
    <w:rsid w:val="642A8DBA"/>
    <w:rsid w:val="645225B5"/>
    <w:rsid w:val="6629FD9C"/>
    <w:rsid w:val="670E9308"/>
    <w:rsid w:val="69F04C67"/>
    <w:rsid w:val="72258E8D"/>
    <w:rsid w:val="76D95DF5"/>
    <w:rsid w:val="787E7A8A"/>
    <w:rsid w:val="793AEA98"/>
    <w:rsid w:val="7A10FEB7"/>
    <w:rsid w:val="7A57C361"/>
    <w:rsid w:val="7DE29786"/>
    <w:rsid w:val="7E1F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DFCE3"/>
  <w15:chartTrackingRefBased/>
  <w15:docId w15:val="{0240243F-9BD4-4E86-BF0A-059FEB16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58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8F7581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173C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64EB560FD025489077CE80B1902E72" ma:contentTypeVersion="9" ma:contentTypeDescription="Create a new document." ma:contentTypeScope="" ma:versionID="158c28497fa7fd71215c93d01d8b5748">
  <xsd:schema xmlns:xsd="http://www.w3.org/2001/XMLSchema" xmlns:xs="http://www.w3.org/2001/XMLSchema" xmlns:p="http://schemas.microsoft.com/office/2006/metadata/properties" xmlns:ns2="633bae24-f3df-4420-95bc-d30e86d13da4" targetNamespace="http://schemas.microsoft.com/office/2006/metadata/properties" ma:root="true" ma:fieldsID="ce278a6e7c694170d7dbc60977150061" ns2:_="">
    <xsd:import namespace="633bae24-f3df-4420-95bc-d30e86d13d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bae24-f3df-4420-95bc-d30e86d13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C2133B-8432-4772-A1A9-D270E5833A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3B558F-6C06-4B1A-9F7A-D7D8A5CC33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3bae24-f3df-4420-95bc-d30e86d13d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30E732-EDC4-4034-8C08-3944A4CADA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Jacob McEwan</dc:creator>
  <keywords/>
  <dc:description/>
  <lastModifiedBy>Jacob McEwan</lastModifiedBy>
  <revision>20</revision>
  <dcterms:created xsi:type="dcterms:W3CDTF">2021-10-19T04:57:00.0000000Z</dcterms:created>
  <dcterms:modified xsi:type="dcterms:W3CDTF">2021-10-23T12:30:46.1878808Z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0x010100BB64EB560FD025489077CE80B1902E72</vt:lpwstr>
  </property>
</Properties>
</file>