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Chargeback and Dispute Procedure</w:t>
      </w:r>
    </w:p>
    <w:p>
      <w:pPr>
        <w:pStyle w:val="Heading2"/>
      </w:pPr>
      <w:r>
        <w:t>Raising a Dispute</w:t>
      </w:r>
    </w:p>
    <w:p>
      <w:r>
        <w:t>A cardholder may dispute a transaction within 60 days of the statement date. Capture the</w:t>
      </w:r>
    </w:p>
    <w:p>
      <w:r>
        <w:t>transaction reference, the reason code (fraud, duplicate, not-as-described, non-receipt of</w:t>
      </w:r>
    </w:p>
    <w:p>
      <w:r>
        <w:t>goods, credit not processed), and any supporting evidence.</w:t>
      </w:r>
    </w:p>
    <w:p>
      <w:pPr>
        <w:pStyle w:val="Heading2"/>
      </w:pPr>
      <w:r>
        <w:t>Provisional Credit</w:t>
      </w:r>
    </w:p>
    <w:p>
      <w:r>
        <w:t>For disputes coded as fraud or duplicate, issue a provisional credit within 7 working days.</w:t>
      </w:r>
    </w:p>
    <w:p>
      <w:r>
        <w:t>Provisional credit is not given for not-as-described disputes until the merchant response</w:t>
      </w:r>
    </w:p>
    <w:p>
      <w:r>
        <w:t>window closes.</w:t>
      </w:r>
    </w:p>
    <w:p>
      <w:pPr>
        <w:pStyle w:val="Heading2"/>
      </w:pPr>
      <w:r>
        <w:t>Chargeback Lifecycle</w:t>
      </w:r>
    </w:p>
    <w:p>
      <w:pPr>
        <w:pStyle w:val="ListBullet"/>
      </w:pPr>
      <w:r>
        <w:t>Present the chargeback to the acquirer within the network deadline (typically 45 days).</w:t>
      </w:r>
    </w:p>
    <w:p>
      <w:pPr>
        <w:pStyle w:val="ListBullet"/>
      </w:pPr>
      <w:r>
        <w:t>The merchant may submit representment with evidence.</w:t>
      </w:r>
    </w:p>
    <w:p>
      <w:pPr>
        <w:pStyle w:val="ListBullet"/>
      </w:pPr>
      <w:r>
        <w:t>If representment is valid, the provisional credit is reversed and the cardholder is</w:t>
      </w:r>
    </w:p>
    <w:p>
      <w:r>
        <w:t xml:space="preserve">  informed with the merchant's evidence.</w:t>
      </w:r>
    </w:p>
    <w:p>
      <w:pPr>
        <w:pStyle w:val="ListBullet"/>
      </w:pPr>
      <w:r>
        <w:t>Unresolved cases go to pre-arbitration and then network arbitration.</w:t>
      </w:r>
    </w:p>
    <w:p>
      <w:pPr>
        <w:pStyle w:val="Heading2"/>
      </w:pPr>
      <w:r>
        <w:t>Timelines</w:t>
      </w:r>
    </w:p>
    <w:p>
      <w:r>
        <w:t>Communicate the outcome to the cardholder within 90 days of the dispute being raised. A</w:t>
      </w:r>
    </w:p>
    <w:p>
      <w:r>
        <w:t>delay beyond 90 days entitles the cardholder to compensation of INR 100 per day per the</w:t>
      </w:r>
    </w:p>
    <w:p>
      <w:r>
        <w:t>customer compensation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