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Loan Guidelines</w:t>
      </w:r>
    </w:p>
    <w:p>
      <w:pPr>
        <w:pStyle w:val="Heading2"/>
      </w:pPr>
      <w:r>
        <w:t>Amount and Tenure</w:t>
      </w:r>
    </w:p>
    <w:p>
      <w:r>
        <w:t>Personal loans range from INR 50,000 to INR 25 lakh with tenure of 12 to 60 months. The</w:t>
      </w:r>
    </w:p>
    <w:p>
      <w:r>
        <w:t>minimum net monthly income is INR 25,000 for salaried and INR 30,000 for self-employed</w:t>
      </w:r>
    </w:p>
    <w:p>
      <w:r>
        <w:t>applicants.</w:t>
      </w:r>
    </w:p>
    <w:p>
      <w:pPr>
        <w:pStyle w:val="Heading2"/>
      </w:pPr>
      <w:r>
        <w:t>Credit Score</w:t>
      </w:r>
    </w:p>
    <w:p>
      <w:r>
        <w:t>A bureau score of 730 or above is required for the standard rate. Scores between 700 and</w:t>
      </w:r>
    </w:p>
    <w:p>
      <w:r>
        <w:t>729 are approved at a risk-based premium of up to 250 basis points. Applications below</w:t>
      </w:r>
    </w:p>
    <w:p>
      <w:r>
        <w:t>700 are declined unless fully secured by a fixed deposit.</w:t>
      </w:r>
    </w:p>
    <w:p>
      <w:pPr>
        <w:pStyle w:val="Heading2"/>
      </w:pPr>
      <w:r>
        <w:t>FOIR</w:t>
      </w:r>
    </w:p>
    <w:p>
      <w:r>
        <w:t>Total EMIs including the proposed loan may not exceed 55% of net monthly income. Credit</w:t>
      </w:r>
    </w:p>
    <w:p>
      <w:r>
        <w:t>card minimum-due obligations are counted at 5% of the outstanding balance.</w:t>
      </w:r>
    </w:p>
    <w:p>
      <w:pPr>
        <w:pStyle w:val="Heading2"/>
      </w:pPr>
      <w:r>
        <w:t>Documentation</w:t>
      </w:r>
    </w:p>
    <w:p>
      <w:r>
        <w:t>Latest three months' salary slips, six months' bank statements, PAN, and one address OVD.</w:t>
      </w:r>
    </w:p>
    <w:p>
      <w:r>
        <w:t>Self-employed applicants provide two years' ITR and audited financials.</w:t>
      </w:r>
    </w:p>
    <w:p>
      <w:pPr>
        <w:pStyle w:val="Heading2"/>
      </w:pPr>
      <w:r>
        <w:t>Foreclosure</w:t>
      </w:r>
    </w:p>
    <w:p>
      <w:r>
        <w:t>Foreclosure is permitted after 12 EMIs with a 4% charge on the outstanding principal. No</w:t>
      </w:r>
    </w:p>
    <w:p>
      <w:r>
        <w:t>charge applies if the loan is refinanced by the same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