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Loan Guidelines (Superseded)</w:t>
      </w:r>
    </w:p>
    <w:p>
      <w:pPr>
        <w:pStyle w:val="Heading2"/>
      </w:pPr>
      <w:r>
        <w:t>Amount and Tenure</w:t>
      </w:r>
    </w:p>
    <w:p>
      <w:r>
        <w:t>Personal loans range from INR 50,000 to INR 15 lakh with tenure of 12 to 48 months. The</w:t>
      </w:r>
    </w:p>
    <w:p>
      <w:r>
        <w:t>minimum net monthly income is INR 20,000.</w:t>
      </w:r>
    </w:p>
    <w:p>
      <w:pPr>
        <w:pStyle w:val="Heading2"/>
      </w:pPr>
      <w:r>
        <w:t>Credit Score</w:t>
      </w:r>
    </w:p>
    <w:p>
      <w:r>
        <w:t>A bureau score of 700 or above is required. Applications below 700 are declined.</w:t>
      </w:r>
    </w:p>
    <w:p>
      <w:pPr>
        <w:pStyle w:val="Heading2"/>
      </w:pPr>
      <w:r>
        <w:t>FOIR</w:t>
      </w:r>
    </w:p>
    <w:p>
      <w:r>
        <w:t>Total EMIs including the proposed loan may not exceed 50% of net monthly income.</w:t>
      </w:r>
    </w:p>
    <w:p>
      <w:pPr>
        <w:pStyle w:val="Heading2"/>
      </w:pPr>
      <w:r>
        <w:t>Foreclosure</w:t>
      </w:r>
    </w:p>
    <w:p>
      <w:r>
        <w:t>Foreclosure is permitted after 6 EMIs with a 5% charge on the outstanding principal.</w:t>
      </w:r>
    </w:p>
    <w:p>
      <w:r>
        <w:t>Note: This version is retained for audit of loans booked before March 2026. Do not quote</w:t>
      </w:r>
    </w:p>
    <w:p>
      <w:r>
        <w:t>these terms to new applicants.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