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 Opening Procedure</w:t>
      </w:r>
    </w:p>
    <w:p>
      <w:pPr>
        <w:pStyle w:val="Heading2"/>
      </w:pPr>
      <w:r>
        <w:t>Step 1 - Customer Due Diligence</w:t>
      </w:r>
    </w:p>
    <w:p>
      <w:r>
        <w:t>Collect a completed account opening form, one officially valid document (OVD) for identity</w:t>
      </w:r>
    </w:p>
    <w:p>
      <w:r>
        <w:t>and one for address, a recent photograph, and the customer's PAN or Form 60. Verify the</w:t>
      </w:r>
    </w:p>
    <w:p>
      <w:r>
        <w:t>OVD against the issuing authority database where available.</w:t>
      </w:r>
    </w:p>
    <w:p>
      <w:pPr>
        <w:pStyle w:val="Heading2"/>
      </w:pPr>
      <w:r>
        <w:t>Step 2 - Risk Categorisation</w:t>
      </w:r>
    </w:p>
    <w:p>
      <w:r>
        <w:t>Assign a customer risk rating of Low, Medium, or High based on occupation, expected</w:t>
      </w:r>
    </w:p>
    <w:p>
      <w:r>
        <w:t>turnover, product mix, and geography. High-risk customers require branch manager approval</w:t>
      </w:r>
    </w:p>
    <w:p>
      <w:r>
        <w:t>and enhanced due diligence before activation.</w:t>
      </w:r>
    </w:p>
    <w:p>
      <w:pPr>
        <w:pStyle w:val="Heading2"/>
      </w:pPr>
      <w:r>
        <w:t>Step 3 - Account Creation</w:t>
      </w:r>
    </w:p>
    <w:p>
      <w:r>
        <w:t>Create the CIF, link the account, and set the AMB flag per the Savings Account Policy.</w:t>
      </w:r>
    </w:p>
    <w:p>
      <w:r>
        <w:t>Salary accounts must carry the corporate employer code so the minimum balance exemption</w:t>
      </w:r>
    </w:p>
    <w:p>
      <w:r>
        <w:t>applies automatically.</w:t>
      </w:r>
    </w:p>
    <w:p>
      <w:pPr>
        <w:pStyle w:val="Heading2"/>
      </w:pPr>
      <w:r>
        <w:t>Step 4 - Welcome Kit and First Credit</w:t>
      </w:r>
    </w:p>
    <w:p>
      <w:r>
        <w:t>Issue the debit card and cheque book, hand over the welcome kit, and confirm the account</w:t>
      </w:r>
    </w:p>
    <w:p>
      <w:r>
        <w:t>is funded within 30 days. Accounts with zero balance after 30 days are placed on hold</w:t>
      </w:r>
    </w:p>
    <w:p>
      <w:r>
        <w:t>pending customer contact.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