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CENTRO MÉDICO REGIONAL ST. MARIAN</w:t>
      </w:r>
    </w:p>
    <w:p>
      <w:pPr>
        <w:pStyle w:val="Heading1"/>
      </w:pPr>
      <w:r>
        <w:t>INFORME DE ALTA HOSPITALARIA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 del paciente</w:t>
            </w:r>
          </w:p>
        </w:tc>
        <w:tc>
          <w:tcPr>
            <w:tcW w:type="dxa" w:w="4320"/>
          </w:tcPr>
          <w:p>
            <w:r>
              <w:t>P1014</w:t>
            </w:r>
          </w:p>
        </w:tc>
      </w:tr>
      <w:tr>
        <w:tc>
          <w:tcPr>
            <w:tcW w:type="dxa" w:w="4320"/>
          </w:tcPr>
          <w:p>
            <w:r>
              <w:t>Nombre del paciente</w:t>
            </w:r>
          </w:p>
        </w:tc>
        <w:tc>
          <w:tcPr>
            <w:tcW w:type="dxa" w:w="4320"/>
          </w:tcPr>
          <w:p>
            <w:r>
              <w:t>Lucía Fernández</w:t>
            </w:r>
          </w:p>
        </w:tc>
      </w:tr>
      <w:tr>
        <w:tc>
          <w:tcPr>
            <w:tcW w:type="dxa" w:w="4320"/>
          </w:tcPr>
          <w:p>
            <w:r>
              <w:t>Fecha de nacimiento</w:t>
            </w:r>
          </w:p>
        </w:tc>
        <w:tc>
          <w:tcPr>
            <w:tcW w:type="dxa" w:w="4320"/>
          </w:tcPr>
          <w:p>
            <w:r>
              <w:t>1990-07-19</w:t>
            </w:r>
          </w:p>
        </w:tc>
      </w:tr>
      <w:tr>
        <w:tc>
          <w:tcPr>
            <w:tcW w:type="dxa" w:w="4320"/>
          </w:tcPr>
          <w:p>
            <w:r>
              <w:t>Sexo</w:t>
            </w:r>
          </w:p>
        </w:tc>
        <w:tc>
          <w:tcPr>
            <w:tcW w:type="dxa" w:w="4320"/>
          </w:tcPr>
          <w:p>
            <w:r>
              <w:t>Femenino</w:t>
            </w:r>
          </w:p>
        </w:tc>
      </w:tr>
      <w:tr>
        <w:tc>
          <w:tcPr>
            <w:tcW w:type="dxa" w:w="4320"/>
          </w:tcPr>
          <w:p>
            <w:r>
              <w:t>Edad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Dirección</w:t>
            </w:r>
          </w:p>
        </w:tc>
        <w:tc>
          <w:tcPr>
            <w:tcW w:type="dxa" w:w="4320"/>
          </w:tcPr>
          <w:p>
            <w:r>
              <w:t>Calle Mayor 88, 3º B, 28013 Madrid, España</w:t>
            </w:r>
          </w:p>
        </w:tc>
      </w:tr>
      <w:tr>
        <w:tc>
          <w:tcPr>
            <w:tcW w:type="dxa" w:w="4320"/>
          </w:tcPr>
          <w:p>
            <w:r>
              <w:t>Fecha de ingreso</w:t>
            </w:r>
          </w:p>
        </w:tc>
        <w:tc>
          <w:tcPr>
            <w:tcW w:type="dxa" w:w="4320"/>
          </w:tcPr>
          <w:p>
            <w:r>
              <w:t>2026-06-03</w:t>
            </w:r>
          </w:p>
        </w:tc>
      </w:tr>
      <w:tr>
        <w:tc>
          <w:tcPr>
            <w:tcW w:type="dxa" w:w="4320"/>
          </w:tcPr>
          <w:p>
            <w:r>
              <w:t>Fecha de alta</w:t>
            </w:r>
          </w:p>
        </w:tc>
        <w:tc>
          <w:tcPr>
            <w:tcW w:type="dxa" w:w="4320"/>
          </w:tcPr>
          <w:p>
            <w:r>
              <w:t>2026-06-06</w:t>
            </w:r>
          </w:p>
        </w:tc>
      </w:tr>
      <w:tr>
        <w:tc>
          <w:tcPr>
            <w:tcW w:type="dxa" w:w="4320"/>
          </w:tcPr>
          <w:p>
            <w:r>
              <w:t>Sala</w:t>
            </w:r>
          </w:p>
        </w:tc>
        <w:tc>
          <w:tcPr>
            <w:tcW w:type="dxa" w:w="4320"/>
          </w:tcPr>
          <w:p>
            <w:r>
              <w:t>1D</w:t>
            </w:r>
          </w:p>
        </w:tc>
      </w:tr>
      <w:tr>
        <w:tc>
          <w:tcPr>
            <w:tcW w:type="dxa" w:w="4320"/>
          </w:tcPr>
          <w:p>
            <w:r>
              <w:t>Número de cama</w:t>
            </w:r>
          </w:p>
        </w:tc>
        <w:tc>
          <w:tcPr>
            <w:tcW w:type="dxa" w:w="4320"/>
          </w:tcPr>
          <w:p>
            <w:r>
              <w:t>09</w:t>
            </w:r>
          </w:p>
        </w:tc>
      </w:tr>
      <w:tr>
        <w:tc>
          <w:tcPr>
            <w:tcW w:type="dxa" w:w="4320"/>
          </w:tcPr>
          <w:p>
            <w:r>
              <w:t>Servicio</w:t>
            </w:r>
          </w:p>
        </w:tc>
        <w:tc>
          <w:tcPr>
            <w:tcW w:type="dxa" w:w="4320"/>
          </w:tcPr>
          <w:p>
            <w:r>
              <w:t>Medicina General</w:t>
            </w:r>
          </w:p>
        </w:tc>
      </w:tr>
      <w:tr>
        <w:tc>
          <w:tcPr>
            <w:tcW w:type="dxa" w:w="4320"/>
          </w:tcPr>
          <w:p>
            <w:r>
              <w:t>Médico responsable</w:t>
            </w:r>
          </w:p>
        </w:tc>
        <w:tc>
          <w:tcPr>
            <w:tcW w:type="dxa" w:w="4320"/>
          </w:tcPr>
          <w:p>
            <w:r>
              <w:t>Dra. Elena Ruiz, MD</w:t>
            </w:r>
          </w:p>
        </w:tc>
      </w:tr>
      <w:tr>
        <w:tc>
          <w:tcPr>
            <w:tcW w:type="dxa" w:w="4320"/>
          </w:tcPr>
          <w:p>
            <w:r>
              <w:t>Médicos consultores</w:t>
            </w:r>
          </w:p>
        </w:tc>
        <w:tc>
          <w:tcPr>
            <w:tcW w:type="dxa" w:w="4320"/>
          </w:tcPr>
          <w:p>
            <w:r>
              <w:t>Dr. Javier Soto (Gastroenterología)</w:t>
            </w:r>
          </w:p>
        </w:tc>
      </w:tr>
      <w:tr>
        <w:tc>
          <w:tcPr>
            <w:tcW w:type="dxa" w:w="4320"/>
          </w:tcPr>
          <w:p>
            <w:r>
              <w:t>Idioma del registro</w:t>
            </w:r>
          </w:p>
        </w:tc>
        <w:tc>
          <w:tcPr>
            <w:tcW w:type="dxa" w:w="4320"/>
          </w:tcPr>
          <w:p>
            <w:r>
              <w:t>Español</w:t>
            </w:r>
          </w:p>
        </w:tc>
      </w:tr>
      <w:tr>
        <w:tc>
          <w:tcPr>
            <w:tcW w:type="dxa" w:w="4320"/>
          </w:tcPr>
          <w:p>
            <w:r>
              <w:t>Alta aprobada</w:t>
            </w:r>
          </w:p>
        </w:tc>
        <w:tc>
          <w:tcPr>
            <w:tcW w:type="dxa" w:w="4320"/>
          </w:tcPr>
          <w:p>
            <w:r>
              <w:t>SÍ</w:t>
            </w:r>
          </w:p>
        </w:tc>
      </w:tr>
      <w:tr>
        <w:tc>
          <w:tcPr>
            <w:tcW w:type="dxa" w:w="4320"/>
          </w:tcPr>
          <w:p>
            <w:r>
              <w:t>Aprobada por</w:t>
            </w:r>
          </w:p>
        </w:tc>
        <w:tc>
          <w:tcPr>
            <w:tcW w:type="dxa" w:w="4320"/>
          </w:tcPr>
          <w:p>
            <w:r>
              <w:t>Dra. Elena Ruiz, MD</w:t>
            </w:r>
          </w:p>
        </w:tc>
      </w:tr>
    </w:tbl>
    <w:p>
      <w:pPr>
        <w:pStyle w:val="Heading2"/>
      </w:pPr>
      <w:r>
        <w:t>DIAGNÓSTICO AL ALTA</w:t>
      </w:r>
    </w:p>
    <w:p>
      <w:r>
        <w:t>1. Gastroenteritis aguda no infecciosa con deshidratación leve — CIE-10: K52.9</w:t>
      </w:r>
    </w:p>
    <w:p>
      <w:pPr>
        <w:pStyle w:val="Heading2"/>
      </w:pPr>
      <w:r>
        <w:t>ALERGIAS</w:t>
      </w:r>
    </w:p>
    <w:p>
      <w:r>
        <w:t>Sin alergias medicamentosas conocidas (NKDA).</w:t>
      </w:r>
    </w:p>
    <w:p>
      <w:pPr>
        <w:pStyle w:val="Heading2"/>
      </w:pPr>
      <w:r>
        <w:t>PRESCRIPCIONES AL ALTA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N.º</w:t>
            </w:r>
          </w:p>
        </w:tc>
        <w:tc>
          <w:tcPr>
            <w:tcW w:type="dxa" w:w="960"/>
          </w:tcPr>
          <w:p>
            <w:r>
              <w:t>Medicamento</w:t>
            </w:r>
          </w:p>
        </w:tc>
        <w:tc>
          <w:tcPr>
            <w:tcW w:type="dxa" w:w="960"/>
          </w:tcPr>
          <w:p>
            <w:r>
              <w:t>Concentración</w:t>
            </w:r>
          </w:p>
        </w:tc>
        <w:tc>
          <w:tcPr>
            <w:tcW w:type="dxa" w:w="960"/>
          </w:tcPr>
          <w:p>
            <w:r>
              <w:t>Dosis</w:t>
            </w:r>
          </w:p>
        </w:tc>
        <w:tc>
          <w:tcPr>
            <w:tcW w:type="dxa" w:w="960"/>
          </w:tcPr>
          <w:p>
            <w:r>
              <w:t>Frecuencia</w:t>
            </w:r>
          </w:p>
        </w:tc>
        <w:tc>
          <w:tcPr>
            <w:tcW w:type="dxa" w:w="960"/>
          </w:tcPr>
          <w:p>
            <w:r>
              <w:t>Vía</w:t>
            </w:r>
          </w:p>
        </w:tc>
        <w:tc>
          <w:tcPr>
            <w:tcW w:type="dxa" w:w="960"/>
          </w:tcPr>
          <w:p>
            <w:r>
              <w:t>Duración</w:t>
            </w:r>
          </w:p>
        </w:tc>
        <w:tc>
          <w:tcPr>
            <w:tcW w:type="dxa" w:w="960"/>
          </w:tcPr>
          <w:p>
            <w:r>
              <w:t>Observaciones</w:t>
            </w:r>
          </w:p>
        </w:tc>
        <w:tc>
          <w:tcPr>
            <w:tcW w:type="dxa" w:w="960"/>
          </w:tcPr>
          <w:p>
            <w:r>
              <w:t>Cantidad total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Ondansetrón</w:t>
            </w:r>
          </w:p>
        </w:tc>
        <w:tc>
          <w:tcPr>
            <w:tcW w:type="dxa" w:w="960"/>
          </w:tcPr>
          <w:p>
            <w:r>
              <w:t>4 mg</w:t>
            </w:r>
          </w:p>
        </w:tc>
        <w:tc>
          <w:tcPr>
            <w:tcW w:type="dxa" w:w="960"/>
          </w:tcPr>
          <w:p>
            <w:r>
              <w:t>1 comprimido</w:t>
            </w:r>
          </w:p>
        </w:tc>
        <w:tc>
          <w:tcPr>
            <w:tcW w:type="dxa" w:w="960"/>
          </w:tcPr>
          <w:p>
            <w:r>
              <w:t>q8h PRN</w:t>
            </w:r>
          </w:p>
        </w:tc>
        <w:tc>
          <w:tcPr>
            <w:tcW w:type="dxa" w:w="960"/>
          </w:tcPr>
          <w:p>
            <w:r>
              <w:t>ORAL</w:t>
            </w:r>
          </w:p>
        </w:tc>
        <w:tc>
          <w:tcPr>
            <w:tcW w:type="dxa" w:w="960"/>
          </w:tcPr>
          <w:p>
            <w:r>
              <w:t>5 días</w:t>
            </w:r>
          </w:p>
        </w:tc>
        <w:tc>
          <w:tcPr>
            <w:tcW w:type="dxa" w:w="960"/>
          </w:tcPr>
          <w:p>
            <w:r>
              <w:t>En caso de náuseas o vómitos</w:t>
            </w:r>
          </w:p>
        </w:tc>
        <w:tc>
          <w:tcPr>
            <w:tcW w:type="dxa" w:w="960"/>
          </w:tcPr>
          <w:p>
            <w:r>
              <w:t>15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Paracetamol</w:t>
            </w:r>
          </w:p>
        </w:tc>
        <w:tc>
          <w:tcPr>
            <w:tcW w:type="dxa" w:w="960"/>
          </w:tcPr>
          <w:p>
            <w:r>
              <w:t>500 mg</w:t>
            </w:r>
          </w:p>
        </w:tc>
        <w:tc>
          <w:tcPr>
            <w:tcW w:type="dxa" w:w="960"/>
          </w:tcPr>
          <w:p>
            <w:r>
              <w:t>1 comprimido</w:t>
            </w:r>
          </w:p>
        </w:tc>
        <w:tc>
          <w:tcPr>
            <w:tcW w:type="dxa" w:w="960"/>
          </w:tcPr>
          <w:p>
            <w:r>
              <w:t>q6h PRN</w:t>
            </w:r>
          </w:p>
        </w:tc>
        <w:tc>
          <w:tcPr>
            <w:tcW w:type="dxa" w:w="960"/>
          </w:tcPr>
          <w:p>
            <w:r>
              <w:t>ORAL</w:t>
            </w:r>
          </w:p>
        </w:tc>
        <w:tc>
          <w:tcPr>
            <w:tcW w:type="dxa" w:w="960"/>
          </w:tcPr>
          <w:p>
            <w:r>
              <w:t>5 días</w:t>
            </w:r>
          </w:p>
        </w:tc>
        <w:tc>
          <w:tcPr>
            <w:tcW w:type="dxa" w:w="960"/>
          </w:tcPr>
          <w:p>
            <w:r>
              <w:t>Si fiebre superior a 38 °C</w:t>
            </w:r>
          </w:p>
        </w:tc>
        <w:tc>
          <w:tcPr>
            <w:tcW w:type="dxa" w:w="960"/>
          </w:tcPr>
          <w:p>
            <w:r>
              <w:t>20</w:t>
            </w:r>
          </w:p>
        </w:tc>
      </w:tr>
    </w:tbl>
    <w:p>
      <w:pPr>
        <w:pStyle w:val="Heading2"/>
      </w:pPr>
      <w:r>
        <w:t>CITA DE SEGUIMIENTO</w:t>
      </w:r>
    </w:p>
    <w:p>
      <w:r>
        <w:t>Revisión con la Dra. Elena Ruiz (medicina de atención primaria) el 2026-06-16.</w:t>
      </w:r>
    </w:p>
    <w:p>
      <w:r>
        <w:t>Analítica de control (electrolitos y función renal) en la misma visita.</w:t>
      </w:r>
    </w:p>
    <w:p>
      <w:pPr>
        <w:pStyle w:val="Heading2"/>
      </w:pPr>
      <w:r>
        <w:t>INSTRUCCIONES AL ALTA</w:t>
      </w:r>
    </w:p>
    <w:p>
      <w:pPr>
        <w:pStyle w:val="ListBullet"/>
      </w:pPr>
      <w:r>
        <w:t>Mantener hidratación oral abundante con solución de rehidratación; al menos 2 litros diarios.</w:t>
      </w:r>
    </w:p>
    <w:p>
      <w:pPr>
        <w:pStyle w:val="ListBullet"/>
      </w:pPr>
      <w:r>
        <w:t>Dieta blanda y progresiva: arroz, plátano, tostadas y caldo; evitar lácteos, fritos y cafeína durante 5 días.</w:t>
      </w:r>
    </w:p>
    <w:p>
      <w:pPr>
        <w:pStyle w:val="ListBullet"/>
      </w:pPr>
      <w:r>
        <w:t>Lavado de manos frecuente para evitar la transmisión doméstica.</w:t>
      </w:r>
    </w:p>
    <w:p>
      <w:pPr>
        <w:pStyle w:val="ListBullet"/>
      </w:pPr>
      <w:r>
        <w:t>Acudir a urgencias si aparecen sangre en las heces, vómitos persistentes, fiebre superior a 39 °C o signos de deshidratación grave.</w:t>
      </w:r>
    </w:p>
    <w:p>
      <w:pPr>
        <w:pStyle w:val="ListBullet"/>
      </w:pPr>
      <w:r>
        <w:t>Asesoramiento farmacéutico completado para toda la medicación al alta.</w:t>
      </w:r>
    </w:p>
    <w:p/>
    <w:p>
      <w:r>
        <w:t>Fin del documento — generado el 2026-06-06 a las 13:20 CEST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