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96045E" w14:textId="77777777" w:rsidR="00AE5C93" w:rsidRDefault="00000000">
      <w:pPr>
        <w:spacing w:after="40"/>
        <w:jc w:val="center"/>
      </w:pPr>
      <w:r>
        <w:rPr>
          <w:b/>
          <w:color w:val="003366"/>
          <w:sz w:val="36"/>
        </w:rPr>
        <w:t>PROJECT REPORT: REAL-TIME FINANCIAL FRAUD DETECTION DATA PIPELINE ON AZURE</w:t>
      </w:r>
    </w:p>
    <w:p w14:paraId="123247BE" w14:textId="1AE65A0F" w:rsidR="00AE5C93" w:rsidRDefault="00000000">
      <w:pPr>
        <w:spacing w:after="320"/>
        <w:jc w:val="center"/>
      </w:pPr>
      <w:r>
        <w:rPr>
          <w:i/>
          <w:color w:val="666666"/>
          <w:sz w:val="20"/>
        </w:rPr>
        <w:t xml:space="preserve">Author: Somesh </w:t>
      </w:r>
      <w:r w:rsidR="001007BA">
        <w:rPr>
          <w:i/>
          <w:color w:val="666666"/>
          <w:sz w:val="20"/>
        </w:rPr>
        <w:t xml:space="preserve">Kumar </w:t>
      </w:r>
      <w:r>
        <w:rPr>
          <w:i/>
          <w:color w:val="666666"/>
          <w:sz w:val="20"/>
        </w:rPr>
        <w:t>Banjare | Architecture: Medallion (Bronze, Silver, Gold) | Technology: Azure Cloud &amp; Databricks</w:t>
      </w:r>
    </w:p>
    <w:p w14:paraId="2DF70357" w14:textId="77777777" w:rsidR="00AE5C93" w:rsidRDefault="00000000">
      <w:pPr>
        <w:spacing w:after="240"/>
      </w:pPr>
      <w:r>
        <w:rPr>
          <w:b/>
          <w:color w:val="4682B4"/>
        </w:rPr>
        <w:t>__________________________________________________________________________________________________</w:t>
      </w:r>
    </w:p>
    <w:p w14:paraId="7847E6BC" w14:textId="77777777" w:rsidR="00AE5C93" w:rsidRDefault="00000000">
      <w:pPr>
        <w:keepNext/>
        <w:spacing w:before="280" w:after="80"/>
      </w:pPr>
      <w:r>
        <w:rPr>
          <w:b/>
          <w:color w:val="003366"/>
          <w:sz w:val="32"/>
        </w:rPr>
        <w:t>1. Executive Summary</w:t>
      </w:r>
    </w:p>
    <w:p w14:paraId="796BBB18" w14:textId="77777777" w:rsidR="00AE5C93" w:rsidRDefault="00000000">
      <w:pPr>
        <w:spacing w:after="160"/>
      </w:pPr>
      <w:r>
        <w:t>This project presents an advanced, end-to-end cloud-based Data Engineering solution designed to ingest, process, and analyze financial transaction data for fraud detection. The primary objective is to implement a robust, scalable architecture capable of handling both batch historical data and near real-time streaming data. By leveraging the industry-standard Medallion Architecture (Bronze, Silver, and Gold layers), the pipeline ensures data purity, structured transformation, and analytics readiness. The processed datasets are ultimately modeled and visualized inside a comprehensive Power BI dashboard, providing organizations with actionable insights into transaction safety, device patterns, and geographical risk factors.</w:t>
      </w:r>
    </w:p>
    <w:p w14:paraId="34F59137" w14:textId="77777777" w:rsidR="00AE5C93" w:rsidRDefault="00000000">
      <w:pPr>
        <w:keepNext/>
        <w:spacing w:before="280" w:after="80"/>
      </w:pPr>
      <w:r>
        <w:rPr>
          <w:b/>
          <w:color w:val="003366"/>
          <w:sz w:val="32"/>
        </w:rPr>
        <w:t>2. System Architecture &amp; Data Flow</w:t>
      </w:r>
    </w:p>
    <w:p w14:paraId="4BD0AA72" w14:textId="77777777" w:rsidR="00AE5C93" w:rsidRDefault="00000000">
      <w:pPr>
        <w:spacing w:after="120"/>
      </w:pPr>
      <w:r>
        <w:t>The data pipeline integrates heterogeneous data sources and orchestrates transformations through structural cloud components managed under dedicated Azure Resource Groups. The sequential flow of data is governed as follows:</w:t>
      </w:r>
    </w:p>
    <w:p w14:paraId="1F27AB7C" w14:textId="77777777" w:rsidR="00AE5C93" w:rsidRDefault="00000000">
      <w:pPr>
        <w:pStyle w:val="ListBullet"/>
        <w:spacing w:after="60"/>
      </w:pPr>
      <w:r>
        <w:rPr>
          <w:b/>
        </w:rPr>
        <w:t xml:space="preserve">Batch Ingestion Path: </w:t>
      </w:r>
      <w:r>
        <w:t>Historical credit card data from a Kaggle dataset is integrated and securely extracted using Azure Data Factory (ADF) pipelines, which landing the raw files directly into the centralized storage system.</w:t>
      </w:r>
    </w:p>
    <w:p w14:paraId="4FEA863E" w14:textId="77777777" w:rsidR="00AE5C93" w:rsidRDefault="00000000">
      <w:pPr>
        <w:pStyle w:val="ListBullet"/>
        <w:spacing w:after="60"/>
      </w:pPr>
      <w:r>
        <w:rPr>
          <w:b/>
        </w:rPr>
        <w:t xml:space="preserve">Streaming Path Simulation: </w:t>
      </w:r>
      <w:r>
        <w:t>A dedicated Python script acts as a live transaction generator, automatically outputting transaction entries as JSON payloads to simulate a continuous production stream into Azure Data Lake Storage Gen2.</w:t>
      </w:r>
    </w:p>
    <w:p w14:paraId="732CDC53" w14:textId="77777777" w:rsidR="00AE5C93" w:rsidRDefault="00000000">
      <w:pPr>
        <w:pStyle w:val="ListBullet"/>
        <w:spacing w:after="60"/>
      </w:pPr>
      <w:r>
        <w:rPr>
          <w:b/>
        </w:rPr>
        <w:t xml:space="preserve">Bronze Layer (Raw Storage): </w:t>
      </w:r>
      <w:r>
        <w:t>Acts as the initial drop-zone within Azure Data Lake Storage Gen2 (ADLS), storing all unstructured batch CSV and streaming JSON inputs in their unaltered, native formatting.</w:t>
      </w:r>
    </w:p>
    <w:p w14:paraId="1B0D5A42" w14:textId="77777777" w:rsidR="00AE5C93" w:rsidRDefault="00000000">
      <w:pPr>
        <w:pStyle w:val="ListBullet"/>
        <w:spacing w:after="60"/>
      </w:pPr>
      <w:r>
        <w:rPr>
          <w:b/>
        </w:rPr>
        <w:t xml:space="preserve">Silver Layer (Data Cleansing): </w:t>
      </w:r>
      <w:r>
        <w:t>Governed by Azure Databricks notebooks, where distributed PySpark execution eliminates duplicate records, performs essential feature engineering, and applies standard validation policies.</w:t>
      </w:r>
    </w:p>
    <w:p w14:paraId="6A4C646D" w14:textId="77777777" w:rsidR="00AE5C93" w:rsidRDefault="00000000">
      <w:pPr>
        <w:pStyle w:val="ListBullet"/>
        <w:spacing w:after="60"/>
      </w:pPr>
      <w:r>
        <w:rPr>
          <w:b/>
        </w:rPr>
        <w:t xml:space="preserve">Gold Layer (Business Analytics): </w:t>
      </w:r>
      <w:r>
        <w:t>Consolidates fully refined, business-aggregated datasets structured explicitly for specialized reporting, business intelligence query performance, and predictive dashboarding.</w:t>
      </w:r>
    </w:p>
    <w:p w14:paraId="0FB58A42" w14:textId="77777777" w:rsidR="00AE5C93" w:rsidRDefault="00000000">
      <w:pPr>
        <w:pStyle w:val="ListBullet"/>
        <w:spacing w:after="60"/>
      </w:pPr>
      <w:r>
        <w:rPr>
          <w:b/>
        </w:rPr>
        <w:t xml:space="preserve">Visualization Layer: </w:t>
      </w:r>
      <w:r>
        <w:t>Power BI connects directly to the Gold schema datasets to monitor core Key Performance Indicators (KPIs) and map analytical trends.</w:t>
      </w:r>
    </w:p>
    <w:p w14:paraId="4285C597" w14:textId="77777777" w:rsidR="00AE5C93" w:rsidRDefault="00000000">
      <w:pPr>
        <w:keepNext/>
        <w:spacing w:before="280" w:after="80"/>
      </w:pPr>
      <w:r>
        <w:rPr>
          <w:b/>
          <w:color w:val="003366"/>
          <w:sz w:val="32"/>
        </w:rPr>
        <w:lastRenderedPageBreak/>
        <w:t>3. Core Components &amp; Core Functionalities</w:t>
      </w:r>
    </w:p>
    <w:tbl>
      <w:tblPr>
        <w:tblW w:w="0" w:type="auto"/>
        <w:jc w:val="center"/>
        <w:tblLayout w:type="fixed"/>
        <w:tblLook w:val="04A0" w:firstRow="1" w:lastRow="0" w:firstColumn="1" w:lastColumn="0" w:noHBand="0" w:noVBand="1"/>
      </w:tblPr>
      <w:tblGrid>
        <w:gridCol w:w="3168"/>
        <w:gridCol w:w="6192"/>
      </w:tblGrid>
      <w:tr w:rsidR="00AE5C93" w14:paraId="7C933BB6" w14:textId="77777777">
        <w:trPr>
          <w:jc w:val="center"/>
        </w:trPr>
        <w:tc>
          <w:tcPr>
            <w:tcW w:w="3168" w:type="dxa"/>
            <w:shd w:val="clear" w:color="auto" w:fill="003366"/>
            <w:tcMar>
              <w:top w:w="120" w:type="dxa"/>
              <w:left w:w="120" w:type="dxa"/>
              <w:bottom w:w="120" w:type="dxa"/>
              <w:right w:w="120" w:type="dxa"/>
            </w:tcMar>
          </w:tcPr>
          <w:p w14:paraId="20FA13DD" w14:textId="77777777" w:rsidR="00AE5C93" w:rsidRDefault="00000000">
            <w:r>
              <w:rPr>
                <w:b/>
                <w:color w:val="FFFFFF"/>
              </w:rPr>
              <w:t>Azure Service / Component</w:t>
            </w:r>
          </w:p>
        </w:tc>
        <w:tc>
          <w:tcPr>
            <w:tcW w:w="6192" w:type="dxa"/>
            <w:shd w:val="clear" w:color="auto" w:fill="003366"/>
            <w:tcMar>
              <w:top w:w="120" w:type="dxa"/>
              <w:left w:w="120" w:type="dxa"/>
              <w:bottom w:w="120" w:type="dxa"/>
              <w:right w:w="120" w:type="dxa"/>
            </w:tcMar>
          </w:tcPr>
          <w:p w14:paraId="34D8CF3E" w14:textId="77777777" w:rsidR="00AE5C93" w:rsidRDefault="00000000">
            <w:r>
              <w:rPr>
                <w:b/>
                <w:color w:val="FFFFFF"/>
              </w:rPr>
              <w:t>Project Purpose &amp; Functional Scope</w:t>
            </w:r>
          </w:p>
        </w:tc>
      </w:tr>
      <w:tr w:rsidR="00AE5C93" w14:paraId="7DF8DD77" w14:textId="77777777">
        <w:trPr>
          <w:jc w:val="center"/>
        </w:trPr>
        <w:tc>
          <w:tcPr>
            <w:tcW w:w="3168" w:type="dxa"/>
            <w:tcMar>
              <w:top w:w="100" w:type="dxa"/>
              <w:left w:w="120" w:type="dxa"/>
              <w:bottom w:w="100" w:type="dxa"/>
              <w:right w:w="120" w:type="dxa"/>
            </w:tcMar>
            <w:vAlign w:val="center"/>
          </w:tcPr>
          <w:p w14:paraId="3766AC2E" w14:textId="77777777" w:rsidR="00AE5C93" w:rsidRDefault="00000000">
            <w:r>
              <w:rPr>
                <w:b/>
              </w:rPr>
              <w:t>Azure Data Factory (ADF)</w:t>
            </w:r>
          </w:p>
        </w:tc>
        <w:tc>
          <w:tcPr>
            <w:tcW w:w="6192" w:type="dxa"/>
            <w:tcMar>
              <w:top w:w="100" w:type="dxa"/>
              <w:left w:w="120" w:type="dxa"/>
              <w:bottom w:w="100" w:type="dxa"/>
              <w:right w:w="120" w:type="dxa"/>
            </w:tcMar>
            <w:vAlign w:val="center"/>
          </w:tcPr>
          <w:p w14:paraId="78E82C4F" w14:textId="77777777" w:rsidR="00AE5C93" w:rsidRDefault="00000000">
            <w:r>
              <w:t>Serves as the data orchestration engine, managing pipeline copy activities, connection schedules, and structured ingestion workloads.</w:t>
            </w:r>
          </w:p>
        </w:tc>
      </w:tr>
      <w:tr w:rsidR="00AE5C93" w14:paraId="2A3DDE93" w14:textId="77777777">
        <w:trPr>
          <w:jc w:val="center"/>
        </w:trPr>
        <w:tc>
          <w:tcPr>
            <w:tcW w:w="3168" w:type="dxa"/>
            <w:shd w:val="clear" w:color="auto" w:fill="F4F7FA"/>
            <w:tcMar>
              <w:top w:w="100" w:type="dxa"/>
              <w:left w:w="120" w:type="dxa"/>
              <w:bottom w:w="100" w:type="dxa"/>
              <w:right w:w="120" w:type="dxa"/>
            </w:tcMar>
            <w:vAlign w:val="center"/>
          </w:tcPr>
          <w:p w14:paraId="4F55075B" w14:textId="77777777" w:rsidR="00AE5C93" w:rsidRDefault="00000000">
            <w:r>
              <w:rPr>
                <w:b/>
              </w:rPr>
              <w:t>Azure Data Lake Storage Gen2</w:t>
            </w:r>
          </w:p>
        </w:tc>
        <w:tc>
          <w:tcPr>
            <w:tcW w:w="6192" w:type="dxa"/>
            <w:shd w:val="clear" w:color="auto" w:fill="F4F7FA"/>
            <w:tcMar>
              <w:top w:w="100" w:type="dxa"/>
              <w:left w:w="120" w:type="dxa"/>
              <w:bottom w:w="100" w:type="dxa"/>
              <w:right w:w="120" w:type="dxa"/>
            </w:tcMar>
            <w:vAlign w:val="center"/>
          </w:tcPr>
          <w:p w14:paraId="0C0801E8" w14:textId="77777777" w:rsidR="00AE5C93" w:rsidRDefault="00000000">
            <w:r>
              <w:t>Functions as the hierarchical enterprise data lake hosting the multi-tier Medallion architecture (Bronze, Silver, Gold folders).</w:t>
            </w:r>
          </w:p>
        </w:tc>
      </w:tr>
      <w:tr w:rsidR="00AE5C93" w14:paraId="1B8CFDF4" w14:textId="77777777">
        <w:trPr>
          <w:jc w:val="center"/>
        </w:trPr>
        <w:tc>
          <w:tcPr>
            <w:tcW w:w="3168" w:type="dxa"/>
            <w:tcMar>
              <w:top w:w="100" w:type="dxa"/>
              <w:left w:w="120" w:type="dxa"/>
              <w:bottom w:w="100" w:type="dxa"/>
              <w:right w:w="120" w:type="dxa"/>
            </w:tcMar>
            <w:vAlign w:val="center"/>
          </w:tcPr>
          <w:p w14:paraId="22907735" w14:textId="77777777" w:rsidR="00AE5C93" w:rsidRDefault="00000000">
            <w:r>
              <w:rPr>
                <w:b/>
              </w:rPr>
              <w:t>Azure Databricks</w:t>
            </w:r>
          </w:p>
        </w:tc>
        <w:tc>
          <w:tcPr>
            <w:tcW w:w="6192" w:type="dxa"/>
            <w:tcMar>
              <w:top w:w="100" w:type="dxa"/>
              <w:left w:w="120" w:type="dxa"/>
              <w:bottom w:w="100" w:type="dxa"/>
              <w:right w:w="120" w:type="dxa"/>
            </w:tcMar>
            <w:vAlign w:val="center"/>
          </w:tcPr>
          <w:p w14:paraId="1B3A02E0" w14:textId="77777777" w:rsidR="00AE5C93" w:rsidRDefault="00000000">
            <w:r>
              <w:t>Provides the distributed cluster computing engine leveraging PySpark for algorithmic transformations, cleaning, and risk computation.</w:t>
            </w:r>
          </w:p>
        </w:tc>
      </w:tr>
      <w:tr w:rsidR="00AE5C93" w14:paraId="2522C36D" w14:textId="77777777">
        <w:trPr>
          <w:jc w:val="center"/>
        </w:trPr>
        <w:tc>
          <w:tcPr>
            <w:tcW w:w="3168" w:type="dxa"/>
            <w:shd w:val="clear" w:color="auto" w:fill="F4F7FA"/>
            <w:tcMar>
              <w:top w:w="100" w:type="dxa"/>
              <w:left w:w="120" w:type="dxa"/>
              <w:bottom w:w="100" w:type="dxa"/>
              <w:right w:w="120" w:type="dxa"/>
            </w:tcMar>
            <w:vAlign w:val="center"/>
          </w:tcPr>
          <w:p w14:paraId="0AF7446C" w14:textId="77777777" w:rsidR="00AE5C93" w:rsidRDefault="00000000">
            <w:r>
              <w:rPr>
                <w:b/>
              </w:rPr>
              <w:t>Power BI Desktop</w:t>
            </w:r>
          </w:p>
        </w:tc>
        <w:tc>
          <w:tcPr>
            <w:tcW w:w="6192" w:type="dxa"/>
            <w:shd w:val="clear" w:color="auto" w:fill="F4F7FA"/>
            <w:tcMar>
              <w:top w:w="100" w:type="dxa"/>
              <w:left w:w="120" w:type="dxa"/>
              <w:bottom w:w="100" w:type="dxa"/>
              <w:right w:w="120" w:type="dxa"/>
            </w:tcMar>
            <w:vAlign w:val="center"/>
          </w:tcPr>
          <w:p w14:paraId="4B08A159" w14:textId="77777777" w:rsidR="00AE5C93" w:rsidRDefault="00000000">
            <w:r>
              <w:t>Establishes a semantic visualization layer executing multi-axis data cross-filtering, trend lines, and fraud KPI summaries.</w:t>
            </w:r>
          </w:p>
        </w:tc>
      </w:tr>
      <w:tr w:rsidR="00AE5C93" w14:paraId="45F209AE" w14:textId="77777777">
        <w:trPr>
          <w:jc w:val="center"/>
        </w:trPr>
        <w:tc>
          <w:tcPr>
            <w:tcW w:w="3168" w:type="dxa"/>
            <w:tcMar>
              <w:top w:w="100" w:type="dxa"/>
              <w:left w:w="120" w:type="dxa"/>
              <w:bottom w:w="100" w:type="dxa"/>
              <w:right w:w="120" w:type="dxa"/>
            </w:tcMar>
            <w:vAlign w:val="center"/>
          </w:tcPr>
          <w:p w14:paraId="41AFFC3F" w14:textId="77777777" w:rsidR="00AE5C93" w:rsidRDefault="00000000">
            <w:r>
              <w:rPr>
                <w:b/>
              </w:rPr>
              <w:t>Azure Resource Group</w:t>
            </w:r>
          </w:p>
        </w:tc>
        <w:tc>
          <w:tcPr>
            <w:tcW w:w="6192" w:type="dxa"/>
            <w:tcMar>
              <w:top w:w="100" w:type="dxa"/>
              <w:left w:w="120" w:type="dxa"/>
              <w:bottom w:w="100" w:type="dxa"/>
              <w:right w:w="120" w:type="dxa"/>
            </w:tcMar>
            <w:vAlign w:val="center"/>
          </w:tcPr>
          <w:p w14:paraId="176CD9F3" w14:textId="77777777" w:rsidR="00AE5C93" w:rsidRDefault="00000000">
            <w:r>
              <w:t>Provides unified access management, lifecycle tracking, and structured deployment grouping for all provisioned cloud resources.</w:t>
            </w:r>
          </w:p>
        </w:tc>
      </w:tr>
    </w:tbl>
    <w:p w14:paraId="716A4035" w14:textId="77777777" w:rsidR="00AE5C93" w:rsidRDefault="00AE5C93">
      <w:pPr>
        <w:spacing w:before="120" w:after="40"/>
      </w:pPr>
    </w:p>
    <w:p w14:paraId="142E35F4" w14:textId="77777777" w:rsidR="00AE5C93" w:rsidRDefault="00000000">
      <w:pPr>
        <w:keepNext/>
        <w:spacing w:before="280" w:after="80"/>
      </w:pPr>
      <w:r>
        <w:rPr>
          <w:b/>
          <w:color w:val="003366"/>
          <w:sz w:val="32"/>
        </w:rPr>
        <w:t>4. Data Engineering Workloads &amp; Transformation Logic</w:t>
      </w:r>
    </w:p>
    <w:p w14:paraId="4BD89F7E" w14:textId="77777777" w:rsidR="00AE5C93" w:rsidRDefault="00000000">
      <w:pPr>
        <w:spacing w:after="80"/>
      </w:pPr>
      <w:r>
        <w:t>Using distributed PySpark notebooks executed within Azure Databricks, the raw data undergoes strict processing to convert it from highly unorganized logs into verified analytics datasets. The workflow enforces the following engineering guidelines:</w:t>
      </w:r>
    </w:p>
    <w:p w14:paraId="506B740C" w14:textId="77777777" w:rsidR="00AE5C93" w:rsidRDefault="00000000">
      <w:pPr>
        <w:pStyle w:val="ListBullet"/>
        <w:spacing w:after="60"/>
      </w:pPr>
      <w:r>
        <w:rPr>
          <w:b/>
        </w:rPr>
        <w:t xml:space="preserve">Deduplication &amp; Schema Integrity: </w:t>
      </w:r>
      <w:r>
        <w:t>Transactions are checked against unique constraint fields, specifically mapping individual transaction identifiers to eliminate overlapping batch and streaming payloads.</w:t>
      </w:r>
    </w:p>
    <w:p w14:paraId="454FD0F1" w14:textId="77777777" w:rsidR="00AE5C93" w:rsidRDefault="00000000">
      <w:pPr>
        <w:pStyle w:val="ListBullet"/>
        <w:spacing w:after="60"/>
      </w:pPr>
      <w:r>
        <w:rPr>
          <w:b/>
        </w:rPr>
        <w:t xml:space="preserve">Feature Engineering &amp; Classification: </w:t>
      </w:r>
      <w:r>
        <w:t>Algorithmic transformation logic computes transaction boundaries, identifies device fingerprint anomalies, and compares geographical metadata parameters to calculate risk factors.</w:t>
      </w:r>
    </w:p>
    <w:p w14:paraId="220F8C90" w14:textId="77777777" w:rsidR="00AE5C93" w:rsidRDefault="00000000">
      <w:pPr>
        <w:pStyle w:val="ListBullet"/>
        <w:spacing w:after="60"/>
      </w:pPr>
      <w:r>
        <w:rPr>
          <w:b/>
        </w:rPr>
        <w:t xml:space="preserve">Risk Level Categorization: </w:t>
      </w:r>
      <w:r>
        <w:t>A programmatic risk framework automatically segments incoming entries into descriptive risk levels based on multi-factor properties, enabling optimized down-stream alerting.</w:t>
      </w:r>
    </w:p>
    <w:p w14:paraId="49903014" w14:textId="77777777" w:rsidR="00AE5C93" w:rsidRDefault="00000000">
      <w:pPr>
        <w:pStyle w:val="ListBullet"/>
        <w:spacing w:after="60"/>
      </w:pPr>
      <w:r>
        <w:rPr>
          <w:b/>
        </w:rPr>
        <w:t xml:space="preserve">Analytical Structuring: </w:t>
      </w:r>
      <w:r>
        <w:t>Final data models are aggregated in the Gold layer to produce specialized views including high-risk summaries, transaction volume trends, and location-centric risk maps.</w:t>
      </w:r>
    </w:p>
    <w:p w14:paraId="3B9138D9" w14:textId="77777777" w:rsidR="00AE5C93" w:rsidRDefault="00000000">
      <w:pPr>
        <w:keepNext/>
        <w:spacing w:before="280" w:after="80"/>
      </w:pPr>
      <w:r>
        <w:rPr>
          <w:b/>
          <w:color w:val="003366"/>
          <w:sz w:val="32"/>
        </w:rPr>
        <w:lastRenderedPageBreak/>
        <w:t>5. Business Intelligence &amp; Reporting Objectives</w:t>
      </w:r>
    </w:p>
    <w:p w14:paraId="4D3E9E8B" w14:textId="77777777" w:rsidR="00AE5C93" w:rsidRDefault="00000000">
      <w:pPr>
        <w:spacing w:after="80"/>
      </w:pPr>
      <w:r>
        <w:t>The analytical layer inside Power BI consumes the refined business data from the Gold layer to produce a single, unified operations control interface. The analytics implementation targets specific operational tracking domains:</w:t>
      </w:r>
    </w:p>
    <w:p w14:paraId="76551FCC" w14:textId="77777777" w:rsidR="00AE5C93" w:rsidRDefault="00000000">
      <w:pPr>
        <w:pStyle w:val="ListBullet"/>
        <w:spacing w:after="60"/>
      </w:pPr>
      <w:r>
        <w:rPr>
          <w:b/>
        </w:rPr>
        <w:t xml:space="preserve">Fraud Risk Distribution: </w:t>
      </w:r>
      <w:r>
        <w:t>A complete analytical breakdown illustrating the volume split between safe, suspicious, and highly critical transactions.</w:t>
      </w:r>
    </w:p>
    <w:p w14:paraId="3AB1C521" w14:textId="77777777" w:rsidR="00AE5C93" w:rsidRDefault="00000000">
      <w:pPr>
        <w:pStyle w:val="ListBullet"/>
        <w:spacing w:after="60"/>
      </w:pPr>
      <w:r>
        <w:rPr>
          <w:b/>
        </w:rPr>
        <w:t xml:space="preserve">High-Value Vulnerability Monitoring: </w:t>
      </w:r>
      <w:r>
        <w:t>Dedicated financial visual filtering that extracts and highlights high-dollar anomalies that cross risk thresholds.</w:t>
      </w:r>
    </w:p>
    <w:p w14:paraId="50E44BBE" w14:textId="77777777" w:rsidR="00AE5C93" w:rsidRDefault="00000000">
      <w:pPr>
        <w:pStyle w:val="ListBullet"/>
        <w:spacing w:after="60"/>
      </w:pPr>
      <w:r>
        <w:rPr>
          <w:b/>
        </w:rPr>
        <w:t xml:space="preserve">Device &amp; Operational Context: </w:t>
      </w:r>
      <w:r>
        <w:t>Cross-referencing hardware and device category data to pinpoint high-frequency fraudulent transaction trends.</w:t>
      </w:r>
    </w:p>
    <w:p w14:paraId="613AA02C" w14:textId="77777777" w:rsidR="00AE5C93" w:rsidRDefault="00000000">
      <w:pPr>
        <w:pStyle w:val="ListBullet"/>
        <w:spacing w:after="60"/>
      </w:pPr>
      <w:r>
        <w:rPr>
          <w:b/>
        </w:rPr>
        <w:t xml:space="preserve">Geographical Tracking &amp; Trends: </w:t>
      </w:r>
      <w:r>
        <w:t>City-wise and location-based visualization layouts mapping spatial spikes in fraud occurrence over continuous timelines.</w:t>
      </w:r>
    </w:p>
    <w:p w14:paraId="211FA442" w14:textId="77777777" w:rsidR="00AE5C93" w:rsidRDefault="00000000">
      <w:pPr>
        <w:keepNext/>
        <w:spacing w:before="280" w:after="80"/>
      </w:pPr>
      <w:r>
        <w:rPr>
          <w:b/>
          <w:color w:val="003366"/>
          <w:sz w:val="32"/>
        </w:rPr>
        <w:t>6. Strategic Project Enhancements</w:t>
      </w:r>
    </w:p>
    <w:p w14:paraId="55ED3D82" w14:textId="77777777" w:rsidR="00AE5C93" w:rsidRDefault="00000000">
      <w:pPr>
        <w:spacing w:after="160"/>
      </w:pPr>
      <w:r>
        <w:t>To transition this enterprise blueprint toward full automated production, future versions will incorporate: (a) native real-time streaming ingestion utilizing Azure Event Hubs, (b) deployment of automated machine learning fraud models directly via Databricks MLflow, (c) instant operations notification alerting frameworks, and (d) full continuous integration and continuous deployment (CI/CD) pipelines for automated, multi-environment infrastructure provisioning.</w:t>
      </w:r>
    </w:p>
    <w:sectPr w:rsidR="00AE5C93"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78285224">
    <w:abstractNumId w:val="8"/>
  </w:num>
  <w:num w:numId="2" w16cid:durableId="2096629937">
    <w:abstractNumId w:val="6"/>
  </w:num>
  <w:num w:numId="3" w16cid:durableId="477455053">
    <w:abstractNumId w:val="5"/>
  </w:num>
  <w:num w:numId="4" w16cid:durableId="152841433">
    <w:abstractNumId w:val="4"/>
  </w:num>
  <w:num w:numId="5" w16cid:durableId="216749536">
    <w:abstractNumId w:val="7"/>
  </w:num>
  <w:num w:numId="6" w16cid:durableId="280572409">
    <w:abstractNumId w:val="3"/>
  </w:num>
  <w:num w:numId="7" w16cid:durableId="170485963">
    <w:abstractNumId w:val="2"/>
  </w:num>
  <w:num w:numId="8" w16cid:durableId="1006901846">
    <w:abstractNumId w:val="1"/>
  </w:num>
  <w:num w:numId="9" w16cid:durableId="4444267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07BA"/>
    <w:rsid w:val="0015074B"/>
    <w:rsid w:val="0029639D"/>
    <w:rsid w:val="00326F90"/>
    <w:rsid w:val="00787E02"/>
    <w:rsid w:val="00AA1D8D"/>
    <w:rsid w:val="00AE5C93"/>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5B3453"/>
  <w14:defaultImageDpi w14:val="300"/>
  <w15:docId w15:val="{3632229E-E8FA-4134-BBD2-86651B3AA8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3333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879</Words>
  <Characters>5016</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Somesh Banjare</cp:lastModifiedBy>
  <cp:revision>3</cp:revision>
  <dcterms:created xsi:type="dcterms:W3CDTF">2013-12-23T23:15:00Z</dcterms:created>
  <dcterms:modified xsi:type="dcterms:W3CDTF">2026-05-16T12:36:00Z</dcterms:modified>
  <cp:category/>
</cp:coreProperties>
</file>