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F1Next</w:t>
        <w:br/>
        <w:t>Machine Learning-Based Formula 1 Race and Championship Prediction</w:t>
      </w:r>
    </w:p>
    <w:p>
      <w:pPr>
        <w:jc w:val="center"/>
      </w:pPr>
      <w:r>
        <w:rPr>
          <w:i/>
          <w:sz w:val="26"/>
        </w:rPr>
        <w:t>Project Progress and Review 1 Documentation</w:t>
      </w:r>
    </w:p>
    <w:p/>
    <w:p>
      <w:pPr>
        <w:pStyle w:val="Heading1"/>
      </w:pPr>
      <w:r>
        <w:t>1. Project Overview</w:t>
      </w:r>
    </w:p>
    <w:p>
      <w:r>
        <w:t>F1Next is a machine learning project focused on analyzing historical Formula 1 race and qualifying data to predict driver race performance.</w:t>
      </w:r>
    </w:p>
    <w:p>
      <w:r>
        <w:t>The project currently contains two prediction tasks:</w:t>
      </w:r>
    </w:p>
    <w:p>
      <w:pPr>
        <w:pStyle w:val="ListBullet"/>
      </w:pPr>
      <w:r>
        <w:t>Regression: Predict the numerical finishing position of a driver.</w:t>
      </w:r>
    </w:p>
    <w:p>
      <w:pPr>
        <w:pStyle w:val="ListBullet"/>
      </w:pPr>
      <w:r>
        <w:t>Classification: Predict whether a driver will finish on the podium.</w:t>
      </w:r>
    </w:p>
    <w:p>
      <w:r>
        <w:t>The project follows a chronological forecasting approach so that future-season information is not used during model training.</w:t>
      </w:r>
    </w:p>
    <w:p>
      <w:pPr>
        <w:pStyle w:val="Heading1"/>
      </w:pPr>
      <w:r>
        <w:t>2. Project Objectives</w:t>
      </w:r>
    </w:p>
    <w:p>
      <w:pPr>
        <w:pStyle w:val="ListNumber"/>
      </w:pPr>
      <w:r>
        <w:t>Collect and integrate historical Formula 1 race and qualifying data.</w:t>
      </w:r>
    </w:p>
    <w:p>
      <w:pPr>
        <w:pStyle w:val="ListNumber"/>
      </w:pPr>
      <w:r>
        <w:t>Perform exploratory data analysis on the dataset.</w:t>
      </w:r>
    </w:p>
    <w:p>
      <w:pPr>
        <w:pStyle w:val="ListNumber"/>
      </w:pPr>
      <w:r>
        <w:t>Clean and preprocess the data.</w:t>
      </w:r>
    </w:p>
    <w:p>
      <w:pPr>
        <w:pStyle w:val="ListNumber"/>
      </w:pPr>
      <w:r>
        <w:t>Engineer historical driver and constructor performance features.</w:t>
      </w:r>
    </w:p>
    <w:p>
      <w:pPr>
        <w:pStyle w:val="ListNumber"/>
      </w:pPr>
      <w:r>
        <w:t>Build multiple regression models for finishing-position prediction.</w:t>
      </w:r>
    </w:p>
    <w:p>
      <w:pPr>
        <w:pStyle w:val="ListNumber"/>
      </w:pPr>
      <w:r>
        <w:t>Build multiple classification models for podium prediction.</w:t>
      </w:r>
    </w:p>
    <w:p>
      <w:pPr>
        <w:pStyle w:val="ListNumber"/>
      </w:pPr>
      <w:r>
        <w:t>Compare machine learning algorithms using appropriate evaluation metrics.</w:t>
      </w:r>
    </w:p>
    <w:p>
      <w:pPr>
        <w:pStyle w:val="ListNumber"/>
      </w:pPr>
      <w:r>
        <w:t>Perform cross-validation and hyperparameter tuning.</w:t>
      </w:r>
    </w:p>
    <w:p>
      <w:pPr>
        <w:pStyle w:val="ListNumber"/>
      </w:pPr>
      <w:r>
        <w:t>Evaluate the models on an unseen future season.</w:t>
      </w:r>
    </w:p>
    <w:p>
      <w:pPr>
        <w:pStyle w:val="ListNumber"/>
      </w:pPr>
      <w:r>
        <w:t>Prepare the system for future 2026 Formula 1 prediction.</w:t>
      </w:r>
    </w:p>
    <w:p>
      <w:pPr>
        <w:pStyle w:val="Heading1"/>
      </w:pPr>
      <w:r>
        <w:t>3. Dataset</w:t>
      </w:r>
    </w:p>
    <w:p>
      <w:r>
        <w:t>Historical Formula 1 race and qualifying datasets were collected for the seasons 2010 through 2025.</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sz w:val="18"/>
              </w:rPr>
              <w:t>Dataset</w:t>
            </w:r>
          </w:p>
        </w:tc>
        <w:tc>
          <w:tcPr>
            <w:tcW w:type="dxa" w:w="3312"/>
            <w:vAlign w:val="center"/>
          </w:tcPr>
          <w:p>
            <w:r>
              <w:rPr>
                <w:b/>
                <w:sz w:val="18"/>
              </w:rPr>
              <w:t>Seasons</w:t>
            </w:r>
          </w:p>
        </w:tc>
        <w:tc>
          <w:tcPr>
            <w:tcW w:type="dxa" w:w="3312"/>
            <w:vAlign w:val="center"/>
          </w:tcPr>
          <w:p>
            <w:r>
              <w:rPr>
                <w:b/>
                <w:sz w:val="18"/>
              </w:rPr>
              <w:t>Approximate Records</w:t>
            </w:r>
          </w:p>
        </w:tc>
      </w:tr>
      <w:tr>
        <w:tc>
          <w:tcPr>
            <w:tcW w:type="dxa" w:w="3312"/>
            <w:vAlign w:val="center"/>
          </w:tcPr>
          <w:p>
            <w:r>
              <w:rPr>
                <w:b w:val="0"/>
                <w:sz w:val="18"/>
              </w:rPr>
              <w:t>Race Results</w:t>
            </w:r>
          </w:p>
        </w:tc>
        <w:tc>
          <w:tcPr>
            <w:tcW w:type="dxa" w:w="3312"/>
            <w:vAlign w:val="center"/>
          </w:tcPr>
          <w:p>
            <w:r>
              <w:rPr>
                <w:b w:val="0"/>
                <w:sz w:val="18"/>
              </w:rPr>
              <w:t>2010–2025</w:t>
            </w:r>
          </w:p>
        </w:tc>
        <w:tc>
          <w:tcPr>
            <w:tcW w:type="dxa" w:w="3312"/>
            <w:vAlign w:val="center"/>
          </w:tcPr>
          <w:p>
            <w:r>
              <w:rPr>
                <w:b w:val="0"/>
                <w:sz w:val="18"/>
              </w:rPr>
              <w:t>6,911</w:t>
            </w:r>
          </w:p>
        </w:tc>
      </w:tr>
      <w:tr>
        <w:tc>
          <w:tcPr>
            <w:tcW w:type="dxa" w:w="3312"/>
            <w:vAlign w:val="center"/>
          </w:tcPr>
          <w:p>
            <w:r>
              <w:rPr>
                <w:b w:val="0"/>
                <w:sz w:val="18"/>
              </w:rPr>
              <w:t>Qualifying Results</w:t>
            </w:r>
          </w:p>
        </w:tc>
        <w:tc>
          <w:tcPr>
            <w:tcW w:type="dxa" w:w="3312"/>
            <w:vAlign w:val="center"/>
          </w:tcPr>
          <w:p>
            <w:r>
              <w:rPr>
                <w:b w:val="0"/>
                <w:sz w:val="18"/>
              </w:rPr>
              <w:t>2010–2025</w:t>
            </w:r>
          </w:p>
        </w:tc>
        <w:tc>
          <w:tcPr>
            <w:tcW w:type="dxa" w:w="3312"/>
            <w:vAlign w:val="center"/>
          </w:tcPr>
          <w:p>
            <w:r>
              <w:rPr>
                <w:b w:val="0"/>
                <w:sz w:val="18"/>
              </w:rPr>
              <w:t>6,891</w:t>
            </w:r>
          </w:p>
        </w:tc>
      </w:tr>
    </w:tbl>
    <w:p/>
    <w:p>
      <w:r>
        <w:t>Race and qualifying data were merged using the following keys:</w:t>
      </w:r>
    </w:p>
    <w:p>
      <w:pPr>
        <w:pStyle w:val="ListBullet"/>
      </w:pPr>
      <w:r>
        <w:t>season</w:t>
      </w:r>
    </w:p>
    <w:p>
      <w:pPr>
        <w:pStyle w:val="ListBullet"/>
      </w:pPr>
      <w:r>
        <w:t>round</w:t>
      </w:r>
    </w:p>
    <w:p>
      <w:pPr>
        <w:pStyle w:val="ListBullet"/>
      </w:pPr>
      <w:r>
        <w:t>driver_id</w:t>
      </w:r>
    </w:p>
    <w:p>
      <w:r>
        <w:t>The merged dataset contains 6,911 race-driver records.</w:t>
      </w:r>
    </w:p>
    <w:p>
      <w:pPr>
        <w:pStyle w:val="Heading1"/>
      </w:pPr>
      <w:r>
        <w:t>4. Data Integration</w:t>
      </w:r>
    </w:p>
    <w:p>
      <w:r>
        <w:t>Race-result and qualifying datasets were combined into a single dataset using season, race round, and driver ID.</w:t>
      </w:r>
    </w:p>
    <w:p>
      <w:r>
        <w:t>Duplicate checks were performed before and after merging. No duplicate season-round-driver records were found.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Check</w:t>
            </w:r>
          </w:p>
        </w:tc>
        <w:tc>
          <w:tcPr>
            <w:tcW w:type="dxa" w:w="4968"/>
            <w:vAlign w:val="center"/>
          </w:tcPr>
          <w:p>
            <w:r>
              <w:rPr>
                <w:b/>
                <w:sz w:val="18"/>
              </w:rPr>
              <w:t>Result</w:t>
            </w:r>
          </w:p>
        </w:tc>
      </w:tr>
      <w:tr>
        <w:tc>
          <w:tcPr>
            <w:tcW w:type="dxa" w:w="4968"/>
            <w:vAlign w:val="center"/>
          </w:tcPr>
          <w:p>
            <w:r>
              <w:rPr>
                <w:b w:val="0"/>
                <w:sz w:val="18"/>
              </w:rPr>
              <w:t>Race duplicate records</w:t>
            </w:r>
          </w:p>
        </w:tc>
        <w:tc>
          <w:tcPr>
            <w:tcW w:type="dxa" w:w="4968"/>
            <w:vAlign w:val="center"/>
          </w:tcPr>
          <w:p>
            <w:r>
              <w:rPr>
                <w:b w:val="0"/>
                <w:sz w:val="18"/>
              </w:rPr>
              <w:t>0</w:t>
            </w:r>
          </w:p>
        </w:tc>
      </w:tr>
      <w:tr>
        <w:tc>
          <w:tcPr>
            <w:tcW w:type="dxa" w:w="4968"/>
            <w:vAlign w:val="center"/>
          </w:tcPr>
          <w:p>
            <w:r>
              <w:rPr>
                <w:b w:val="0"/>
                <w:sz w:val="18"/>
              </w:rPr>
              <w:t>Qualifying duplicate records</w:t>
            </w:r>
          </w:p>
        </w:tc>
        <w:tc>
          <w:tcPr>
            <w:tcW w:type="dxa" w:w="4968"/>
            <w:vAlign w:val="center"/>
          </w:tcPr>
          <w:p>
            <w:r>
              <w:rPr>
                <w:b w:val="0"/>
                <w:sz w:val="18"/>
              </w:rPr>
              <w:t>0</w:t>
            </w:r>
          </w:p>
        </w:tc>
      </w:tr>
      <w:tr>
        <w:tc>
          <w:tcPr>
            <w:tcW w:type="dxa" w:w="4968"/>
            <w:vAlign w:val="center"/>
          </w:tcPr>
          <w:p>
            <w:r>
              <w:rPr>
                <w:b w:val="0"/>
                <w:sz w:val="18"/>
              </w:rPr>
              <w:t>Merged dataset</w:t>
            </w:r>
          </w:p>
        </w:tc>
        <w:tc>
          <w:tcPr>
            <w:tcW w:type="dxa" w:w="4968"/>
            <w:vAlign w:val="center"/>
          </w:tcPr>
          <w:p>
            <w:r>
              <w:rPr>
                <w:b w:val="0"/>
                <w:sz w:val="18"/>
              </w:rPr>
              <w:t>6,911 rows</w:t>
            </w:r>
          </w:p>
        </w:tc>
      </w:tr>
    </w:tbl>
    <w:p/>
    <w:p>
      <w:pPr>
        <w:pStyle w:val="Heading1"/>
      </w:pPr>
      <w:r>
        <w:t>5. Exploratory Data Analysis (EDA)</w:t>
      </w:r>
    </w:p>
    <w:p>
      <w:r>
        <w:t>Exploratory Data Analysis was performed to understand the structure, distribution, and relationships within the dataset before model development.</w:t>
      </w:r>
    </w:p>
    <w:p>
      <w:pPr>
        <w:pStyle w:val="Heading2"/>
      </w:pPr>
      <w:r>
        <w:t>5.1 Dataset Audit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Property</w:t>
            </w:r>
          </w:p>
        </w:tc>
        <w:tc>
          <w:tcPr>
            <w:tcW w:type="dxa" w:w="4968"/>
            <w:vAlign w:val="center"/>
          </w:tcPr>
          <w:p>
            <w:r>
              <w:rPr>
                <w:b/>
                <w:sz w:val="18"/>
              </w:rPr>
              <w:t>Result</w:t>
            </w:r>
          </w:p>
        </w:tc>
      </w:tr>
      <w:tr>
        <w:tc>
          <w:tcPr>
            <w:tcW w:type="dxa" w:w="4968"/>
            <w:vAlign w:val="center"/>
          </w:tcPr>
          <w:p>
            <w:r>
              <w:rPr>
                <w:b w:val="0"/>
                <w:sz w:val="18"/>
              </w:rPr>
              <w:t>Rows</w:t>
            </w:r>
          </w:p>
        </w:tc>
        <w:tc>
          <w:tcPr>
            <w:tcW w:type="dxa" w:w="4968"/>
            <w:vAlign w:val="center"/>
          </w:tcPr>
          <w:p>
            <w:r>
              <w:rPr>
                <w:b w:val="0"/>
                <w:sz w:val="18"/>
              </w:rPr>
              <w:t>6,911</w:t>
            </w:r>
          </w:p>
        </w:tc>
      </w:tr>
      <w:tr>
        <w:tc>
          <w:tcPr>
            <w:tcW w:type="dxa" w:w="4968"/>
            <w:vAlign w:val="center"/>
          </w:tcPr>
          <w:p>
            <w:r>
              <w:rPr>
                <w:b w:val="0"/>
                <w:sz w:val="18"/>
              </w:rPr>
              <w:t>Columns</w:t>
            </w:r>
          </w:p>
        </w:tc>
        <w:tc>
          <w:tcPr>
            <w:tcW w:type="dxa" w:w="4968"/>
            <w:vAlign w:val="center"/>
          </w:tcPr>
          <w:p>
            <w:r>
              <w:rPr>
                <w:b w:val="0"/>
                <w:sz w:val="18"/>
              </w:rPr>
              <w:t>35</w:t>
            </w:r>
          </w:p>
        </w:tc>
      </w:tr>
      <w:tr>
        <w:tc>
          <w:tcPr>
            <w:tcW w:type="dxa" w:w="4968"/>
            <w:vAlign w:val="center"/>
          </w:tcPr>
          <w:p>
            <w:r>
              <w:rPr>
                <w:b w:val="0"/>
                <w:sz w:val="18"/>
              </w:rPr>
              <w:t>Duplicate rows</w:t>
            </w:r>
          </w:p>
        </w:tc>
        <w:tc>
          <w:tcPr>
            <w:tcW w:type="dxa" w:w="4968"/>
            <w:vAlign w:val="center"/>
          </w:tcPr>
          <w:p>
            <w:r>
              <w:rPr>
                <w:b w:val="0"/>
                <w:sz w:val="18"/>
              </w:rPr>
              <w:t>0</w:t>
            </w:r>
          </w:p>
        </w:tc>
      </w:tr>
    </w:tbl>
    <w:p/>
    <w:p>
      <w:pPr>
        <w:pStyle w:val="Heading2"/>
      </w:pPr>
      <w:r>
        <w:t>5.2 Missing Value Analysis</w:t>
      </w:r>
    </w:p>
    <w:p>
      <w:r>
        <w:t>The final dataset contains missing values in several raw qualifying and fastest-lap attributes. These attributes were not included in the final 14-feature modeling 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Column</w:t>
            </w:r>
          </w:p>
        </w:tc>
        <w:tc>
          <w:tcPr>
            <w:tcW w:type="dxa" w:w="4968"/>
            <w:vAlign w:val="center"/>
          </w:tcPr>
          <w:p>
            <w:r>
              <w:rPr>
                <w:b/>
                <w:sz w:val="18"/>
              </w:rPr>
              <w:t>Missing Values</w:t>
            </w:r>
          </w:p>
        </w:tc>
      </w:tr>
      <w:tr>
        <w:tc>
          <w:tcPr>
            <w:tcW w:type="dxa" w:w="4968"/>
            <w:vAlign w:val="center"/>
          </w:tcPr>
          <w:p>
            <w:r>
              <w:rPr>
                <w:b w:val="0"/>
                <w:sz w:val="18"/>
              </w:rPr>
              <w:t>fastest_lap_rank</w:t>
            </w:r>
          </w:p>
        </w:tc>
        <w:tc>
          <w:tcPr>
            <w:tcW w:type="dxa" w:w="4968"/>
            <w:vAlign w:val="center"/>
          </w:tcPr>
          <w:p>
            <w:r>
              <w:rPr>
                <w:b w:val="0"/>
                <w:sz w:val="18"/>
              </w:rPr>
              <w:t>287</w:t>
            </w:r>
          </w:p>
        </w:tc>
      </w:tr>
      <w:tr>
        <w:tc>
          <w:tcPr>
            <w:tcW w:type="dxa" w:w="4968"/>
            <w:vAlign w:val="center"/>
          </w:tcPr>
          <w:p>
            <w:r>
              <w:rPr>
                <w:b w:val="0"/>
                <w:sz w:val="18"/>
              </w:rPr>
              <w:t>fastest_lap_speed</w:t>
            </w:r>
          </w:p>
        </w:tc>
        <w:tc>
          <w:tcPr>
            <w:tcW w:type="dxa" w:w="4968"/>
            <w:vAlign w:val="center"/>
          </w:tcPr>
          <w:p>
            <w:r>
              <w:rPr>
                <w:b w:val="0"/>
                <w:sz w:val="18"/>
              </w:rPr>
              <w:t>5,614</w:t>
            </w:r>
          </w:p>
        </w:tc>
      </w:tr>
      <w:tr>
        <w:tc>
          <w:tcPr>
            <w:tcW w:type="dxa" w:w="4968"/>
            <w:vAlign w:val="center"/>
          </w:tcPr>
          <w:p>
            <w:r>
              <w:rPr>
                <w:b w:val="0"/>
                <w:sz w:val="18"/>
              </w:rPr>
              <w:t>fastest_lap_time</w:t>
            </w:r>
          </w:p>
        </w:tc>
        <w:tc>
          <w:tcPr>
            <w:tcW w:type="dxa" w:w="4968"/>
            <w:vAlign w:val="center"/>
          </w:tcPr>
          <w:p>
            <w:r>
              <w:rPr>
                <w:b w:val="0"/>
                <w:sz w:val="18"/>
              </w:rPr>
              <w:t>2,071</w:t>
            </w:r>
          </w:p>
        </w:tc>
      </w:tr>
      <w:tr>
        <w:tc>
          <w:tcPr>
            <w:tcW w:type="dxa" w:w="4968"/>
            <w:vAlign w:val="center"/>
          </w:tcPr>
          <w:p>
            <w:r>
              <w:rPr>
                <w:b w:val="0"/>
                <w:sz w:val="18"/>
              </w:rPr>
              <w:t>Q1</w:t>
            </w:r>
          </w:p>
        </w:tc>
        <w:tc>
          <w:tcPr>
            <w:tcW w:type="dxa" w:w="4968"/>
            <w:vAlign w:val="center"/>
          </w:tcPr>
          <w:p>
            <w:r>
              <w:rPr>
                <w:b w:val="0"/>
                <w:sz w:val="18"/>
              </w:rPr>
              <w:t>114</w:t>
            </w:r>
          </w:p>
        </w:tc>
      </w:tr>
      <w:tr>
        <w:tc>
          <w:tcPr>
            <w:tcW w:type="dxa" w:w="4968"/>
            <w:vAlign w:val="center"/>
          </w:tcPr>
          <w:p>
            <w:r>
              <w:rPr>
                <w:b w:val="0"/>
                <w:sz w:val="18"/>
              </w:rPr>
              <w:t>Q2</w:t>
            </w:r>
          </w:p>
        </w:tc>
        <w:tc>
          <w:tcPr>
            <w:tcW w:type="dxa" w:w="4968"/>
            <w:vAlign w:val="center"/>
          </w:tcPr>
          <w:p>
            <w:r>
              <w:rPr>
                <w:b w:val="0"/>
                <w:sz w:val="18"/>
              </w:rPr>
              <w:t>1,905</w:t>
            </w:r>
          </w:p>
        </w:tc>
      </w:tr>
      <w:tr>
        <w:tc>
          <w:tcPr>
            <w:tcW w:type="dxa" w:w="4968"/>
            <w:vAlign w:val="center"/>
          </w:tcPr>
          <w:p>
            <w:r>
              <w:rPr>
                <w:b w:val="0"/>
                <w:sz w:val="18"/>
              </w:rPr>
              <w:t>Q3</w:t>
            </w:r>
          </w:p>
        </w:tc>
        <w:tc>
          <w:tcPr>
            <w:tcW w:type="dxa" w:w="4968"/>
            <w:vAlign w:val="center"/>
          </w:tcPr>
          <w:p>
            <w:r>
              <w:rPr>
                <w:b w:val="0"/>
                <w:sz w:val="18"/>
              </w:rPr>
              <w:t>3,743</w:t>
            </w:r>
          </w:p>
        </w:tc>
      </w:tr>
    </w:tbl>
    <w:p/>
    <w:p>
      <w:r>
        <w:t>The selected 14 modeling features were subsequently checked and contained zero missing values after preprocessing.</w:t>
      </w:r>
    </w:p>
    <w:p>
      <w:pPr>
        <w:pStyle w:val="Heading2"/>
      </w:pPr>
      <w:r>
        <w:t>5.3 Target Distribution</w:t>
      </w:r>
    </w:p>
    <w:p>
      <w:r>
        <w:t>The regression target is finish position. The distribution is relatively consistent across the main finishing positions, with fewer observations occurring at the later positions.</w:t>
      </w:r>
    </w:p>
    <w:p>
      <w:r>
        <w:t>The classification target is podium:</w:t>
      </w:r>
    </w:p>
    <w:p>
      <w:pPr>
        <w:pStyle w:val="ListBullet"/>
      </w:pPr>
      <w:r>
        <w:t>1 = Podium finish (1st, 2nd, or 3rd)</w:t>
      </w:r>
    </w:p>
    <w:p>
      <w:pPr>
        <w:pStyle w:val="ListBullet"/>
      </w:pPr>
      <w:r>
        <w:t>0 = No podium finish</w:t>
      </w:r>
    </w:p>
    <w:p>
      <w:r>
        <w:t>The podium target is imbalanced, with substantially more non-podium observations than podium observations. Therefore, classification evaluation uses Accuracy together with Weighted F1 and ROC-AUC.</w:t>
      </w:r>
    </w:p>
    <w:p>
      <w:pPr>
        <w:pStyle w:val="Heading2"/>
      </w:pPr>
      <w:r>
        <w:t>5.4 Feature Distribution Observations</w:t>
      </w:r>
    </w:p>
    <w:p>
      <w:pPr>
        <w:pStyle w:val="ListBullet"/>
      </w:pPr>
      <w:r>
        <w:t>Qualifying position and grid position are distributed across the available positions.</w:t>
      </w:r>
    </w:p>
    <w:p>
      <w:pPr>
        <w:pStyle w:val="ListBullet"/>
      </w:pPr>
      <w:r>
        <w:t>Historical finishing and qualifying averages are concentrated around middle positions.</w:t>
      </w:r>
    </w:p>
    <w:p>
      <w:pPr>
        <w:pStyle w:val="ListBullet"/>
      </w:pPr>
      <w:r>
        <w:t>Season and constructor points, wins, and podium counts are right-skewed.</w:t>
      </w:r>
    </w:p>
    <w:p>
      <w:pPr>
        <w:pStyle w:val="ListBullet"/>
      </w:pPr>
      <w:r>
        <w:t>Career races before the current race are also right-skewed.</w:t>
      </w:r>
    </w:p>
    <w:p>
      <w:pPr>
        <w:pStyle w:val="Heading2"/>
      </w:pPr>
      <w:r>
        <w:t>5.5 Correlation Analysis</w:t>
      </w:r>
    </w:p>
    <w:p>
      <w:r>
        <w:t>The correlation heatmap showed meaningful relationships between qualifying performance, historical performance, accumulated points, and finishing position.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Feature</w:t>
            </w:r>
          </w:p>
        </w:tc>
        <w:tc>
          <w:tcPr>
            <w:tcW w:type="dxa" w:w="4968"/>
            <w:vAlign w:val="center"/>
          </w:tcPr>
          <w:p>
            <w:r>
              <w:rPr>
                <w:b/>
                <w:sz w:val="18"/>
              </w:rPr>
              <w:t>Correlation with Finish Position</w:t>
            </w:r>
          </w:p>
        </w:tc>
      </w:tr>
      <w:tr>
        <w:tc>
          <w:tcPr>
            <w:tcW w:type="dxa" w:w="4968"/>
            <w:vAlign w:val="center"/>
          </w:tcPr>
          <w:p>
            <w:r>
              <w:rPr>
                <w:b w:val="0"/>
                <w:sz w:val="18"/>
              </w:rPr>
              <w:t>qualifying_position</w:t>
            </w:r>
          </w:p>
        </w:tc>
        <w:tc>
          <w:tcPr>
            <w:tcW w:type="dxa" w:w="4968"/>
            <w:vAlign w:val="center"/>
          </w:tcPr>
          <w:p>
            <w:r>
              <w:rPr>
                <w:b w:val="0"/>
                <w:sz w:val="18"/>
              </w:rPr>
              <w:t>0.63</w:t>
            </w:r>
          </w:p>
        </w:tc>
      </w:tr>
      <w:tr>
        <w:tc>
          <w:tcPr>
            <w:tcW w:type="dxa" w:w="4968"/>
            <w:vAlign w:val="center"/>
          </w:tcPr>
          <w:p>
            <w:r>
              <w:rPr>
                <w:b w:val="0"/>
                <w:sz w:val="18"/>
              </w:rPr>
              <w:t>grid</w:t>
            </w:r>
          </w:p>
        </w:tc>
        <w:tc>
          <w:tcPr>
            <w:tcW w:type="dxa" w:w="4968"/>
            <w:vAlign w:val="center"/>
          </w:tcPr>
          <w:p>
            <w:r>
              <w:rPr>
                <w:b w:val="0"/>
                <w:sz w:val="18"/>
              </w:rPr>
              <w:t>0.60</w:t>
            </w:r>
          </w:p>
        </w:tc>
      </w:tr>
      <w:tr>
        <w:tc>
          <w:tcPr>
            <w:tcW w:type="dxa" w:w="4968"/>
            <w:vAlign w:val="center"/>
          </w:tcPr>
          <w:p>
            <w:r>
              <w:rPr>
                <w:b w:val="0"/>
                <w:sz w:val="18"/>
              </w:rPr>
              <w:t>avg_qualifying_last_5</w:t>
            </w:r>
          </w:p>
        </w:tc>
        <w:tc>
          <w:tcPr>
            <w:tcW w:type="dxa" w:w="4968"/>
            <w:vAlign w:val="center"/>
          </w:tcPr>
          <w:p>
            <w:r>
              <w:rPr>
                <w:b w:val="0"/>
                <w:sz w:val="18"/>
              </w:rPr>
              <w:t>0.61</w:t>
            </w:r>
          </w:p>
        </w:tc>
      </w:tr>
      <w:tr>
        <w:tc>
          <w:tcPr>
            <w:tcW w:type="dxa" w:w="4968"/>
            <w:vAlign w:val="center"/>
          </w:tcPr>
          <w:p>
            <w:r>
              <w:rPr>
                <w:b w:val="0"/>
                <w:sz w:val="18"/>
              </w:rPr>
              <w:t>avg_finish_last_5</w:t>
            </w:r>
          </w:p>
        </w:tc>
        <w:tc>
          <w:tcPr>
            <w:tcW w:type="dxa" w:w="4968"/>
            <w:vAlign w:val="center"/>
          </w:tcPr>
          <w:p>
            <w:r>
              <w:rPr>
                <w:b w:val="0"/>
                <w:sz w:val="18"/>
              </w:rPr>
              <w:t>0.58</w:t>
            </w:r>
          </w:p>
        </w:tc>
      </w:tr>
      <w:tr>
        <w:tc>
          <w:tcPr>
            <w:tcW w:type="dxa" w:w="4968"/>
            <w:vAlign w:val="center"/>
          </w:tcPr>
          <w:p>
            <w:r>
              <w:rPr>
                <w:b w:val="0"/>
                <w:sz w:val="18"/>
              </w:rPr>
              <w:t>avg_finish_all_previous</w:t>
            </w:r>
          </w:p>
        </w:tc>
        <w:tc>
          <w:tcPr>
            <w:tcW w:type="dxa" w:w="4968"/>
            <w:vAlign w:val="center"/>
          </w:tcPr>
          <w:p>
            <w:r>
              <w:rPr>
                <w:b w:val="0"/>
                <w:sz w:val="18"/>
              </w:rPr>
              <w:t>0.54</w:t>
            </w:r>
          </w:p>
        </w:tc>
      </w:tr>
      <w:tr>
        <w:tc>
          <w:tcPr>
            <w:tcW w:type="dxa" w:w="4968"/>
            <w:vAlign w:val="center"/>
          </w:tcPr>
          <w:p>
            <w:r>
              <w:rPr>
                <w:b w:val="0"/>
                <w:sz w:val="18"/>
              </w:rPr>
              <w:t>avg_qualifying_all_previous</w:t>
            </w:r>
          </w:p>
        </w:tc>
        <w:tc>
          <w:tcPr>
            <w:tcW w:type="dxa" w:w="4968"/>
            <w:vAlign w:val="center"/>
          </w:tcPr>
          <w:p>
            <w:r>
              <w:rPr>
                <w:b w:val="0"/>
                <w:sz w:val="18"/>
              </w:rPr>
              <w:t>0.54</w:t>
            </w:r>
          </w:p>
        </w:tc>
      </w:tr>
      <w:tr>
        <w:tc>
          <w:tcPr>
            <w:tcW w:type="dxa" w:w="4968"/>
            <w:vAlign w:val="center"/>
          </w:tcPr>
          <w:p>
            <w:r>
              <w:rPr>
                <w:b w:val="0"/>
                <w:sz w:val="18"/>
              </w:rPr>
              <w:t>season_points_so_far</w:t>
            </w:r>
          </w:p>
        </w:tc>
        <w:tc>
          <w:tcPr>
            <w:tcW w:type="dxa" w:w="4968"/>
            <w:vAlign w:val="center"/>
          </w:tcPr>
          <w:p>
            <w:r>
              <w:rPr>
                <w:b w:val="0"/>
                <w:sz w:val="18"/>
              </w:rPr>
              <w:t>-0.46</w:t>
            </w:r>
          </w:p>
        </w:tc>
      </w:tr>
      <w:tr>
        <w:tc>
          <w:tcPr>
            <w:tcW w:type="dxa" w:w="4968"/>
            <w:vAlign w:val="center"/>
          </w:tcPr>
          <w:p>
            <w:r>
              <w:rPr>
                <w:b w:val="0"/>
                <w:sz w:val="18"/>
              </w:rPr>
              <w:t>constructor_points_so_far</w:t>
            </w:r>
          </w:p>
        </w:tc>
        <w:tc>
          <w:tcPr>
            <w:tcW w:type="dxa" w:w="4968"/>
            <w:vAlign w:val="center"/>
          </w:tcPr>
          <w:p>
            <w:r>
              <w:rPr>
                <w:b w:val="0"/>
                <w:sz w:val="18"/>
              </w:rPr>
              <w:t>-0.46</w:t>
            </w:r>
          </w:p>
        </w:tc>
      </w:tr>
    </w:tbl>
    <w:p/>
    <w:p>
      <w:r>
        <w:t>Several engineered features also showed strong correlations with each other, indicating some degree of redundancy among historical performance variables.</w:t>
      </w:r>
    </w:p>
    <w:p>
      <w:pPr>
        <w:pStyle w:val="Heading2"/>
      </w:pPr>
      <w:r>
        <w:t>5.6 Feature-Target Relationships</w:t>
      </w:r>
    </w:p>
    <w:p>
      <w:pPr>
        <w:pStyle w:val="ListBullet"/>
      </w:pPr>
      <w:r>
        <w:t>Qualifying position showed a positive relationship with finishing position.</w:t>
      </w:r>
    </w:p>
    <w:p>
      <w:pPr>
        <w:pStyle w:val="ListBullet"/>
      </w:pPr>
      <w:r>
        <w:t>Recent qualifying performance also showed a positive relationship with race finishing position.</w:t>
      </w:r>
    </w:p>
    <w:p>
      <w:r>
        <w:t>These relationships indicate that qualifying and previous performance contain useful information for predicting race outcomes, although substantial variation remains due to other race-related factors.</w:t>
      </w:r>
    </w:p>
    <w:p>
      <w:pPr>
        <w:pStyle w:val="Heading1"/>
      </w:pPr>
      <w:r>
        <w:t>6. Data Preprocessing</w:t>
      </w:r>
    </w:p>
    <w:p>
      <w:pPr>
        <w:pStyle w:val="ListBullet"/>
      </w:pPr>
      <w:r>
        <w:t>Missing-value analysis</w:t>
      </w:r>
    </w:p>
    <w:p>
      <w:pPr>
        <w:pStyle w:val="ListBullet"/>
      </w:pPr>
      <w:r>
        <w:t>Duplicate checking</w:t>
      </w:r>
    </w:p>
    <w:p>
      <w:pPr>
        <w:pStyle w:val="ListBullet"/>
      </w:pPr>
      <w:r>
        <w:t>Data type conversion</w:t>
      </w:r>
    </w:p>
    <w:p>
      <w:pPr>
        <w:pStyle w:val="ListBullet"/>
      </w:pPr>
      <w:r>
        <w:t>Invalid-value checking</w:t>
      </w:r>
    </w:p>
    <w:p>
      <w:pPr>
        <w:pStyle w:val="ListBullet"/>
      </w:pPr>
      <w:r>
        <w:t>Chronological sorting</w:t>
      </w:r>
    </w:p>
    <w:p>
      <w:pPr>
        <w:pStyle w:val="ListBullet"/>
      </w:pPr>
      <w:r>
        <w:t>Historical feature engineering</w:t>
      </w:r>
    </w:p>
    <w:p>
      <w:pPr>
        <w:pStyle w:val="ListBullet"/>
      </w:pPr>
      <w:r>
        <w:t>Driver performance feature engineering</w:t>
      </w:r>
    </w:p>
    <w:p>
      <w:pPr>
        <w:pStyle w:val="ListBullet"/>
      </w:pPr>
      <w:r>
        <w:t>Constructor performance feature engineering</w:t>
      </w:r>
    </w:p>
    <w:p>
      <w:pPr>
        <w:pStyle w:val="ListBullet"/>
      </w:pPr>
      <w:r>
        <w:t>Career experience feature engineering</w:t>
      </w:r>
    </w:p>
    <w:p>
      <w:pPr>
        <w:pStyle w:val="ListBullet"/>
      </w:pPr>
      <w:r>
        <w:t>Outlier analysis using the IQR method</w:t>
      </w:r>
    </w:p>
    <w:p>
      <w:pPr>
        <w:pStyle w:val="ListBullet"/>
      </w:pPr>
      <w:r>
        <w:t>Classification target creation</w:t>
      </w:r>
    </w:p>
    <w:p>
      <w:pPr>
        <w:pStyle w:val="ListBullet"/>
      </w:pPr>
      <w:r>
        <w:t>Feature selection</w:t>
      </w:r>
    </w:p>
    <w:p>
      <w:pPr>
        <w:pStyle w:val="ListBullet"/>
      </w:pPr>
      <w:r>
        <w:t>Feature scaling</w:t>
      </w:r>
    </w:p>
    <w:p>
      <w:pPr>
        <w:pStyle w:val="Heading2"/>
      </w:pPr>
      <w:r>
        <w:t>6.1 Outlier Analysis</w:t>
      </w:r>
    </w:p>
    <w:p>
      <w:r>
        <w:t>The IQR method was used to identify potential outliers. Extreme values were not automatically removed because some extreme values represent legitimate Formula 1 performance conditions.</w:t>
      </w:r>
    </w:p>
    <w:p>
      <w:pPr>
        <w:pStyle w:val="Heading2"/>
      </w:pPr>
      <w:r>
        <w:t>6.2 Feature Scaling</w:t>
      </w:r>
    </w:p>
    <w:p>
      <w:r>
        <w:t>StandardScaler was fitted only on the training dataset and then applied to validation and test datasets.</w:t>
      </w:r>
    </w:p>
    <w:p>
      <w:r>
        <w:t>This prevents information from future datasets from influencing the preprocessing stage.</w:t>
      </w:r>
    </w:p>
    <w:p>
      <w:pPr>
        <w:pStyle w:val="Heading1"/>
      </w:pPr>
      <w:r>
        <w:t>7. Feature Engineering</w:t>
      </w:r>
    </w:p>
    <w:p>
      <w:r>
        <w:t>Historical features were engineered using previous race information to avoid using the current race result as an input.</w:t>
      </w:r>
    </w:p>
    <w:p>
      <w:pPr>
        <w:pStyle w:val="ListBullet"/>
      </w:pPr>
      <w:r>
        <w:t>qualifying_position</w:t>
      </w:r>
    </w:p>
    <w:p>
      <w:pPr>
        <w:pStyle w:val="ListBullet"/>
      </w:pPr>
      <w:r>
        <w:t>grid</w:t>
      </w:r>
    </w:p>
    <w:p>
      <w:pPr>
        <w:pStyle w:val="ListBullet"/>
      </w:pPr>
      <w:r>
        <w:t>previous_finish</w:t>
      </w:r>
    </w:p>
    <w:p>
      <w:pPr>
        <w:pStyle w:val="ListBullet"/>
      </w:pPr>
      <w:r>
        <w:t>avg_finish_all_previous</w:t>
      </w:r>
    </w:p>
    <w:p>
      <w:pPr>
        <w:pStyle w:val="ListBullet"/>
      </w:pPr>
      <w:r>
        <w:t>avg_qualifying_all_previous</w:t>
      </w:r>
    </w:p>
    <w:p>
      <w:pPr>
        <w:pStyle w:val="ListBullet"/>
      </w:pPr>
      <w:r>
        <w:t>avg_finish_last_5</w:t>
      </w:r>
    </w:p>
    <w:p>
      <w:pPr>
        <w:pStyle w:val="ListBullet"/>
      </w:pPr>
      <w:r>
        <w:t>avg_qualifying_last_5</w:t>
      </w:r>
    </w:p>
    <w:p>
      <w:pPr>
        <w:pStyle w:val="ListBullet"/>
      </w:pPr>
      <w:r>
        <w:t>season_points_so_far</w:t>
      </w:r>
    </w:p>
    <w:p>
      <w:pPr>
        <w:pStyle w:val="ListBullet"/>
      </w:pPr>
      <w:r>
        <w:t>season_wins_so_far</w:t>
      </w:r>
    </w:p>
    <w:p>
      <w:pPr>
        <w:pStyle w:val="ListBullet"/>
      </w:pPr>
      <w:r>
        <w:t>season_podiums_so_far</w:t>
      </w:r>
    </w:p>
    <w:p>
      <w:pPr>
        <w:pStyle w:val="ListBullet"/>
      </w:pPr>
      <w:r>
        <w:t>constructor_points_so_far</w:t>
      </w:r>
    </w:p>
    <w:p>
      <w:pPr>
        <w:pStyle w:val="ListBullet"/>
      </w:pPr>
      <w:r>
        <w:t>constructor_wins_so_far</w:t>
      </w:r>
    </w:p>
    <w:p>
      <w:pPr>
        <w:pStyle w:val="ListBullet"/>
      </w:pPr>
      <w:r>
        <w:t>constructor_podiums_so_far</w:t>
      </w:r>
    </w:p>
    <w:p>
      <w:pPr>
        <w:pStyle w:val="ListBullet"/>
      </w:pPr>
      <w:r>
        <w:t>career_races_before</w:t>
      </w:r>
    </w:p>
    <w:p>
      <w:pPr>
        <w:pStyle w:val="Heading1"/>
      </w:pPr>
      <w:r>
        <w:t>8. Chronological Data Split</w:t>
      </w:r>
    </w:p>
    <w:p>
      <w:r>
        <w:t>A chronological split was used because the project is designed for future-season forecasting.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sz w:val="18"/>
              </w:rPr>
              <w:t>Dataset</w:t>
            </w:r>
          </w:p>
        </w:tc>
        <w:tc>
          <w:tcPr>
            <w:tcW w:type="dxa" w:w="3312"/>
            <w:vAlign w:val="center"/>
          </w:tcPr>
          <w:p>
            <w:r>
              <w:rPr>
                <w:b/>
                <w:sz w:val="18"/>
              </w:rPr>
              <w:t>Seasons</w:t>
            </w:r>
          </w:p>
        </w:tc>
        <w:tc>
          <w:tcPr>
            <w:tcW w:type="dxa" w:w="3312"/>
            <w:vAlign w:val="center"/>
          </w:tcPr>
          <w:p>
            <w:r>
              <w:rPr>
                <w:b/>
                <w:sz w:val="18"/>
              </w:rPr>
              <w:t>Records</w:t>
            </w:r>
          </w:p>
        </w:tc>
      </w:tr>
      <w:tr>
        <w:tc>
          <w:tcPr>
            <w:tcW w:type="dxa" w:w="3312"/>
            <w:vAlign w:val="center"/>
          </w:tcPr>
          <w:p>
            <w:r>
              <w:rPr>
                <w:b w:val="0"/>
                <w:sz w:val="18"/>
              </w:rPr>
              <w:t>Training</w:t>
            </w:r>
          </w:p>
        </w:tc>
        <w:tc>
          <w:tcPr>
            <w:tcW w:type="dxa" w:w="3312"/>
            <w:vAlign w:val="center"/>
          </w:tcPr>
          <w:p>
            <w:r>
              <w:rPr>
                <w:b w:val="0"/>
                <w:sz w:val="18"/>
              </w:rPr>
              <w:t>2010–2023</w:t>
            </w:r>
          </w:p>
        </w:tc>
        <w:tc>
          <w:tcPr>
            <w:tcW w:type="dxa" w:w="3312"/>
            <w:vAlign w:val="center"/>
          </w:tcPr>
          <w:p>
            <w:r>
              <w:rPr>
                <w:b w:val="0"/>
                <w:sz w:val="18"/>
              </w:rPr>
              <w:t>5,953</w:t>
            </w:r>
          </w:p>
        </w:tc>
      </w:tr>
      <w:tr>
        <w:tc>
          <w:tcPr>
            <w:tcW w:type="dxa" w:w="3312"/>
            <w:vAlign w:val="center"/>
          </w:tcPr>
          <w:p>
            <w:r>
              <w:rPr>
                <w:b w:val="0"/>
                <w:sz w:val="18"/>
              </w:rPr>
              <w:t>Validation</w:t>
            </w:r>
          </w:p>
        </w:tc>
        <w:tc>
          <w:tcPr>
            <w:tcW w:type="dxa" w:w="3312"/>
            <w:vAlign w:val="center"/>
          </w:tcPr>
          <w:p>
            <w:r>
              <w:rPr>
                <w:b w:val="0"/>
                <w:sz w:val="18"/>
              </w:rPr>
              <w:t>2024</w:t>
            </w:r>
          </w:p>
        </w:tc>
        <w:tc>
          <w:tcPr>
            <w:tcW w:type="dxa" w:w="3312"/>
            <w:vAlign w:val="center"/>
          </w:tcPr>
          <w:p>
            <w:r>
              <w:rPr>
                <w:b w:val="0"/>
                <w:sz w:val="18"/>
              </w:rPr>
              <w:t>479</w:t>
            </w:r>
          </w:p>
        </w:tc>
      </w:tr>
      <w:tr>
        <w:tc>
          <w:tcPr>
            <w:tcW w:type="dxa" w:w="3312"/>
            <w:vAlign w:val="center"/>
          </w:tcPr>
          <w:p>
            <w:r>
              <w:rPr>
                <w:b w:val="0"/>
                <w:sz w:val="18"/>
              </w:rPr>
              <w:t>Testing</w:t>
            </w:r>
          </w:p>
        </w:tc>
        <w:tc>
          <w:tcPr>
            <w:tcW w:type="dxa" w:w="3312"/>
            <w:vAlign w:val="center"/>
          </w:tcPr>
          <w:p>
            <w:r>
              <w:rPr>
                <w:b w:val="0"/>
                <w:sz w:val="18"/>
              </w:rPr>
              <w:t>2025</w:t>
            </w:r>
          </w:p>
        </w:tc>
        <w:tc>
          <w:tcPr>
            <w:tcW w:type="dxa" w:w="3312"/>
            <w:vAlign w:val="center"/>
          </w:tcPr>
          <w:p>
            <w:r>
              <w:rPr>
                <w:b w:val="0"/>
                <w:sz w:val="18"/>
              </w:rPr>
              <w:t>479</w:t>
            </w:r>
          </w:p>
        </w:tc>
      </w:tr>
      <w:tr>
        <w:tc>
          <w:tcPr>
            <w:tcW w:type="dxa" w:w="3312"/>
            <w:vAlign w:val="center"/>
          </w:tcPr>
          <w:p>
            <w:r>
              <w:rPr>
                <w:b w:val="0"/>
                <w:sz w:val="18"/>
              </w:rPr>
              <w:t>Future Prediction</w:t>
            </w:r>
          </w:p>
        </w:tc>
        <w:tc>
          <w:tcPr>
            <w:tcW w:type="dxa" w:w="3312"/>
            <w:vAlign w:val="center"/>
          </w:tcPr>
          <w:p>
            <w:r>
              <w:rPr>
                <w:b w:val="0"/>
                <w:sz w:val="18"/>
              </w:rPr>
              <w:t>2026</w:t>
            </w:r>
          </w:p>
        </w:tc>
        <w:tc>
          <w:tcPr>
            <w:tcW w:type="dxa" w:w="3312"/>
            <w:vAlign w:val="center"/>
          </w:tcPr>
          <w:p>
            <w:r>
              <w:rPr>
                <w:b w:val="0"/>
                <w:sz w:val="18"/>
              </w:rPr>
              <w:t>Future</w:t>
            </w:r>
          </w:p>
        </w:tc>
      </w:tr>
    </w:tbl>
    <w:p/>
    <w:p>
      <w:r>
        <w:t>The 2025 test dataset was kept separate from model selection and hyperparameter tuning.</w:t>
      </w:r>
    </w:p>
    <w:p>
      <w:pPr>
        <w:pStyle w:val="Heading1"/>
      </w:pPr>
      <w:r>
        <w:t>9. Regression Modeling</w:t>
      </w:r>
    </w:p>
    <w:p>
      <w:r>
        <w:t>The regression task predicts the numerical race finishing position of each driver.</w:t>
      </w:r>
    </w:p>
    <w:p>
      <w:pPr>
        <w:pStyle w:val="Heading2"/>
      </w:pPr>
      <w:r>
        <w:t>9.1 Regression Models</w:t>
      </w:r>
    </w:p>
    <w:p>
      <w:pPr>
        <w:pStyle w:val="ListBullet"/>
      </w:pPr>
      <w:r>
        <w:t>Linear Regression</w:t>
      </w:r>
    </w:p>
    <w:p>
      <w:pPr>
        <w:pStyle w:val="ListBullet"/>
      </w:pPr>
      <w:r>
        <w:t>Ridge Regression</w:t>
      </w:r>
    </w:p>
    <w:p>
      <w:pPr>
        <w:pStyle w:val="ListBullet"/>
      </w:pPr>
      <w:r>
        <w:t>Lasso Regression</w:t>
      </w:r>
    </w:p>
    <w:p>
      <w:pPr>
        <w:pStyle w:val="ListBullet"/>
      </w:pPr>
      <w:r>
        <w:t>ElasticNet Regression</w:t>
      </w:r>
    </w:p>
    <w:p>
      <w:pPr>
        <w:pStyle w:val="ListBullet"/>
      </w:pPr>
      <w:r>
        <w:t>Polynomial Regression</w:t>
      </w:r>
    </w:p>
    <w:p>
      <w:pPr>
        <w:pStyle w:val="ListBullet"/>
      </w:pPr>
      <w:r>
        <w:t>Decision Tree Regressor</w:t>
      </w:r>
    </w:p>
    <w:p>
      <w:pPr>
        <w:pStyle w:val="ListBullet"/>
      </w:pPr>
      <w:r>
        <w:t>Random Forest Regressor</w:t>
      </w:r>
    </w:p>
    <w:p>
      <w:pPr>
        <w:pStyle w:val="ListBullet"/>
      </w:pPr>
      <w:r>
        <w:t>Gradient Boosting Regressor</w:t>
      </w:r>
    </w:p>
    <w:p>
      <w:pPr>
        <w:pStyle w:val="ListBullet"/>
      </w:pPr>
      <w:r>
        <w:t>Support Vector Regression (SVR)</w:t>
      </w:r>
    </w:p>
    <w:p>
      <w:pPr>
        <w:pStyle w:val="ListBullet"/>
      </w:pPr>
      <w:r>
        <w:t>K-Nearest Neighbors (KNN) Regressor</w:t>
      </w:r>
    </w:p>
    <w:p>
      <w:pPr>
        <w:pStyle w:val="Heading2"/>
      </w:pPr>
      <w:r>
        <w:t>9.2 Regression Evaluation Metrics</w:t>
      </w:r>
    </w:p>
    <w:p>
      <w:pPr>
        <w:pStyle w:val="ListBullet"/>
      </w:pPr>
      <w:r>
        <w:t>R²</w:t>
      </w:r>
    </w:p>
    <w:p>
      <w:pPr>
        <w:pStyle w:val="ListBullet"/>
      </w:pPr>
      <w:r>
        <w:t>RMSE</w:t>
      </w:r>
    </w:p>
    <w:p>
      <w:pPr>
        <w:pStyle w:val="ListBullet"/>
      </w:pPr>
      <w:r>
        <w:t>MAE</w:t>
      </w:r>
    </w:p>
    <w:p>
      <w:pPr>
        <w:pStyle w:val="Heading1"/>
      </w:pPr>
      <w:r>
        <w:t>10. Regression Validation Results — 2024</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sz w:val="18"/>
              </w:rPr>
              <w:t>Model</w:t>
            </w:r>
          </w:p>
        </w:tc>
        <w:tc>
          <w:tcPr>
            <w:tcW w:type="dxa" w:w="2484"/>
            <w:vAlign w:val="center"/>
          </w:tcPr>
          <w:p>
            <w:r>
              <w:rPr>
                <w:b/>
                <w:sz w:val="18"/>
              </w:rPr>
              <w:t>R²</w:t>
            </w:r>
          </w:p>
        </w:tc>
        <w:tc>
          <w:tcPr>
            <w:tcW w:type="dxa" w:w="2484"/>
            <w:vAlign w:val="center"/>
          </w:tcPr>
          <w:p>
            <w:r>
              <w:rPr>
                <w:b/>
                <w:sz w:val="18"/>
              </w:rPr>
              <w:t>RMSE</w:t>
            </w:r>
          </w:p>
        </w:tc>
        <w:tc>
          <w:tcPr>
            <w:tcW w:type="dxa" w:w="2484"/>
            <w:vAlign w:val="center"/>
          </w:tcPr>
          <w:p>
            <w:r>
              <w:rPr>
                <w:b/>
                <w:sz w:val="18"/>
              </w:rPr>
              <w:t>MAE</w:t>
            </w:r>
          </w:p>
        </w:tc>
      </w:tr>
      <w:tr>
        <w:tc>
          <w:tcPr>
            <w:tcW w:type="dxa" w:w="2484"/>
            <w:vAlign w:val="center"/>
          </w:tcPr>
          <w:p>
            <w:r>
              <w:rPr>
                <w:b w:val="0"/>
                <w:sz w:val="18"/>
              </w:rPr>
              <w:t>Lasso Regression</w:t>
            </w:r>
          </w:p>
        </w:tc>
        <w:tc>
          <w:tcPr>
            <w:tcW w:type="dxa" w:w="2484"/>
            <w:vAlign w:val="center"/>
          </w:tcPr>
          <w:p>
            <w:r>
              <w:rPr>
                <w:b w:val="0"/>
                <w:sz w:val="18"/>
              </w:rPr>
              <w:t>0.5670</w:t>
            </w:r>
          </w:p>
        </w:tc>
        <w:tc>
          <w:tcPr>
            <w:tcW w:type="dxa" w:w="2484"/>
            <w:vAlign w:val="center"/>
          </w:tcPr>
          <w:p>
            <w:r>
              <w:rPr>
                <w:b w:val="0"/>
                <w:sz w:val="18"/>
              </w:rPr>
              <w:t>3.7874</w:t>
            </w:r>
          </w:p>
        </w:tc>
        <w:tc>
          <w:tcPr>
            <w:tcW w:type="dxa" w:w="2484"/>
            <w:vAlign w:val="center"/>
          </w:tcPr>
          <w:p>
            <w:r>
              <w:rPr>
                <w:b w:val="0"/>
                <w:sz w:val="18"/>
              </w:rPr>
              <w:t>2.9472</w:t>
            </w:r>
          </w:p>
        </w:tc>
      </w:tr>
      <w:tr>
        <w:tc>
          <w:tcPr>
            <w:tcW w:type="dxa" w:w="2484"/>
            <w:vAlign w:val="center"/>
          </w:tcPr>
          <w:p>
            <w:r>
              <w:rPr>
                <w:b w:val="0"/>
                <w:sz w:val="18"/>
              </w:rPr>
              <w:t>ElasticNet Regression</w:t>
            </w:r>
          </w:p>
        </w:tc>
        <w:tc>
          <w:tcPr>
            <w:tcW w:type="dxa" w:w="2484"/>
            <w:vAlign w:val="center"/>
          </w:tcPr>
          <w:p>
            <w:r>
              <w:rPr>
                <w:b w:val="0"/>
                <w:sz w:val="18"/>
              </w:rPr>
              <w:t>0.5668</w:t>
            </w:r>
          </w:p>
        </w:tc>
        <w:tc>
          <w:tcPr>
            <w:tcW w:type="dxa" w:w="2484"/>
            <w:vAlign w:val="center"/>
          </w:tcPr>
          <w:p>
            <w:r>
              <w:rPr>
                <w:b w:val="0"/>
                <w:sz w:val="18"/>
              </w:rPr>
              <w:t>3.7886</w:t>
            </w:r>
          </w:p>
        </w:tc>
        <w:tc>
          <w:tcPr>
            <w:tcW w:type="dxa" w:w="2484"/>
            <w:vAlign w:val="center"/>
          </w:tcPr>
          <w:p>
            <w:r>
              <w:rPr>
                <w:b w:val="0"/>
                <w:sz w:val="18"/>
              </w:rPr>
              <w:t>2.9439</w:t>
            </w:r>
          </w:p>
        </w:tc>
      </w:tr>
      <w:tr>
        <w:tc>
          <w:tcPr>
            <w:tcW w:type="dxa" w:w="2484"/>
            <w:vAlign w:val="center"/>
          </w:tcPr>
          <w:p>
            <w:r>
              <w:rPr>
                <w:b w:val="0"/>
                <w:sz w:val="18"/>
              </w:rPr>
              <w:t>Ridge Regression</w:t>
            </w:r>
          </w:p>
        </w:tc>
        <w:tc>
          <w:tcPr>
            <w:tcW w:type="dxa" w:w="2484"/>
            <w:vAlign w:val="center"/>
          </w:tcPr>
          <w:p>
            <w:r>
              <w:rPr>
                <w:b w:val="0"/>
                <w:sz w:val="18"/>
              </w:rPr>
              <w:t>0.5658</w:t>
            </w:r>
          </w:p>
        </w:tc>
        <w:tc>
          <w:tcPr>
            <w:tcW w:type="dxa" w:w="2484"/>
            <w:vAlign w:val="center"/>
          </w:tcPr>
          <w:p>
            <w:r>
              <w:rPr>
                <w:b w:val="0"/>
                <w:sz w:val="18"/>
              </w:rPr>
              <w:t>3.7928</w:t>
            </w:r>
          </w:p>
        </w:tc>
        <w:tc>
          <w:tcPr>
            <w:tcW w:type="dxa" w:w="2484"/>
            <w:vAlign w:val="center"/>
          </w:tcPr>
          <w:p>
            <w:r>
              <w:rPr>
                <w:b w:val="0"/>
                <w:sz w:val="18"/>
              </w:rPr>
              <w:t>2.9368</w:t>
            </w:r>
          </w:p>
        </w:tc>
      </w:tr>
      <w:tr>
        <w:tc>
          <w:tcPr>
            <w:tcW w:type="dxa" w:w="2484"/>
            <w:vAlign w:val="center"/>
          </w:tcPr>
          <w:p>
            <w:r>
              <w:rPr>
                <w:b w:val="0"/>
                <w:sz w:val="18"/>
              </w:rPr>
              <w:t>Linear Regression</w:t>
            </w:r>
          </w:p>
        </w:tc>
        <w:tc>
          <w:tcPr>
            <w:tcW w:type="dxa" w:w="2484"/>
            <w:vAlign w:val="center"/>
          </w:tcPr>
          <w:p>
            <w:r>
              <w:rPr>
                <w:b w:val="0"/>
                <w:sz w:val="18"/>
              </w:rPr>
              <w:t>0.5657</w:t>
            </w:r>
          </w:p>
        </w:tc>
        <w:tc>
          <w:tcPr>
            <w:tcW w:type="dxa" w:w="2484"/>
            <w:vAlign w:val="center"/>
          </w:tcPr>
          <w:p>
            <w:r>
              <w:rPr>
                <w:b w:val="0"/>
                <w:sz w:val="18"/>
              </w:rPr>
              <w:t>3.7931</w:t>
            </w:r>
          </w:p>
        </w:tc>
        <w:tc>
          <w:tcPr>
            <w:tcW w:type="dxa" w:w="2484"/>
            <w:vAlign w:val="center"/>
          </w:tcPr>
          <w:p>
            <w:r>
              <w:rPr>
                <w:b w:val="0"/>
                <w:sz w:val="18"/>
              </w:rPr>
              <w:t>2.9368</w:t>
            </w:r>
          </w:p>
        </w:tc>
      </w:tr>
      <w:tr>
        <w:tc>
          <w:tcPr>
            <w:tcW w:type="dxa" w:w="2484"/>
            <w:vAlign w:val="center"/>
          </w:tcPr>
          <w:p>
            <w:r>
              <w:rPr>
                <w:b w:val="0"/>
                <w:sz w:val="18"/>
              </w:rPr>
              <w:t>Polynomial Regression</w:t>
            </w:r>
          </w:p>
        </w:tc>
        <w:tc>
          <w:tcPr>
            <w:tcW w:type="dxa" w:w="2484"/>
            <w:vAlign w:val="center"/>
          </w:tcPr>
          <w:p>
            <w:r>
              <w:rPr>
                <w:b w:val="0"/>
                <w:sz w:val="18"/>
              </w:rPr>
              <w:t>0.5538</w:t>
            </w:r>
          </w:p>
        </w:tc>
        <w:tc>
          <w:tcPr>
            <w:tcW w:type="dxa" w:w="2484"/>
            <w:vAlign w:val="center"/>
          </w:tcPr>
          <w:p>
            <w:r>
              <w:rPr>
                <w:b w:val="0"/>
                <w:sz w:val="18"/>
              </w:rPr>
              <w:t>3.8449</w:t>
            </w:r>
          </w:p>
        </w:tc>
        <w:tc>
          <w:tcPr>
            <w:tcW w:type="dxa" w:w="2484"/>
            <w:vAlign w:val="center"/>
          </w:tcPr>
          <w:p>
            <w:r>
              <w:rPr>
                <w:b w:val="0"/>
                <w:sz w:val="18"/>
              </w:rPr>
              <w:t>3.0167</w:t>
            </w:r>
          </w:p>
        </w:tc>
      </w:tr>
      <w:tr>
        <w:tc>
          <w:tcPr>
            <w:tcW w:type="dxa" w:w="2484"/>
            <w:vAlign w:val="center"/>
          </w:tcPr>
          <w:p>
            <w:r>
              <w:rPr>
                <w:b w:val="0"/>
                <w:sz w:val="18"/>
              </w:rPr>
              <w:t>Gradient Boosting</w:t>
            </w:r>
          </w:p>
        </w:tc>
        <w:tc>
          <w:tcPr>
            <w:tcW w:type="dxa" w:w="2484"/>
            <w:vAlign w:val="center"/>
          </w:tcPr>
          <w:p>
            <w:r>
              <w:rPr>
                <w:b w:val="0"/>
                <w:sz w:val="18"/>
              </w:rPr>
              <w:t>0.5317</w:t>
            </w:r>
          </w:p>
        </w:tc>
        <w:tc>
          <w:tcPr>
            <w:tcW w:type="dxa" w:w="2484"/>
            <w:vAlign w:val="center"/>
          </w:tcPr>
          <w:p>
            <w:r>
              <w:rPr>
                <w:b w:val="0"/>
                <w:sz w:val="18"/>
              </w:rPr>
              <w:t>3.9389</w:t>
            </w:r>
          </w:p>
        </w:tc>
        <w:tc>
          <w:tcPr>
            <w:tcW w:type="dxa" w:w="2484"/>
            <w:vAlign w:val="center"/>
          </w:tcPr>
          <w:p>
            <w:r>
              <w:rPr>
                <w:b w:val="0"/>
                <w:sz w:val="18"/>
              </w:rPr>
              <w:t>3.0990</w:t>
            </w:r>
          </w:p>
        </w:tc>
      </w:tr>
      <w:tr>
        <w:tc>
          <w:tcPr>
            <w:tcW w:type="dxa" w:w="2484"/>
            <w:vAlign w:val="center"/>
          </w:tcPr>
          <w:p>
            <w:r>
              <w:rPr>
                <w:b w:val="0"/>
                <w:sz w:val="18"/>
              </w:rPr>
              <w:t>Random Forest</w:t>
            </w:r>
          </w:p>
        </w:tc>
        <w:tc>
          <w:tcPr>
            <w:tcW w:type="dxa" w:w="2484"/>
            <w:vAlign w:val="center"/>
          </w:tcPr>
          <w:p>
            <w:r>
              <w:rPr>
                <w:b w:val="0"/>
                <w:sz w:val="18"/>
              </w:rPr>
              <w:t>0.5095</w:t>
            </w:r>
          </w:p>
        </w:tc>
        <w:tc>
          <w:tcPr>
            <w:tcW w:type="dxa" w:w="2484"/>
            <w:vAlign w:val="center"/>
          </w:tcPr>
          <w:p>
            <w:r>
              <w:rPr>
                <w:b w:val="0"/>
                <w:sz w:val="18"/>
              </w:rPr>
              <w:t>4.0311</w:t>
            </w:r>
          </w:p>
        </w:tc>
        <w:tc>
          <w:tcPr>
            <w:tcW w:type="dxa" w:w="2484"/>
            <w:vAlign w:val="center"/>
          </w:tcPr>
          <w:p>
            <w:r>
              <w:rPr>
                <w:b w:val="0"/>
                <w:sz w:val="18"/>
              </w:rPr>
              <w:t>3.1660</w:t>
            </w:r>
          </w:p>
        </w:tc>
      </w:tr>
      <w:tr>
        <w:tc>
          <w:tcPr>
            <w:tcW w:type="dxa" w:w="2484"/>
            <w:vAlign w:val="center"/>
          </w:tcPr>
          <w:p>
            <w:r>
              <w:rPr>
                <w:b w:val="0"/>
                <w:sz w:val="18"/>
              </w:rPr>
              <w:t>KNN</w:t>
            </w:r>
          </w:p>
        </w:tc>
        <w:tc>
          <w:tcPr>
            <w:tcW w:type="dxa" w:w="2484"/>
            <w:vAlign w:val="center"/>
          </w:tcPr>
          <w:p>
            <w:r>
              <w:rPr>
                <w:b w:val="0"/>
                <w:sz w:val="18"/>
              </w:rPr>
              <w:t>0.4362</w:t>
            </w:r>
          </w:p>
        </w:tc>
        <w:tc>
          <w:tcPr>
            <w:tcW w:type="dxa" w:w="2484"/>
            <w:vAlign w:val="center"/>
          </w:tcPr>
          <w:p>
            <w:r>
              <w:rPr>
                <w:b w:val="0"/>
                <w:sz w:val="18"/>
              </w:rPr>
              <w:t>4.3218</w:t>
            </w:r>
          </w:p>
        </w:tc>
        <w:tc>
          <w:tcPr>
            <w:tcW w:type="dxa" w:w="2484"/>
            <w:vAlign w:val="center"/>
          </w:tcPr>
          <w:p>
            <w:r>
              <w:rPr>
                <w:b w:val="0"/>
                <w:sz w:val="18"/>
              </w:rPr>
              <w:t>3.3712</w:t>
            </w:r>
          </w:p>
        </w:tc>
      </w:tr>
      <w:tr>
        <w:tc>
          <w:tcPr>
            <w:tcW w:type="dxa" w:w="2484"/>
            <w:vAlign w:val="center"/>
          </w:tcPr>
          <w:p>
            <w:r>
              <w:rPr>
                <w:b w:val="0"/>
                <w:sz w:val="18"/>
              </w:rPr>
              <w:t>SVR</w:t>
            </w:r>
          </w:p>
        </w:tc>
        <w:tc>
          <w:tcPr>
            <w:tcW w:type="dxa" w:w="2484"/>
            <w:vAlign w:val="center"/>
          </w:tcPr>
          <w:p>
            <w:r>
              <w:rPr>
                <w:b w:val="0"/>
                <w:sz w:val="18"/>
              </w:rPr>
              <w:t>0.4312</w:t>
            </w:r>
          </w:p>
        </w:tc>
        <w:tc>
          <w:tcPr>
            <w:tcW w:type="dxa" w:w="2484"/>
            <w:vAlign w:val="center"/>
          </w:tcPr>
          <w:p>
            <w:r>
              <w:rPr>
                <w:b w:val="0"/>
                <w:sz w:val="18"/>
              </w:rPr>
              <w:t>4.3410</w:t>
            </w:r>
          </w:p>
        </w:tc>
        <w:tc>
          <w:tcPr>
            <w:tcW w:type="dxa" w:w="2484"/>
            <w:vAlign w:val="center"/>
          </w:tcPr>
          <w:p>
            <w:r>
              <w:rPr>
                <w:b w:val="0"/>
                <w:sz w:val="18"/>
              </w:rPr>
              <w:t>3.1816</w:t>
            </w:r>
          </w:p>
        </w:tc>
      </w:tr>
      <w:tr>
        <w:tc>
          <w:tcPr>
            <w:tcW w:type="dxa" w:w="2484"/>
            <w:vAlign w:val="center"/>
          </w:tcPr>
          <w:p>
            <w:r>
              <w:rPr>
                <w:b w:val="0"/>
                <w:sz w:val="18"/>
              </w:rPr>
              <w:t>Decision Tree</w:t>
            </w:r>
          </w:p>
        </w:tc>
        <w:tc>
          <w:tcPr>
            <w:tcW w:type="dxa" w:w="2484"/>
            <w:vAlign w:val="center"/>
          </w:tcPr>
          <w:p>
            <w:r>
              <w:rPr>
                <w:b w:val="0"/>
                <w:sz w:val="18"/>
              </w:rPr>
              <w:t>-0.2615</w:t>
            </w:r>
          </w:p>
        </w:tc>
        <w:tc>
          <w:tcPr>
            <w:tcW w:type="dxa" w:w="2484"/>
            <w:vAlign w:val="center"/>
          </w:tcPr>
          <w:p>
            <w:r>
              <w:rPr>
                <w:b w:val="0"/>
                <w:sz w:val="18"/>
              </w:rPr>
              <w:t>6.4649</w:t>
            </w:r>
          </w:p>
        </w:tc>
        <w:tc>
          <w:tcPr>
            <w:tcW w:type="dxa" w:w="2484"/>
            <w:vAlign w:val="center"/>
          </w:tcPr>
          <w:p>
            <w:r>
              <w:rPr>
                <w:b w:val="0"/>
                <w:sz w:val="18"/>
              </w:rPr>
              <w:t>4.8434</w:t>
            </w:r>
          </w:p>
        </w:tc>
      </w:tr>
    </w:tbl>
    <w:p/>
    <w:p>
      <w:r>
        <w:t>The initial model comparison was performed on the 2024 validation dataset. Lasso and ElasticNet were selected for further cross-validation based on the highest validation R² values.</w:t>
      </w:r>
    </w:p>
    <w:p>
      <w:pPr>
        <w:pStyle w:val="Heading1"/>
      </w:pPr>
      <w:r>
        <w:t>11. Regression Cross-Validation</w:t>
      </w:r>
    </w:p>
    <w:p>
      <w:r>
        <w:t>Five-fold chronological cross-validation was performed on the 2010–2023 training data for the two selected models.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sz w:val="18"/>
              </w:rPr>
              <w:t>Model</w:t>
            </w:r>
          </w:p>
        </w:tc>
        <w:tc>
          <w:tcPr>
            <w:tcW w:type="dxa" w:w="1419"/>
            <w:vAlign w:val="center"/>
          </w:tcPr>
          <w:p>
            <w:r>
              <w:rPr>
                <w:b/>
                <w:sz w:val="18"/>
              </w:rPr>
              <w:t>Fold 1</w:t>
            </w:r>
          </w:p>
        </w:tc>
        <w:tc>
          <w:tcPr>
            <w:tcW w:type="dxa" w:w="1419"/>
            <w:vAlign w:val="center"/>
          </w:tcPr>
          <w:p>
            <w:r>
              <w:rPr>
                <w:b/>
                <w:sz w:val="18"/>
              </w:rPr>
              <w:t>Fold 2</w:t>
            </w:r>
          </w:p>
        </w:tc>
        <w:tc>
          <w:tcPr>
            <w:tcW w:type="dxa" w:w="1419"/>
            <w:vAlign w:val="center"/>
          </w:tcPr>
          <w:p>
            <w:r>
              <w:rPr>
                <w:b/>
                <w:sz w:val="18"/>
              </w:rPr>
              <w:t>Fold 3</w:t>
            </w:r>
          </w:p>
        </w:tc>
        <w:tc>
          <w:tcPr>
            <w:tcW w:type="dxa" w:w="1419"/>
            <w:vAlign w:val="center"/>
          </w:tcPr>
          <w:p>
            <w:r>
              <w:rPr>
                <w:b/>
                <w:sz w:val="18"/>
              </w:rPr>
              <w:t>Fold 4</w:t>
            </w:r>
          </w:p>
        </w:tc>
        <w:tc>
          <w:tcPr>
            <w:tcW w:type="dxa" w:w="1419"/>
            <w:vAlign w:val="center"/>
          </w:tcPr>
          <w:p>
            <w:r>
              <w:rPr>
                <w:b/>
                <w:sz w:val="18"/>
              </w:rPr>
              <w:t>Fold 5</w:t>
            </w:r>
          </w:p>
        </w:tc>
        <w:tc>
          <w:tcPr>
            <w:tcW w:type="dxa" w:w="1419"/>
            <w:vAlign w:val="center"/>
          </w:tcPr>
          <w:p>
            <w:r>
              <w:rPr>
                <w:b/>
                <w:sz w:val="18"/>
              </w:rPr>
              <w:t>Mean R²</w:t>
            </w:r>
          </w:p>
        </w:tc>
      </w:tr>
      <w:tr>
        <w:tc>
          <w:tcPr>
            <w:tcW w:type="dxa" w:w="1419"/>
            <w:vAlign w:val="center"/>
          </w:tcPr>
          <w:p>
            <w:r>
              <w:rPr>
                <w:b w:val="0"/>
                <w:sz w:val="18"/>
              </w:rPr>
              <w:t>Lasso</w:t>
            </w:r>
          </w:p>
        </w:tc>
        <w:tc>
          <w:tcPr>
            <w:tcW w:type="dxa" w:w="1419"/>
            <w:vAlign w:val="center"/>
          </w:tcPr>
          <w:p>
            <w:r>
              <w:rPr>
                <w:b w:val="0"/>
                <w:sz w:val="18"/>
              </w:rPr>
              <w:t>0.3846</w:t>
            </w:r>
          </w:p>
        </w:tc>
        <w:tc>
          <w:tcPr>
            <w:tcW w:type="dxa" w:w="1419"/>
            <w:vAlign w:val="center"/>
          </w:tcPr>
          <w:p>
            <w:r>
              <w:rPr>
                <w:b w:val="0"/>
                <w:sz w:val="18"/>
              </w:rPr>
              <w:t>0.4432</w:t>
            </w:r>
          </w:p>
        </w:tc>
        <w:tc>
          <w:tcPr>
            <w:tcW w:type="dxa" w:w="1419"/>
            <w:vAlign w:val="center"/>
          </w:tcPr>
          <w:p>
            <w:r>
              <w:rPr>
                <w:b w:val="0"/>
                <w:sz w:val="18"/>
              </w:rPr>
              <w:t>0.4062</w:t>
            </w:r>
          </w:p>
        </w:tc>
        <w:tc>
          <w:tcPr>
            <w:tcW w:type="dxa" w:w="1419"/>
            <w:vAlign w:val="center"/>
          </w:tcPr>
          <w:p>
            <w:r>
              <w:rPr>
                <w:b w:val="0"/>
                <w:sz w:val="18"/>
              </w:rPr>
              <w:t>0.4007</w:t>
            </w:r>
          </w:p>
        </w:tc>
        <w:tc>
          <w:tcPr>
            <w:tcW w:type="dxa" w:w="1419"/>
            <w:vAlign w:val="center"/>
          </w:tcPr>
          <w:p>
            <w:r>
              <w:rPr>
                <w:b w:val="0"/>
                <w:sz w:val="18"/>
              </w:rPr>
              <w:t>0.4265</w:t>
            </w:r>
          </w:p>
        </w:tc>
        <w:tc>
          <w:tcPr>
            <w:tcW w:type="dxa" w:w="1419"/>
            <w:vAlign w:val="center"/>
          </w:tcPr>
          <w:p>
            <w:r>
              <w:rPr>
                <w:b w:val="0"/>
                <w:sz w:val="18"/>
              </w:rPr>
              <w:t>0.4122</w:t>
            </w:r>
          </w:p>
        </w:tc>
      </w:tr>
      <w:tr>
        <w:tc>
          <w:tcPr>
            <w:tcW w:type="dxa" w:w="1419"/>
            <w:vAlign w:val="center"/>
          </w:tcPr>
          <w:p>
            <w:r>
              <w:rPr>
                <w:b w:val="0"/>
                <w:sz w:val="18"/>
              </w:rPr>
              <w:t>ElasticNet</w:t>
            </w:r>
          </w:p>
        </w:tc>
        <w:tc>
          <w:tcPr>
            <w:tcW w:type="dxa" w:w="1419"/>
            <w:vAlign w:val="center"/>
          </w:tcPr>
          <w:p>
            <w:r>
              <w:rPr>
                <w:b w:val="0"/>
                <w:sz w:val="18"/>
              </w:rPr>
              <w:t>0.3884</w:t>
            </w:r>
          </w:p>
        </w:tc>
        <w:tc>
          <w:tcPr>
            <w:tcW w:type="dxa" w:w="1419"/>
            <w:vAlign w:val="center"/>
          </w:tcPr>
          <w:p>
            <w:r>
              <w:rPr>
                <w:b w:val="0"/>
                <w:sz w:val="18"/>
              </w:rPr>
              <w:t>0.4438</w:t>
            </w:r>
          </w:p>
        </w:tc>
        <w:tc>
          <w:tcPr>
            <w:tcW w:type="dxa" w:w="1419"/>
            <w:vAlign w:val="center"/>
          </w:tcPr>
          <w:p>
            <w:r>
              <w:rPr>
                <w:b w:val="0"/>
                <w:sz w:val="18"/>
              </w:rPr>
              <w:t>0.4078</w:t>
            </w:r>
          </w:p>
        </w:tc>
        <w:tc>
          <w:tcPr>
            <w:tcW w:type="dxa" w:w="1419"/>
            <w:vAlign w:val="center"/>
          </w:tcPr>
          <w:p>
            <w:r>
              <w:rPr>
                <w:b w:val="0"/>
                <w:sz w:val="18"/>
              </w:rPr>
              <w:t>0.4006</w:t>
            </w:r>
          </w:p>
        </w:tc>
        <w:tc>
          <w:tcPr>
            <w:tcW w:type="dxa" w:w="1419"/>
            <w:vAlign w:val="center"/>
          </w:tcPr>
          <w:p>
            <w:r>
              <w:rPr>
                <w:b w:val="0"/>
                <w:sz w:val="18"/>
              </w:rPr>
              <w:t>0.4259</w:t>
            </w:r>
          </w:p>
        </w:tc>
        <w:tc>
          <w:tcPr>
            <w:tcW w:type="dxa" w:w="1419"/>
            <w:vAlign w:val="center"/>
          </w:tcPr>
          <w:p>
            <w:r>
              <w:rPr>
                <w:b w:val="0"/>
                <w:sz w:val="18"/>
              </w:rPr>
              <w:t>0.4133</w:t>
            </w:r>
          </w:p>
        </w:tc>
      </w:tr>
    </w:tbl>
    <w:p/>
    <w:p>
      <w:pPr>
        <w:pStyle w:val="Heading1"/>
      </w:pPr>
      <w:r>
        <w:t>12. Hyperparameter Tuning</w:t>
      </w:r>
    </w:p>
    <w:p>
      <w:r>
        <w:t>GridSearchCV with chronological TimeSeriesSplit was used to tune the two selected regression models.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sz w:val="18"/>
              </w:rPr>
              <w:t>Model</w:t>
            </w:r>
          </w:p>
        </w:tc>
        <w:tc>
          <w:tcPr>
            <w:tcW w:type="dxa" w:w="3312"/>
            <w:vAlign w:val="center"/>
          </w:tcPr>
          <w:p>
            <w:r>
              <w:rPr>
                <w:b/>
                <w:sz w:val="18"/>
              </w:rPr>
              <w:t>Best Parameters</w:t>
            </w:r>
          </w:p>
        </w:tc>
        <w:tc>
          <w:tcPr>
            <w:tcW w:type="dxa" w:w="3312"/>
            <w:vAlign w:val="center"/>
          </w:tcPr>
          <w:p>
            <w:r>
              <w:rPr>
                <w:b/>
                <w:sz w:val="18"/>
              </w:rPr>
              <w:t>Best CV R²</w:t>
            </w:r>
          </w:p>
        </w:tc>
      </w:tr>
      <w:tr>
        <w:tc>
          <w:tcPr>
            <w:tcW w:type="dxa" w:w="3312"/>
            <w:vAlign w:val="center"/>
          </w:tcPr>
          <w:p>
            <w:r>
              <w:rPr>
                <w:b w:val="0"/>
                <w:sz w:val="18"/>
              </w:rPr>
              <w:t>Lasso</w:t>
            </w:r>
          </w:p>
        </w:tc>
        <w:tc>
          <w:tcPr>
            <w:tcW w:type="dxa" w:w="3312"/>
            <w:vAlign w:val="center"/>
          </w:tcPr>
          <w:p>
            <w:r>
              <w:rPr>
                <w:b w:val="0"/>
                <w:sz w:val="18"/>
              </w:rPr>
              <w:t>alpha = 0.05</w:t>
            </w:r>
          </w:p>
        </w:tc>
        <w:tc>
          <w:tcPr>
            <w:tcW w:type="dxa" w:w="3312"/>
            <w:vAlign w:val="center"/>
          </w:tcPr>
          <w:p>
            <w:r>
              <w:rPr>
                <w:b w:val="0"/>
                <w:sz w:val="18"/>
              </w:rPr>
              <w:t>0.4150</w:t>
            </w:r>
          </w:p>
        </w:tc>
      </w:tr>
      <w:tr>
        <w:tc>
          <w:tcPr>
            <w:tcW w:type="dxa" w:w="3312"/>
            <w:vAlign w:val="center"/>
          </w:tcPr>
          <w:p>
            <w:r>
              <w:rPr>
                <w:b w:val="0"/>
                <w:sz w:val="18"/>
              </w:rPr>
              <w:t>ElasticNet</w:t>
            </w:r>
          </w:p>
        </w:tc>
        <w:tc>
          <w:tcPr>
            <w:tcW w:type="dxa" w:w="3312"/>
            <w:vAlign w:val="center"/>
          </w:tcPr>
          <w:p>
            <w:r>
              <w:rPr>
                <w:b w:val="0"/>
                <w:sz w:val="18"/>
              </w:rPr>
              <w:t>alpha = 0.05, l1_ratio = 0.9</w:t>
            </w:r>
          </w:p>
        </w:tc>
        <w:tc>
          <w:tcPr>
            <w:tcW w:type="dxa" w:w="3312"/>
            <w:vAlign w:val="center"/>
          </w:tcPr>
          <w:p>
            <w:r>
              <w:rPr>
                <w:b w:val="0"/>
                <w:sz w:val="18"/>
              </w:rPr>
              <w:t>0.4151</w:t>
            </w:r>
          </w:p>
        </w:tc>
      </w:tr>
    </w:tbl>
    <w:p/>
    <w:p>
      <w:r>
        <w:t>The tuned models showed a small improvement in cross-validation performance compared with their initial settings.</w:t>
      </w:r>
    </w:p>
    <w:p>
      <w:pPr>
        <w:pStyle w:val="Heading1"/>
      </w:pPr>
      <w:r>
        <w:t>13. Tuned Regression Results — 2024 Validation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sz w:val="18"/>
              </w:rPr>
              <w:t>Model</w:t>
            </w:r>
          </w:p>
        </w:tc>
        <w:tc>
          <w:tcPr>
            <w:tcW w:type="dxa" w:w="2484"/>
            <w:vAlign w:val="center"/>
          </w:tcPr>
          <w:p>
            <w:r>
              <w:rPr>
                <w:b/>
                <w:sz w:val="18"/>
              </w:rPr>
              <w:t>R²</w:t>
            </w:r>
          </w:p>
        </w:tc>
        <w:tc>
          <w:tcPr>
            <w:tcW w:type="dxa" w:w="2484"/>
            <w:vAlign w:val="center"/>
          </w:tcPr>
          <w:p>
            <w:r>
              <w:rPr>
                <w:b/>
                <w:sz w:val="18"/>
              </w:rPr>
              <w:t>RMSE</w:t>
            </w:r>
          </w:p>
        </w:tc>
        <w:tc>
          <w:tcPr>
            <w:tcW w:type="dxa" w:w="2484"/>
            <w:vAlign w:val="center"/>
          </w:tcPr>
          <w:p>
            <w:r>
              <w:rPr>
                <w:b/>
                <w:sz w:val="18"/>
              </w:rPr>
              <w:t>MAE</w:t>
            </w:r>
          </w:p>
        </w:tc>
      </w:tr>
      <w:tr>
        <w:tc>
          <w:tcPr>
            <w:tcW w:type="dxa" w:w="2484"/>
            <w:vAlign w:val="center"/>
          </w:tcPr>
          <w:p>
            <w:r>
              <w:rPr>
                <w:b w:val="0"/>
                <w:sz w:val="18"/>
              </w:rPr>
              <w:t>Tuned Lasso</w:t>
            </w:r>
          </w:p>
        </w:tc>
        <w:tc>
          <w:tcPr>
            <w:tcW w:type="dxa" w:w="2484"/>
            <w:vAlign w:val="center"/>
          </w:tcPr>
          <w:p>
            <w:r>
              <w:rPr>
                <w:b w:val="0"/>
                <w:sz w:val="18"/>
              </w:rPr>
              <w:t>0.5676</w:t>
            </w:r>
          </w:p>
        </w:tc>
        <w:tc>
          <w:tcPr>
            <w:tcW w:type="dxa" w:w="2484"/>
            <w:vAlign w:val="center"/>
          </w:tcPr>
          <w:p>
            <w:r>
              <w:rPr>
                <w:b w:val="0"/>
                <w:sz w:val="18"/>
              </w:rPr>
              <w:t>3.7849</w:t>
            </w:r>
          </w:p>
        </w:tc>
        <w:tc>
          <w:tcPr>
            <w:tcW w:type="dxa" w:w="2484"/>
            <w:vAlign w:val="center"/>
          </w:tcPr>
          <w:p>
            <w:r>
              <w:rPr>
                <w:b w:val="0"/>
                <w:sz w:val="18"/>
              </w:rPr>
              <w:t>2.9587</w:t>
            </w:r>
          </w:p>
        </w:tc>
      </w:tr>
      <w:tr>
        <w:tc>
          <w:tcPr>
            <w:tcW w:type="dxa" w:w="2484"/>
            <w:vAlign w:val="center"/>
          </w:tcPr>
          <w:p>
            <w:r>
              <w:rPr>
                <w:b w:val="0"/>
                <w:sz w:val="18"/>
              </w:rPr>
              <w:t>Tuned ElasticNet</w:t>
            </w:r>
          </w:p>
        </w:tc>
        <w:tc>
          <w:tcPr>
            <w:tcW w:type="dxa" w:w="2484"/>
            <w:vAlign w:val="center"/>
          </w:tcPr>
          <w:p>
            <w:r>
              <w:rPr>
                <w:b w:val="0"/>
                <w:sz w:val="18"/>
              </w:rPr>
              <w:t>0.5675</w:t>
            </w:r>
          </w:p>
        </w:tc>
        <w:tc>
          <w:tcPr>
            <w:tcW w:type="dxa" w:w="2484"/>
            <w:vAlign w:val="center"/>
          </w:tcPr>
          <w:p>
            <w:r>
              <w:rPr>
                <w:b w:val="0"/>
                <w:sz w:val="18"/>
              </w:rPr>
              <w:t>3.7856</w:t>
            </w:r>
          </w:p>
        </w:tc>
        <w:tc>
          <w:tcPr>
            <w:tcW w:type="dxa" w:w="2484"/>
            <w:vAlign w:val="center"/>
          </w:tcPr>
          <w:p>
            <w:r>
              <w:rPr>
                <w:b w:val="0"/>
                <w:sz w:val="18"/>
              </w:rPr>
              <w:t>2.9582</w:t>
            </w:r>
          </w:p>
        </w:tc>
      </w:tr>
    </w:tbl>
    <w:p/>
    <w:p>
      <w:r>
        <w:t>Tuned Lasso was selected for the final regression test evaluation based on its slightly higher 2024 validation R².</w:t>
      </w:r>
    </w:p>
    <w:p>
      <w:pPr>
        <w:pStyle w:val="Heading1"/>
      </w:pPr>
      <w:r>
        <w:t>14. Regression Visualizations</w:t>
      </w:r>
    </w:p>
    <w:p>
      <w:pPr>
        <w:pStyle w:val="ListBullet"/>
      </w:pPr>
      <w:r>
        <w:t>Actual vs Predicted plot was generated for the Tuned Lasso model.</w:t>
      </w:r>
    </w:p>
    <w:p>
      <w:pPr>
        <w:pStyle w:val="ListBullet"/>
      </w:pPr>
      <w:r>
        <w:t>Residual plot was generated to analyze prediction errors.</w:t>
      </w:r>
    </w:p>
    <w:p>
      <w:pPr>
        <w:pStyle w:val="ListBullet"/>
      </w:pPr>
      <w:r>
        <w:t>Random Forest feature importance was generated to identify influential features.</w:t>
      </w:r>
    </w:p>
    <w:p>
      <w:r>
        <w:t>The Actual vs Predicted plot showed that predictions generally follow the actual finishing-position trend, while also showing prediction concentration toward middle finishing positions.</w:t>
      </w:r>
    </w:p>
    <w:p>
      <w:r>
        <w:t>The residual plot showed residuals around zero but also displayed a noticeable pattern and several larger residuals, indicating systematic prediction errors for certain finishing positions.</w:t>
      </w:r>
    </w:p>
    <w:p>
      <w:pPr>
        <w:pStyle w:val="Heading1"/>
      </w:pPr>
      <w:r>
        <w:t>15. Random Forest Feature Importance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Feature</w:t>
            </w:r>
          </w:p>
        </w:tc>
        <w:tc>
          <w:tcPr>
            <w:tcW w:type="dxa" w:w="4968"/>
            <w:vAlign w:val="center"/>
          </w:tcPr>
          <w:p>
            <w:r>
              <w:rPr>
                <w:b/>
                <w:sz w:val="18"/>
              </w:rPr>
              <w:t>Importance</w:t>
            </w:r>
          </w:p>
        </w:tc>
      </w:tr>
      <w:tr>
        <w:tc>
          <w:tcPr>
            <w:tcW w:type="dxa" w:w="4968"/>
            <w:vAlign w:val="center"/>
          </w:tcPr>
          <w:p>
            <w:r>
              <w:rPr>
                <w:b w:val="0"/>
                <w:sz w:val="18"/>
              </w:rPr>
              <w:t>qualifying_position</w:t>
            </w:r>
          </w:p>
        </w:tc>
        <w:tc>
          <w:tcPr>
            <w:tcW w:type="dxa" w:w="4968"/>
            <w:vAlign w:val="center"/>
          </w:tcPr>
          <w:p>
            <w:r>
              <w:rPr>
                <w:b w:val="0"/>
                <w:sz w:val="18"/>
              </w:rPr>
              <w:t>0.3567</w:t>
            </w:r>
          </w:p>
        </w:tc>
      </w:tr>
      <w:tr>
        <w:tc>
          <w:tcPr>
            <w:tcW w:type="dxa" w:w="4968"/>
            <w:vAlign w:val="center"/>
          </w:tcPr>
          <w:p>
            <w:r>
              <w:rPr>
                <w:b w:val="0"/>
                <w:sz w:val="18"/>
              </w:rPr>
              <w:t>avg_qualifying_last_5</w:t>
            </w:r>
          </w:p>
        </w:tc>
        <w:tc>
          <w:tcPr>
            <w:tcW w:type="dxa" w:w="4968"/>
            <w:vAlign w:val="center"/>
          </w:tcPr>
          <w:p>
            <w:r>
              <w:rPr>
                <w:b w:val="0"/>
                <w:sz w:val="18"/>
              </w:rPr>
              <w:t>0.1248</w:t>
            </w:r>
          </w:p>
        </w:tc>
      </w:tr>
      <w:tr>
        <w:tc>
          <w:tcPr>
            <w:tcW w:type="dxa" w:w="4968"/>
            <w:vAlign w:val="center"/>
          </w:tcPr>
          <w:p>
            <w:r>
              <w:rPr>
                <w:b w:val="0"/>
                <w:sz w:val="18"/>
              </w:rPr>
              <w:t>avg_finish_all_previous</w:t>
            </w:r>
          </w:p>
        </w:tc>
        <w:tc>
          <w:tcPr>
            <w:tcW w:type="dxa" w:w="4968"/>
            <w:vAlign w:val="center"/>
          </w:tcPr>
          <w:p>
            <w:r>
              <w:rPr>
                <w:b w:val="0"/>
                <w:sz w:val="18"/>
              </w:rPr>
              <w:t>0.0775</w:t>
            </w:r>
          </w:p>
        </w:tc>
      </w:tr>
      <w:tr>
        <w:tc>
          <w:tcPr>
            <w:tcW w:type="dxa" w:w="4968"/>
            <w:vAlign w:val="center"/>
          </w:tcPr>
          <w:p>
            <w:r>
              <w:rPr>
                <w:b w:val="0"/>
                <w:sz w:val="18"/>
              </w:rPr>
              <w:t>avg_finish_last_5</w:t>
            </w:r>
          </w:p>
        </w:tc>
        <w:tc>
          <w:tcPr>
            <w:tcW w:type="dxa" w:w="4968"/>
            <w:vAlign w:val="center"/>
          </w:tcPr>
          <w:p>
            <w:r>
              <w:rPr>
                <w:b w:val="0"/>
                <w:sz w:val="18"/>
              </w:rPr>
              <w:t>0.0708</w:t>
            </w:r>
          </w:p>
        </w:tc>
      </w:tr>
      <w:tr>
        <w:tc>
          <w:tcPr>
            <w:tcW w:type="dxa" w:w="4968"/>
            <w:vAlign w:val="center"/>
          </w:tcPr>
          <w:p>
            <w:r>
              <w:rPr>
                <w:b w:val="0"/>
                <w:sz w:val="18"/>
              </w:rPr>
              <w:t>avg_qualifying_all_previous</w:t>
            </w:r>
          </w:p>
        </w:tc>
        <w:tc>
          <w:tcPr>
            <w:tcW w:type="dxa" w:w="4968"/>
            <w:vAlign w:val="center"/>
          </w:tcPr>
          <w:p>
            <w:r>
              <w:rPr>
                <w:b w:val="0"/>
                <w:sz w:val="18"/>
              </w:rPr>
              <w:t>0.0693</w:t>
            </w:r>
          </w:p>
        </w:tc>
      </w:tr>
      <w:tr>
        <w:tc>
          <w:tcPr>
            <w:tcW w:type="dxa" w:w="4968"/>
            <w:vAlign w:val="center"/>
          </w:tcPr>
          <w:p>
            <w:r>
              <w:rPr>
                <w:b w:val="0"/>
                <w:sz w:val="18"/>
              </w:rPr>
              <w:t>career_races_before</w:t>
            </w:r>
          </w:p>
        </w:tc>
        <w:tc>
          <w:tcPr>
            <w:tcW w:type="dxa" w:w="4968"/>
            <w:vAlign w:val="center"/>
          </w:tcPr>
          <w:p>
            <w:r>
              <w:rPr>
                <w:b w:val="0"/>
                <w:sz w:val="18"/>
              </w:rPr>
              <w:t>0.0641</w:t>
            </w:r>
          </w:p>
        </w:tc>
      </w:tr>
      <w:tr>
        <w:tc>
          <w:tcPr>
            <w:tcW w:type="dxa" w:w="4968"/>
            <w:vAlign w:val="center"/>
          </w:tcPr>
          <w:p>
            <w:r>
              <w:rPr>
                <w:b w:val="0"/>
                <w:sz w:val="18"/>
              </w:rPr>
              <w:t>constructor_points_so_far</w:t>
            </w:r>
          </w:p>
        </w:tc>
        <w:tc>
          <w:tcPr>
            <w:tcW w:type="dxa" w:w="4968"/>
            <w:vAlign w:val="center"/>
          </w:tcPr>
          <w:p>
            <w:r>
              <w:rPr>
                <w:b w:val="0"/>
                <w:sz w:val="18"/>
              </w:rPr>
              <w:t>0.0608</w:t>
            </w:r>
          </w:p>
        </w:tc>
      </w:tr>
      <w:tr>
        <w:tc>
          <w:tcPr>
            <w:tcW w:type="dxa" w:w="4968"/>
            <w:vAlign w:val="center"/>
          </w:tcPr>
          <w:p>
            <w:r>
              <w:rPr>
                <w:b w:val="0"/>
                <w:sz w:val="18"/>
              </w:rPr>
              <w:t>previous_finish</w:t>
            </w:r>
          </w:p>
        </w:tc>
        <w:tc>
          <w:tcPr>
            <w:tcW w:type="dxa" w:w="4968"/>
            <w:vAlign w:val="center"/>
          </w:tcPr>
          <w:p>
            <w:r>
              <w:rPr>
                <w:b w:val="0"/>
                <w:sz w:val="18"/>
              </w:rPr>
              <w:t>0.0469</w:t>
            </w:r>
          </w:p>
        </w:tc>
      </w:tr>
      <w:tr>
        <w:tc>
          <w:tcPr>
            <w:tcW w:type="dxa" w:w="4968"/>
            <w:vAlign w:val="center"/>
          </w:tcPr>
          <w:p>
            <w:r>
              <w:rPr>
                <w:b w:val="0"/>
                <w:sz w:val="18"/>
              </w:rPr>
              <w:t>season_points_so_far</w:t>
            </w:r>
          </w:p>
        </w:tc>
        <w:tc>
          <w:tcPr>
            <w:tcW w:type="dxa" w:w="4968"/>
            <w:vAlign w:val="center"/>
          </w:tcPr>
          <w:p>
            <w:r>
              <w:rPr>
                <w:b w:val="0"/>
                <w:sz w:val="18"/>
              </w:rPr>
              <w:t>0.0418</w:t>
            </w:r>
          </w:p>
        </w:tc>
      </w:tr>
      <w:tr>
        <w:tc>
          <w:tcPr>
            <w:tcW w:type="dxa" w:w="4968"/>
            <w:vAlign w:val="center"/>
          </w:tcPr>
          <w:p>
            <w:r>
              <w:rPr>
                <w:b w:val="0"/>
                <w:sz w:val="18"/>
              </w:rPr>
              <w:t>grid</w:t>
            </w:r>
          </w:p>
        </w:tc>
        <w:tc>
          <w:tcPr>
            <w:tcW w:type="dxa" w:w="4968"/>
            <w:vAlign w:val="center"/>
          </w:tcPr>
          <w:p>
            <w:r>
              <w:rPr>
                <w:b w:val="0"/>
                <w:sz w:val="18"/>
              </w:rPr>
              <w:t>0.0396</w:t>
            </w:r>
          </w:p>
        </w:tc>
      </w:tr>
      <w:tr>
        <w:tc>
          <w:tcPr>
            <w:tcW w:type="dxa" w:w="4968"/>
            <w:vAlign w:val="center"/>
          </w:tcPr>
          <w:p>
            <w:r>
              <w:rPr>
                <w:b w:val="0"/>
                <w:sz w:val="18"/>
              </w:rPr>
              <w:t>constructor_podiums_so_far</w:t>
            </w:r>
          </w:p>
        </w:tc>
        <w:tc>
          <w:tcPr>
            <w:tcW w:type="dxa" w:w="4968"/>
            <w:vAlign w:val="center"/>
          </w:tcPr>
          <w:p>
            <w:r>
              <w:rPr>
                <w:b w:val="0"/>
                <w:sz w:val="18"/>
              </w:rPr>
              <w:t>0.0180</w:t>
            </w:r>
          </w:p>
        </w:tc>
      </w:tr>
      <w:tr>
        <w:tc>
          <w:tcPr>
            <w:tcW w:type="dxa" w:w="4968"/>
            <w:vAlign w:val="center"/>
          </w:tcPr>
          <w:p>
            <w:r>
              <w:rPr>
                <w:b w:val="0"/>
                <w:sz w:val="18"/>
              </w:rPr>
              <w:t>season_podiums_so_far</w:t>
            </w:r>
          </w:p>
        </w:tc>
        <w:tc>
          <w:tcPr>
            <w:tcW w:type="dxa" w:w="4968"/>
            <w:vAlign w:val="center"/>
          </w:tcPr>
          <w:p>
            <w:r>
              <w:rPr>
                <w:b w:val="0"/>
                <w:sz w:val="18"/>
              </w:rPr>
              <w:t>0.0130</w:t>
            </w:r>
          </w:p>
        </w:tc>
      </w:tr>
      <w:tr>
        <w:tc>
          <w:tcPr>
            <w:tcW w:type="dxa" w:w="4968"/>
            <w:vAlign w:val="center"/>
          </w:tcPr>
          <w:p>
            <w:r>
              <w:rPr>
                <w:b w:val="0"/>
                <w:sz w:val="18"/>
              </w:rPr>
              <w:t>constructor_wins_so_far</w:t>
            </w:r>
          </w:p>
        </w:tc>
        <w:tc>
          <w:tcPr>
            <w:tcW w:type="dxa" w:w="4968"/>
            <w:vAlign w:val="center"/>
          </w:tcPr>
          <w:p>
            <w:r>
              <w:rPr>
                <w:b w:val="0"/>
                <w:sz w:val="18"/>
              </w:rPr>
              <w:t>0.0092</w:t>
            </w:r>
          </w:p>
        </w:tc>
      </w:tr>
      <w:tr>
        <w:tc>
          <w:tcPr>
            <w:tcW w:type="dxa" w:w="4968"/>
            <w:vAlign w:val="center"/>
          </w:tcPr>
          <w:p>
            <w:r>
              <w:rPr>
                <w:b w:val="0"/>
                <w:sz w:val="18"/>
              </w:rPr>
              <w:t>season_wins_so_far</w:t>
            </w:r>
          </w:p>
        </w:tc>
        <w:tc>
          <w:tcPr>
            <w:tcW w:type="dxa" w:w="4968"/>
            <w:vAlign w:val="center"/>
          </w:tcPr>
          <w:p>
            <w:r>
              <w:rPr>
                <w:b w:val="0"/>
                <w:sz w:val="18"/>
              </w:rPr>
              <w:t>0.0073</w:t>
            </w:r>
          </w:p>
        </w:tc>
      </w:tr>
    </w:tbl>
    <w:p/>
    <w:p>
      <w:r>
        <w:t>Qualifying position had the highest Random Forest feature importance, followed by recent qualifying performance and previous finishing performance.</w:t>
      </w:r>
    </w:p>
    <w:p>
      <w:pPr>
        <w:pStyle w:val="Heading1"/>
      </w:pPr>
      <w:r>
        <w:t>16. Final Regression Test — 2025</w:t>
      </w:r>
    </w:p>
    <w:p>
      <w:r>
        <w:t>The 2025 dataset was kept untouched during training, validation, model comparison, and hyperparameter tuning.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Metric</w:t>
            </w:r>
          </w:p>
        </w:tc>
        <w:tc>
          <w:tcPr>
            <w:tcW w:type="dxa" w:w="4968"/>
            <w:vAlign w:val="center"/>
          </w:tcPr>
          <w:p>
            <w:r>
              <w:rPr>
                <w:b/>
                <w:sz w:val="18"/>
              </w:rPr>
              <w:t>Tuned Lasso — 2025 Test</w:t>
            </w:r>
          </w:p>
        </w:tc>
      </w:tr>
      <w:tr>
        <w:tc>
          <w:tcPr>
            <w:tcW w:type="dxa" w:w="4968"/>
            <w:vAlign w:val="center"/>
          </w:tcPr>
          <w:p>
            <w:r>
              <w:rPr>
                <w:b w:val="0"/>
                <w:sz w:val="18"/>
              </w:rPr>
              <w:t>R²</w:t>
            </w:r>
          </w:p>
        </w:tc>
        <w:tc>
          <w:tcPr>
            <w:tcW w:type="dxa" w:w="4968"/>
            <w:vAlign w:val="center"/>
          </w:tcPr>
          <w:p>
            <w:r>
              <w:rPr>
                <w:b w:val="0"/>
                <w:sz w:val="18"/>
              </w:rPr>
              <w:t>0.4518</w:t>
            </w:r>
          </w:p>
        </w:tc>
      </w:tr>
      <w:tr>
        <w:tc>
          <w:tcPr>
            <w:tcW w:type="dxa" w:w="4968"/>
            <w:vAlign w:val="center"/>
          </w:tcPr>
          <w:p>
            <w:r>
              <w:rPr>
                <w:b w:val="0"/>
                <w:sz w:val="18"/>
              </w:rPr>
              <w:t>RMSE</w:t>
            </w:r>
          </w:p>
        </w:tc>
        <w:tc>
          <w:tcPr>
            <w:tcW w:type="dxa" w:w="4968"/>
            <w:vAlign w:val="center"/>
          </w:tcPr>
          <w:p>
            <w:r>
              <w:rPr>
                <w:b w:val="0"/>
                <w:sz w:val="18"/>
              </w:rPr>
              <w:t>4.2618</w:t>
            </w:r>
          </w:p>
        </w:tc>
      </w:tr>
      <w:tr>
        <w:tc>
          <w:tcPr>
            <w:tcW w:type="dxa" w:w="4968"/>
            <w:vAlign w:val="center"/>
          </w:tcPr>
          <w:p>
            <w:r>
              <w:rPr>
                <w:b w:val="0"/>
                <w:sz w:val="18"/>
              </w:rPr>
              <w:t>MAE</w:t>
            </w:r>
          </w:p>
        </w:tc>
        <w:tc>
          <w:tcPr>
            <w:tcW w:type="dxa" w:w="4968"/>
            <w:vAlign w:val="center"/>
          </w:tcPr>
          <w:p>
            <w:r>
              <w:rPr>
                <w:b w:val="0"/>
                <w:sz w:val="18"/>
              </w:rPr>
              <w:t>3.2128</w:t>
            </w:r>
          </w:p>
        </w:tc>
      </w:tr>
    </w:tbl>
    <w:p/>
    <w:p>
      <w:r>
        <w:t>The MAE of 3.2128 indicates that the predicted finishing position differs from the actual finishing position by approximately 3.21 positions on average on the 2025 test data.</w:t>
      </w:r>
    </w:p>
    <w:p>
      <w:pPr>
        <w:pStyle w:val="Heading1"/>
      </w:pPr>
      <w:r>
        <w:t>17. Classification Modeling</w:t>
      </w:r>
    </w:p>
    <w:p>
      <w:r>
        <w:t>The classification task predicts whether a driver finishes on the podium.</w:t>
      </w:r>
    </w:p>
    <w:p>
      <w:r>
        <w:t>Target definition:</w:t>
      </w:r>
    </w:p>
    <w:p>
      <w:pPr>
        <w:pStyle w:val="ListBullet"/>
      </w:pPr>
      <w:r>
        <w:t>1 = Podium (1st, 2nd, or 3rd)</w:t>
      </w:r>
    </w:p>
    <w:p>
      <w:pPr>
        <w:pStyle w:val="ListBullet"/>
      </w:pPr>
      <w:r>
        <w:t>0 = No Podium</w:t>
      </w:r>
    </w:p>
    <w:p>
      <w:pPr>
        <w:pStyle w:val="Heading2"/>
      </w:pPr>
      <w:r>
        <w:t>17.1 Classification Models</w:t>
      </w:r>
    </w:p>
    <w:p>
      <w:pPr>
        <w:pStyle w:val="ListBullet"/>
      </w:pPr>
      <w:r>
        <w:t>Logistic Regression</w:t>
      </w:r>
    </w:p>
    <w:p>
      <w:pPr>
        <w:pStyle w:val="ListBullet"/>
      </w:pPr>
      <w:r>
        <w:t>K-Nearest Neighbors (KNN)</w:t>
      </w:r>
    </w:p>
    <w:p>
      <w:pPr>
        <w:pStyle w:val="ListBullet"/>
      </w:pPr>
      <w:r>
        <w:t>Gaussian Naive Bayes</w:t>
      </w:r>
    </w:p>
    <w:p>
      <w:pPr>
        <w:pStyle w:val="ListBullet"/>
      </w:pPr>
      <w:r>
        <w:t>Decision Tree</w:t>
      </w:r>
    </w:p>
    <w:p>
      <w:pPr>
        <w:pStyle w:val="ListBullet"/>
      </w:pPr>
      <w:r>
        <w:t>Support Vector Classifier (SVC)</w:t>
      </w:r>
    </w:p>
    <w:p>
      <w:pPr>
        <w:pStyle w:val="Heading2"/>
      </w:pPr>
      <w:r>
        <w:t>17.2 Classification Metrics</w:t>
      </w:r>
    </w:p>
    <w:p>
      <w:pPr>
        <w:pStyle w:val="ListBullet"/>
      </w:pPr>
      <w:r>
        <w:t>Accuracy</w:t>
      </w:r>
    </w:p>
    <w:p>
      <w:pPr>
        <w:pStyle w:val="ListBullet"/>
      </w:pPr>
      <w:r>
        <w:t>Weighted F1-score</w:t>
      </w:r>
    </w:p>
    <w:p>
      <w:pPr>
        <w:pStyle w:val="ListBullet"/>
      </w:pPr>
      <w:r>
        <w:t>ROC-AUC</w:t>
      </w:r>
    </w:p>
    <w:p>
      <w:pPr>
        <w:pStyle w:val="ListBullet"/>
      </w:pPr>
      <w:r>
        <w:t>Confusion Matrix</w:t>
      </w:r>
    </w:p>
    <w:p>
      <w:pPr>
        <w:pStyle w:val="Heading1"/>
      </w:pPr>
      <w:r>
        <w:t>18. Classification Validation Results — 2024</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sz w:val="18"/>
              </w:rPr>
              <w:t>Model</w:t>
            </w:r>
          </w:p>
        </w:tc>
        <w:tc>
          <w:tcPr>
            <w:tcW w:type="dxa" w:w="2484"/>
            <w:vAlign w:val="center"/>
          </w:tcPr>
          <w:p>
            <w:r>
              <w:rPr>
                <w:b/>
                <w:sz w:val="18"/>
              </w:rPr>
              <w:t>Accuracy</w:t>
            </w:r>
          </w:p>
        </w:tc>
        <w:tc>
          <w:tcPr>
            <w:tcW w:type="dxa" w:w="2484"/>
            <w:vAlign w:val="center"/>
          </w:tcPr>
          <w:p>
            <w:r>
              <w:rPr>
                <w:b/>
                <w:sz w:val="18"/>
              </w:rPr>
              <w:t>Weighted F1</w:t>
            </w:r>
          </w:p>
        </w:tc>
        <w:tc>
          <w:tcPr>
            <w:tcW w:type="dxa" w:w="2484"/>
            <w:vAlign w:val="center"/>
          </w:tcPr>
          <w:p>
            <w:r>
              <w:rPr>
                <w:b/>
                <w:sz w:val="18"/>
              </w:rPr>
              <w:t>ROC-AUC</w:t>
            </w:r>
          </w:p>
        </w:tc>
      </w:tr>
      <w:tr>
        <w:tc>
          <w:tcPr>
            <w:tcW w:type="dxa" w:w="2484"/>
            <w:vAlign w:val="center"/>
          </w:tcPr>
          <w:p>
            <w:r>
              <w:rPr>
                <w:b w:val="0"/>
                <w:sz w:val="18"/>
              </w:rPr>
              <w:t>Logistic Regression</w:t>
            </w:r>
          </w:p>
        </w:tc>
        <w:tc>
          <w:tcPr>
            <w:tcW w:type="dxa" w:w="2484"/>
            <w:vAlign w:val="center"/>
          </w:tcPr>
          <w:p>
            <w:r>
              <w:rPr>
                <w:b w:val="0"/>
                <w:sz w:val="18"/>
              </w:rPr>
              <w:t>0.8831</w:t>
            </w:r>
          </w:p>
        </w:tc>
        <w:tc>
          <w:tcPr>
            <w:tcW w:type="dxa" w:w="2484"/>
            <w:vAlign w:val="center"/>
          </w:tcPr>
          <w:p>
            <w:r>
              <w:rPr>
                <w:b w:val="0"/>
                <w:sz w:val="18"/>
              </w:rPr>
              <w:t>0.8786</w:t>
            </w:r>
          </w:p>
        </w:tc>
        <w:tc>
          <w:tcPr>
            <w:tcW w:type="dxa" w:w="2484"/>
            <w:vAlign w:val="center"/>
          </w:tcPr>
          <w:p>
            <w:r>
              <w:rPr>
                <w:b w:val="0"/>
                <w:sz w:val="18"/>
              </w:rPr>
              <w:t>0.9271</w:t>
            </w:r>
          </w:p>
        </w:tc>
      </w:tr>
      <w:tr>
        <w:tc>
          <w:tcPr>
            <w:tcW w:type="dxa" w:w="2484"/>
            <w:vAlign w:val="center"/>
          </w:tcPr>
          <w:p>
            <w:r>
              <w:rPr>
                <w:b w:val="0"/>
                <w:sz w:val="18"/>
              </w:rPr>
              <w:t>SVC</w:t>
            </w:r>
          </w:p>
        </w:tc>
        <w:tc>
          <w:tcPr>
            <w:tcW w:type="dxa" w:w="2484"/>
            <w:vAlign w:val="center"/>
          </w:tcPr>
          <w:p>
            <w:r>
              <w:rPr>
                <w:b w:val="0"/>
                <w:sz w:val="18"/>
              </w:rPr>
              <w:t>0.8831</w:t>
            </w:r>
          </w:p>
        </w:tc>
        <w:tc>
          <w:tcPr>
            <w:tcW w:type="dxa" w:w="2484"/>
            <w:vAlign w:val="center"/>
          </w:tcPr>
          <w:p>
            <w:r>
              <w:rPr>
                <w:b w:val="0"/>
                <w:sz w:val="18"/>
              </w:rPr>
              <w:t>0.8810</w:t>
            </w:r>
          </w:p>
        </w:tc>
        <w:tc>
          <w:tcPr>
            <w:tcW w:type="dxa" w:w="2484"/>
            <w:vAlign w:val="center"/>
          </w:tcPr>
          <w:p>
            <w:r>
              <w:rPr>
                <w:b w:val="0"/>
                <w:sz w:val="18"/>
              </w:rPr>
              <w:t>0.9028</w:t>
            </w:r>
          </w:p>
        </w:tc>
      </w:tr>
      <w:tr>
        <w:tc>
          <w:tcPr>
            <w:tcW w:type="dxa" w:w="2484"/>
            <w:vAlign w:val="center"/>
          </w:tcPr>
          <w:p>
            <w:r>
              <w:rPr>
                <w:b w:val="0"/>
                <w:sz w:val="18"/>
              </w:rPr>
              <w:t>KNN</w:t>
            </w:r>
          </w:p>
        </w:tc>
        <w:tc>
          <w:tcPr>
            <w:tcW w:type="dxa" w:w="2484"/>
            <w:vAlign w:val="center"/>
          </w:tcPr>
          <w:p>
            <w:r>
              <w:rPr>
                <w:b w:val="0"/>
                <w:sz w:val="18"/>
              </w:rPr>
              <w:t>0.8643</w:t>
            </w:r>
          </w:p>
        </w:tc>
        <w:tc>
          <w:tcPr>
            <w:tcW w:type="dxa" w:w="2484"/>
            <w:vAlign w:val="center"/>
          </w:tcPr>
          <w:p>
            <w:r>
              <w:rPr>
                <w:b w:val="0"/>
                <w:sz w:val="18"/>
              </w:rPr>
              <w:t>0.8682</w:t>
            </w:r>
          </w:p>
        </w:tc>
        <w:tc>
          <w:tcPr>
            <w:tcW w:type="dxa" w:w="2484"/>
            <w:vAlign w:val="center"/>
          </w:tcPr>
          <w:p>
            <w:r>
              <w:rPr>
                <w:b w:val="0"/>
                <w:sz w:val="18"/>
              </w:rPr>
              <w:t>0.8869</w:t>
            </w:r>
          </w:p>
        </w:tc>
      </w:tr>
      <w:tr>
        <w:tc>
          <w:tcPr>
            <w:tcW w:type="dxa" w:w="2484"/>
            <w:vAlign w:val="center"/>
          </w:tcPr>
          <w:p>
            <w:r>
              <w:rPr>
                <w:b w:val="0"/>
                <w:sz w:val="18"/>
              </w:rPr>
              <w:t>Gaussian Naive Bayes</w:t>
            </w:r>
          </w:p>
        </w:tc>
        <w:tc>
          <w:tcPr>
            <w:tcW w:type="dxa" w:w="2484"/>
            <w:vAlign w:val="center"/>
          </w:tcPr>
          <w:p>
            <w:r>
              <w:rPr>
                <w:b w:val="0"/>
                <w:sz w:val="18"/>
              </w:rPr>
              <w:t>0.8058</w:t>
            </w:r>
          </w:p>
        </w:tc>
        <w:tc>
          <w:tcPr>
            <w:tcW w:type="dxa" w:w="2484"/>
            <w:vAlign w:val="center"/>
          </w:tcPr>
          <w:p>
            <w:r>
              <w:rPr>
                <w:b w:val="0"/>
                <w:sz w:val="18"/>
              </w:rPr>
              <w:t>0.8286</w:t>
            </w:r>
          </w:p>
        </w:tc>
        <w:tc>
          <w:tcPr>
            <w:tcW w:type="dxa" w:w="2484"/>
            <w:vAlign w:val="center"/>
          </w:tcPr>
          <w:p>
            <w:r>
              <w:rPr>
                <w:b w:val="0"/>
                <w:sz w:val="18"/>
              </w:rPr>
              <w:t>0.8826</w:t>
            </w:r>
          </w:p>
        </w:tc>
      </w:tr>
      <w:tr>
        <w:tc>
          <w:tcPr>
            <w:tcW w:type="dxa" w:w="2484"/>
            <w:vAlign w:val="center"/>
          </w:tcPr>
          <w:p>
            <w:r>
              <w:rPr>
                <w:b w:val="0"/>
                <w:sz w:val="18"/>
              </w:rPr>
              <w:t>Decision Tree</w:t>
            </w:r>
          </w:p>
        </w:tc>
        <w:tc>
          <w:tcPr>
            <w:tcW w:type="dxa" w:w="2484"/>
            <w:vAlign w:val="center"/>
          </w:tcPr>
          <w:p>
            <w:r>
              <w:rPr>
                <w:b w:val="0"/>
                <w:sz w:val="18"/>
              </w:rPr>
              <w:t>0.8539</w:t>
            </w:r>
          </w:p>
        </w:tc>
        <w:tc>
          <w:tcPr>
            <w:tcW w:type="dxa" w:w="2484"/>
            <w:vAlign w:val="center"/>
          </w:tcPr>
          <w:p>
            <w:r>
              <w:rPr>
                <w:b w:val="0"/>
                <w:sz w:val="18"/>
              </w:rPr>
              <w:t>0.8577</w:t>
            </w:r>
          </w:p>
        </w:tc>
        <w:tc>
          <w:tcPr>
            <w:tcW w:type="dxa" w:w="2484"/>
            <w:vAlign w:val="center"/>
          </w:tcPr>
          <w:p>
            <w:r>
              <w:rPr>
                <w:b w:val="0"/>
                <w:sz w:val="18"/>
              </w:rPr>
              <w:t>0.7425</w:t>
            </w:r>
          </w:p>
        </w:tc>
      </w:tr>
    </w:tbl>
    <w:p/>
    <w:p>
      <w:r>
        <w:t>The classification models were compared using accuracy, weighted F1-score, and ROC-AUC on the 2024 validation dataset.</w:t>
      </w:r>
    </w:p>
    <w:p>
      <w:pPr>
        <w:pStyle w:val="Heading1"/>
      </w:pPr>
      <w:r>
        <w:t>19. Classification Confusion Matrices</w:t>
      </w:r>
    </w:p>
    <w:p>
      <w:r>
        <w:t>Confusion matrices were generated for all five classification models using the 2024 validation dataset.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sz w:val="18"/>
              </w:rPr>
              <w:t>Model</w:t>
            </w:r>
          </w:p>
        </w:tc>
        <w:tc>
          <w:tcPr>
            <w:tcW w:type="dxa" w:w="1987"/>
            <w:vAlign w:val="center"/>
          </w:tcPr>
          <w:p>
            <w:r>
              <w:rPr>
                <w:b/>
                <w:sz w:val="18"/>
              </w:rPr>
              <w:t>TN</w:t>
            </w:r>
          </w:p>
        </w:tc>
        <w:tc>
          <w:tcPr>
            <w:tcW w:type="dxa" w:w="1987"/>
            <w:vAlign w:val="center"/>
          </w:tcPr>
          <w:p>
            <w:r>
              <w:rPr>
                <w:b/>
                <w:sz w:val="18"/>
              </w:rPr>
              <w:t>FP</w:t>
            </w:r>
          </w:p>
        </w:tc>
        <w:tc>
          <w:tcPr>
            <w:tcW w:type="dxa" w:w="1987"/>
            <w:vAlign w:val="center"/>
          </w:tcPr>
          <w:p>
            <w:r>
              <w:rPr>
                <w:b/>
                <w:sz w:val="18"/>
              </w:rPr>
              <w:t>FN</w:t>
            </w:r>
          </w:p>
        </w:tc>
        <w:tc>
          <w:tcPr>
            <w:tcW w:type="dxa" w:w="1987"/>
            <w:vAlign w:val="center"/>
          </w:tcPr>
          <w:p>
            <w:r>
              <w:rPr>
                <w:b/>
                <w:sz w:val="18"/>
              </w:rPr>
              <w:t>TP</w:t>
            </w:r>
          </w:p>
        </w:tc>
      </w:tr>
      <w:tr>
        <w:tc>
          <w:tcPr>
            <w:tcW w:type="dxa" w:w="1987"/>
            <w:vAlign w:val="center"/>
          </w:tcPr>
          <w:p>
            <w:r>
              <w:rPr>
                <w:b w:val="0"/>
                <w:sz w:val="18"/>
              </w:rPr>
              <w:t>Logistic Regression</w:t>
            </w:r>
          </w:p>
        </w:tc>
        <w:tc>
          <w:tcPr>
            <w:tcW w:type="dxa" w:w="1987"/>
            <w:vAlign w:val="center"/>
          </w:tcPr>
          <w:p>
            <w:r>
              <w:rPr>
                <w:b w:val="0"/>
                <w:sz w:val="18"/>
              </w:rPr>
              <w:t>385</w:t>
            </w:r>
          </w:p>
        </w:tc>
        <w:tc>
          <w:tcPr>
            <w:tcW w:type="dxa" w:w="1987"/>
            <w:vAlign w:val="center"/>
          </w:tcPr>
          <w:p>
            <w:r>
              <w:rPr>
                <w:b w:val="0"/>
                <w:sz w:val="18"/>
              </w:rPr>
              <w:t>22</w:t>
            </w:r>
          </w:p>
        </w:tc>
        <w:tc>
          <w:tcPr>
            <w:tcW w:type="dxa" w:w="1987"/>
            <w:vAlign w:val="center"/>
          </w:tcPr>
          <w:p>
            <w:r>
              <w:rPr>
                <w:b w:val="0"/>
                <w:sz w:val="18"/>
              </w:rPr>
              <w:t>34</w:t>
            </w:r>
          </w:p>
        </w:tc>
        <w:tc>
          <w:tcPr>
            <w:tcW w:type="dxa" w:w="1987"/>
            <w:vAlign w:val="center"/>
          </w:tcPr>
          <w:p>
            <w:r>
              <w:rPr>
                <w:b w:val="0"/>
                <w:sz w:val="18"/>
              </w:rPr>
              <w:t>38</w:t>
            </w:r>
          </w:p>
        </w:tc>
      </w:tr>
      <w:tr>
        <w:tc>
          <w:tcPr>
            <w:tcW w:type="dxa" w:w="1987"/>
            <w:vAlign w:val="center"/>
          </w:tcPr>
          <w:p>
            <w:r>
              <w:rPr>
                <w:b w:val="0"/>
                <w:sz w:val="18"/>
              </w:rPr>
              <w:t>KNN</w:t>
            </w:r>
          </w:p>
        </w:tc>
        <w:tc>
          <w:tcPr>
            <w:tcW w:type="dxa" w:w="1987"/>
            <w:vAlign w:val="center"/>
          </w:tcPr>
          <w:p>
            <w:r>
              <w:rPr>
                <w:b w:val="0"/>
                <w:sz w:val="18"/>
              </w:rPr>
              <w:t>369</w:t>
            </w:r>
          </w:p>
        </w:tc>
        <w:tc>
          <w:tcPr>
            <w:tcW w:type="dxa" w:w="1987"/>
            <w:vAlign w:val="center"/>
          </w:tcPr>
          <w:p>
            <w:r>
              <w:rPr>
                <w:b w:val="0"/>
                <w:sz w:val="18"/>
              </w:rPr>
              <w:t>38</w:t>
            </w:r>
          </w:p>
        </w:tc>
        <w:tc>
          <w:tcPr>
            <w:tcW w:type="dxa" w:w="1987"/>
            <w:vAlign w:val="center"/>
          </w:tcPr>
          <w:p>
            <w:r>
              <w:rPr>
                <w:b w:val="0"/>
                <w:sz w:val="18"/>
              </w:rPr>
              <w:t>27</w:t>
            </w:r>
          </w:p>
        </w:tc>
        <w:tc>
          <w:tcPr>
            <w:tcW w:type="dxa" w:w="1987"/>
            <w:vAlign w:val="center"/>
          </w:tcPr>
          <w:p>
            <w:r>
              <w:rPr>
                <w:b w:val="0"/>
                <w:sz w:val="18"/>
              </w:rPr>
              <w:t>45</w:t>
            </w:r>
          </w:p>
        </w:tc>
      </w:tr>
      <w:tr>
        <w:tc>
          <w:tcPr>
            <w:tcW w:type="dxa" w:w="1987"/>
            <w:vAlign w:val="center"/>
          </w:tcPr>
          <w:p>
            <w:r>
              <w:rPr>
                <w:b w:val="0"/>
                <w:sz w:val="18"/>
              </w:rPr>
              <w:t>Gaussian Naive Bayes</w:t>
            </w:r>
          </w:p>
        </w:tc>
        <w:tc>
          <w:tcPr>
            <w:tcW w:type="dxa" w:w="1987"/>
            <w:vAlign w:val="center"/>
          </w:tcPr>
          <w:p>
            <w:r>
              <w:rPr>
                <w:b w:val="0"/>
                <w:sz w:val="18"/>
              </w:rPr>
              <w:t>325</w:t>
            </w:r>
          </w:p>
        </w:tc>
        <w:tc>
          <w:tcPr>
            <w:tcW w:type="dxa" w:w="1987"/>
            <w:vAlign w:val="center"/>
          </w:tcPr>
          <w:p>
            <w:r>
              <w:rPr>
                <w:b w:val="0"/>
                <w:sz w:val="18"/>
              </w:rPr>
              <w:t>82</w:t>
            </w:r>
          </w:p>
        </w:tc>
        <w:tc>
          <w:tcPr>
            <w:tcW w:type="dxa" w:w="1987"/>
            <w:vAlign w:val="center"/>
          </w:tcPr>
          <w:p>
            <w:r>
              <w:rPr>
                <w:b w:val="0"/>
                <w:sz w:val="18"/>
              </w:rPr>
              <w:t>11</w:t>
            </w:r>
          </w:p>
        </w:tc>
        <w:tc>
          <w:tcPr>
            <w:tcW w:type="dxa" w:w="1987"/>
            <w:vAlign w:val="center"/>
          </w:tcPr>
          <w:p>
            <w:r>
              <w:rPr>
                <w:b w:val="0"/>
                <w:sz w:val="18"/>
              </w:rPr>
              <w:t>61</w:t>
            </w:r>
          </w:p>
        </w:tc>
      </w:tr>
      <w:tr>
        <w:tc>
          <w:tcPr>
            <w:tcW w:type="dxa" w:w="1987"/>
            <w:vAlign w:val="center"/>
          </w:tcPr>
          <w:p>
            <w:r>
              <w:rPr>
                <w:b w:val="0"/>
                <w:sz w:val="18"/>
              </w:rPr>
              <w:t>Decision Tree</w:t>
            </w:r>
          </w:p>
        </w:tc>
        <w:tc>
          <w:tcPr>
            <w:tcW w:type="dxa" w:w="1987"/>
            <w:vAlign w:val="center"/>
          </w:tcPr>
          <w:p>
            <w:r>
              <w:rPr>
                <w:b w:val="0"/>
                <w:sz w:val="18"/>
              </w:rPr>
              <w:t>367</w:t>
            </w:r>
          </w:p>
        </w:tc>
        <w:tc>
          <w:tcPr>
            <w:tcW w:type="dxa" w:w="1987"/>
            <w:vAlign w:val="center"/>
          </w:tcPr>
          <w:p>
            <w:r>
              <w:rPr>
                <w:b w:val="0"/>
                <w:sz w:val="18"/>
              </w:rPr>
              <w:t>40</w:t>
            </w:r>
          </w:p>
        </w:tc>
        <w:tc>
          <w:tcPr>
            <w:tcW w:type="dxa" w:w="1987"/>
            <w:vAlign w:val="center"/>
          </w:tcPr>
          <w:p>
            <w:r>
              <w:rPr>
                <w:b w:val="0"/>
                <w:sz w:val="18"/>
              </w:rPr>
              <w:t>30</w:t>
            </w:r>
          </w:p>
        </w:tc>
        <w:tc>
          <w:tcPr>
            <w:tcW w:type="dxa" w:w="1987"/>
            <w:vAlign w:val="center"/>
          </w:tcPr>
          <w:p>
            <w:r>
              <w:rPr>
                <w:b w:val="0"/>
                <w:sz w:val="18"/>
              </w:rPr>
              <w:t>42</w:t>
            </w:r>
          </w:p>
        </w:tc>
      </w:tr>
      <w:tr>
        <w:tc>
          <w:tcPr>
            <w:tcW w:type="dxa" w:w="1987"/>
            <w:vAlign w:val="center"/>
          </w:tcPr>
          <w:p>
            <w:r>
              <w:rPr>
                <w:b w:val="0"/>
                <w:sz w:val="18"/>
              </w:rPr>
              <w:t>SVC</w:t>
            </w:r>
          </w:p>
        </w:tc>
        <w:tc>
          <w:tcPr>
            <w:tcW w:type="dxa" w:w="1987"/>
            <w:vAlign w:val="center"/>
          </w:tcPr>
          <w:p>
            <w:r>
              <w:rPr>
                <w:b w:val="0"/>
                <w:sz w:val="18"/>
              </w:rPr>
              <w:t>382</w:t>
            </w:r>
          </w:p>
        </w:tc>
        <w:tc>
          <w:tcPr>
            <w:tcW w:type="dxa" w:w="1987"/>
            <w:vAlign w:val="center"/>
          </w:tcPr>
          <w:p>
            <w:r>
              <w:rPr>
                <w:b w:val="0"/>
                <w:sz w:val="18"/>
              </w:rPr>
              <w:t>25</w:t>
            </w:r>
          </w:p>
        </w:tc>
        <w:tc>
          <w:tcPr>
            <w:tcW w:type="dxa" w:w="1987"/>
            <w:vAlign w:val="center"/>
          </w:tcPr>
          <w:p>
            <w:r>
              <w:rPr>
                <w:b w:val="0"/>
                <w:sz w:val="18"/>
              </w:rPr>
              <w:t>31</w:t>
            </w:r>
          </w:p>
        </w:tc>
        <w:tc>
          <w:tcPr>
            <w:tcW w:type="dxa" w:w="1987"/>
            <w:vAlign w:val="center"/>
          </w:tcPr>
          <w:p>
            <w:r>
              <w:rPr>
                <w:b w:val="0"/>
                <w:sz w:val="18"/>
              </w:rPr>
              <w:t>41</w:t>
            </w:r>
          </w:p>
        </w:tc>
      </w:tr>
    </w:tbl>
    <w:p/>
    <w:p>
      <w:pPr>
        <w:pStyle w:val="Heading1"/>
      </w:pPr>
      <w:r>
        <w:t>20. Final Classification Test — 2025</w:t>
      </w:r>
    </w:p>
    <w:p>
      <w:r>
        <w:t>The 2025 dataset was evaluated after the models had been trained using the 2010–2023 training period.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sz w:val="18"/>
              </w:rPr>
              <w:t>Model</w:t>
            </w:r>
          </w:p>
        </w:tc>
        <w:tc>
          <w:tcPr>
            <w:tcW w:type="dxa" w:w="2484"/>
            <w:vAlign w:val="center"/>
          </w:tcPr>
          <w:p>
            <w:r>
              <w:rPr>
                <w:b/>
                <w:sz w:val="18"/>
              </w:rPr>
              <w:t>Accuracy</w:t>
            </w:r>
          </w:p>
        </w:tc>
        <w:tc>
          <w:tcPr>
            <w:tcW w:type="dxa" w:w="2484"/>
            <w:vAlign w:val="center"/>
          </w:tcPr>
          <w:p>
            <w:r>
              <w:rPr>
                <w:b/>
                <w:sz w:val="18"/>
              </w:rPr>
              <w:t>Weighted F1</w:t>
            </w:r>
          </w:p>
        </w:tc>
        <w:tc>
          <w:tcPr>
            <w:tcW w:type="dxa" w:w="2484"/>
            <w:vAlign w:val="center"/>
          </w:tcPr>
          <w:p>
            <w:r>
              <w:rPr>
                <w:b/>
                <w:sz w:val="18"/>
              </w:rPr>
              <w:t>ROC-AUC</w:t>
            </w:r>
          </w:p>
        </w:tc>
      </w:tr>
      <w:tr>
        <w:tc>
          <w:tcPr>
            <w:tcW w:type="dxa" w:w="2484"/>
            <w:vAlign w:val="center"/>
          </w:tcPr>
          <w:p>
            <w:r>
              <w:rPr>
                <w:b w:val="0"/>
                <w:sz w:val="18"/>
              </w:rPr>
              <w:t>Logistic Regression</w:t>
            </w:r>
          </w:p>
        </w:tc>
        <w:tc>
          <w:tcPr>
            <w:tcW w:type="dxa" w:w="2484"/>
            <w:vAlign w:val="center"/>
          </w:tcPr>
          <w:p>
            <w:r>
              <w:rPr>
                <w:b w:val="0"/>
                <w:sz w:val="18"/>
              </w:rPr>
              <w:t>0.9269</w:t>
            </w:r>
          </w:p>
        </w:tc>
        <w:tc>
          <w:tcPr>
            <w:tcW w:type="dxa" w:w="2484"/>
            <w:vAlign w:val="center"/>
          </w:tcPr>
          <w:p>
            <w:r>
              <w:rPr>
                <w:b w:val="0"/>
                <w:sz w:val="18"/>
              </w:rPr>
              <w:t>0.9263</w:t>
            </w:r>
          </w:p>
        </w:tc>
        <w:tc>
          <w:tcPr>
            <w:tcW w:type="dxa" w:w="2484"/>
            <w:vAlign w:val="center"/>
          </w:tcPr>
          <w:p>
            <w:r>
              <w:rPr>
                <w:b w:val="0"/>
                <w:sz w:val="18"/>
              </w:rPr>
              <w:t>0.9411</w:t>
            </w:r>
          </w:p>
        </w:tc>
      </w:tr>
      <w:tr>
        <w:tc>
          <w:tcPr>
            <w:tcW w:type="dxa" w:w="2484"/>
            <w:vAlign w:val="center"/>
          </w:tcPr>
          <w:p>
            <w:r>
              <w:rPr>
                <w:b w:val="0"/>
                <w:sz w:val="18"/>
              </w:rPr>
              <w:t>KNN</w:t>
            </w:r>
          </w:p>
        </w:tc>
        <w:tc>
          <w:tcPr>
            <w:tcW w:type="dxa" w:w="2484"/>
            <w:vAlign w:val="center"/>
          </w:tcPr>
          <w:p>
            <w:r>
              <w:rPr>
                <w:b w:val="0"/>
                <w:sz w:val="18"/>
              </w:rPr>
              <w:t>0.8643</w:t>
            </w:r>
          </w:p>
        </w:tc>
        <w:tc>
          <w:tcPr>
            <w:tcW w:type="dxa" w:w="2484"/>
            <w:vAlign w:val="center"/>
          </w:tcPr>
          <w:p>
            <w:r>
              <w:rPr>
                <w:b w:val="0"/>
                <w:sz w:val="18"/>
              </w:rPr>
              <w:t>0.8694</w:t>
            </w:r>
          </w:p>
        </w:tc>
        <w:tc>
          <w:tcPr>
            <w:tcW w:type="dxa" w:w="2484"/>
            <w:vAlign w:val="center"/>
          </w:tcPr>
          <w:p>
            <w:r>
              <w:rPr>
                <w:b w:val="0"/>
                <w:sz w:val="18"/>
              </w:rPr>
              <w:t>0.8920</w:t>
            </w:r>
          </w:p>
        </w:tc>
      </w:tr>
      <w:tr>
        <w:tc>
          <w:tcPr>
            <w:tcW w:type="dxa" w:w="2484"/>
            <w:vAlign w:val="center"/>
          </w:tcPr>
          <w:p>
            <w:r>
              <w:rPr>
                <w:b w:val="0"/>
                <w:sz w:val="18"/>
              </w:rPr>
              <w:t>Gaussian Naive Bayes</w:t>
            </w:r>
          </w:p>
        </w:tc>
        <w:tc>
          <w:tcPr>
            <w:tcW w:type="dxa" w:w="2484"/>
            <w:vAlign w:val="center"/>
          </w:tcPr>
          <w:p>
            <w:r>
              <w:rPr>
                <w:b w:val="0"/>
                <w:sz w:val="18"/>
              </w:rPr>
              <w:t>0.8601</w:t>
            </w:r>
          </w:p>
        </w:tc>
        <w:tc>
          <w:tcPr>
            <w:tcW w:type="dxa" w:w="2484"/>
            <w:vAlign w:val="center"/>
          </w:tcPr>
          <w:p>
            <w:r>
              <w:rPr>
                <w:b w:val="0"/>
                <w:sz w:val="18"/>
              </w:rPr>
              <w:t>0.8727</w:t>
            </w:r>
          </w:p>
        </w:tc>
        <w:tc>
          <w:tcPr>
            <w:tcW w:type="dxa" w:w="2484"/>
            <w:vAlign w:val="center"/>
          </w:tcPr>
          <w:p>
            <w:r>
              <w:rPr>
                <w:b w:val="0"/>
                <w:sz w:val="18"/>
              </w:rPr>
              <w:t>0.9183</w:t>
            </w:r>
          </w:p>
        </w:tc>
      </w:tr>
      <w:tr>
        <w:tc>
          <w:tcPr>
            <w:tcW w:type="dxa" w:w="2484"/>
            <w:vAlign w:val="center"/>
          </w:tcPr>
          <w:p>
            <w:r>
              <w:rPr>
                <w:b w:val="0"/>
                <w:sz w:val="18"/>
              </w:rPr>
              <w:t>Decision Tree</w:t>
            </w:r>
          </w:p>
        </w:tc>
        <w:tc>
          <w:tcPr>
            <w:tcW w:type="dxa" w:w="2484"/>
            <w:vAlign w:val="center"/>
          </w:tcPr>
          <w:p>
            <w:r>
              <w:rPr>
                <w:b w:val="0"/>
                <w:sz w:val="18"/>
              </w:rPr>
              <w:t>0.8810</w:t>
            </w:r>
          </w:p>
        </w:tc>
        <w:tc>
          <w:tcPr>
            <w:tcW w:type="dxa" w:w="2484"/>
            <w:vAlign w:val="center"/>
          </w:tcPr>
          <w:p>
            <w:r>
              <w:rPr>
                <w:b w:val="0"/>
                <w:sz w:val="18"/>
              </w:rPr>
              <w:t>0.8820</w:t>
            </w:r>
          </w:p>
        </w:tc>
        <w:tc>
          <w:tcPr>
            <w:tcW w:type="dxa" w:w="2484"/>
            <w:vAlign w:val="center"/>
          </w:tcPr>
          <w:p>
            <w:r>
              <w:rPr>
                <w:b w:val="0"/>
                <w:sz w:val="18"/>
              </w:rPr>
              <w:t>0.7756</w:t>
            </w:r>
          </w:p>
        </w:tc>
      </w:tr>
      <w:tr>
        <w:tc>
          <w:tcPr>
            <w:tcW w:type="dxa" w:w="2484"/>
            <w:vAlign w:val="center"/>
          </w:tcPr>
          <w:p>
            <w:r>
              <w:rPr>
                <w:b w:val="0"/>
                <w:sz w:val="18"/>
              </w:rPr>
              <w:t>SVC</w:t>
            </w:r>
          </w:p>
        </w:tc>
        <w:tc>
          <w:tcPr>
            <w:tcW w:type="dxa" w:w="2484"/>
            <w:vAlign w:val="center"/>
          </w:tcPr>
          <w:p>
            <w:r>
              <w:rPr>
                <w:b w:val="0"/>
                <w:sz w:val="18"/>
              </w:rPr>
              <w:t>0.9186</w:t>
            </w:r>
          </w:p>
        </w:tc>
        <w:tc>
          <w:tcPr>
            <w:tcW w:type="dxa" w:w="2484"/>
            <w:vAlign w:val="center"/>
          </w:tcPr>
          <w:p>
            <w:r>
              <w:rPr>
                <w:b w:val="0"/>
                <w:sz w:val="18"/>
              </w:rPr>
              <w:t>0.9193</w:t>
            </w:r>
          </w:p>
        </w:tc>
        <w:tc>
          <w:tcPr>
            <w:tcW w:type="dxa" w:w="2484"/>
            <w:vAlign w:val="center"/>
          </w:tcPr>
          <w:p>
            <w:r>
              <w:rPr>
                <w:b w:val="0"/>
                <w:sz w:val="18"/>
              </w:rPr>
              <w:t>0.9308</w:t>
            </w:r>
          </w:p>
        </w:tc>
      </w:tr>
    </w:tbl>
    <w:p/>
    <w:p>
      <w:r>
        <w:t>Logistic Regression achieved 0.9269 accuracy, 0.9263 weighted F1-score, and 0.9411 ROC-AUC on the unseen 2025 test dataset.</w:t>
      </w:r>
    </w:p>
    <w:p>
      <w:pPr>
        <w:pStyle w:val="Heading1"/>
      </w:pPr>
      <w:r>
        <w:t>21. Models Selected for Further Development</w:t>
      </w:r>
    </w:p>
    <w:p>
      <w:pPr>
        <w:pStyle w:val="Heading2"/>
      </w:pPr>
      <w:r>
        <w:t>21.1 Regression</w:t>
      </w:r>
    </w:p>
    <w:p>
      <w:r>
        <w:t>Lasso and ElasticNet were selected for cross-validation and hyperparameter tuning because they produced the two highest validation R² values among the initial ten regression models.</w:t>
      </w:r>
    </w:p>
    <w:p>
      <w:r>
        <w:t>After tuning, Tuned Lasso was used for the final 2025 regression test evaluation because it achieved a slightly higher 2024 validation R² of 0.5676 compared with Tuned ElasticNet at 0.5675.</w:t>
      </w:r>
    </w:p>
    <w:p>
      <w:pPr>
        <w:pStyle w:val="Heading2"/>
      </w:pPr>
      <w:r>
        <w:t>21.2 Classification</w:t>
      </w:r>
    </w:p>
    <w:p>
      <w:r>
        <w:t>All five classification models were evaluated on the unseen 2025 test season. Logistic Regression produced the strongest overall 2025 test metrics in the current experiment, including an accuracy of 0.9269 and ROC-AUC of 0.9411.</w:t>
      </w:r>
    </w:p>
    <w:p>
      <w:r>
        <w:t>These results will be used as the baseline for future development and should not be interpreted as a guarantee of future-season performance.</w:t>
      </w:r>
    </w:p>
    <w:p>
      <w:pPr>
        <w:pStyle w:val="Heading1"/>
      </w:pPr>
      <w:r>
        <w:t>22. Current F1Next Workflow</w:t>
      </w:r>
    </w:p>
    <w:p>
      <w:pPr>
        <w:pStyle w:val="ListNumber"/>
      </w:pPr>
      <w:r>
        <w:t>Historical F1 data collection</w:t>
      </w:r>
    </w:p>
    <w:p>
      <w:pPr>
        <w:pStyle w:val="ListNumber"/>
      </w:pPr>
      <w:r>
        <w:t>Race and qualifying data integration</w:t>
      </w:r>
    </w:p>
    <w:p>
      <w:pPr>
        <w:pStyle w:val="ListNumber"/>
      </w:pPr>
      <w:r>
        <w:t>EDA</w:t>
      </w:r>
    </w:p>
    <w:p>
      <w:pPr>
        <w:pStyle w:val="ListNumber"/>
      </w:pPr>
      <w:r>
        <w:t>Data preprocessing</w:t>
      </w:r>
    </w:p>
    <w:p>
      <w:pPr>
        <w:pStyle w:val="ListNumber"/>
      </w:pPr>
      <w:r>
        <w:t>Historical feature engineering</w:t>
      </w:r>
    </w:p>
    <w:p>
      <w:pPr>
        <w:pStyle w:val="ListNumber"/>
      </w:pPr>
      <w:r>
        <w:t>Chronological train/validation/test split</w:t>
      </w:r>
    </w:p>
    <w:p>
      <w:pPr>
        <w:pStyle w:val="ListNumber"/>
      </w:pPr>
      <w:r>
        <w:t>Regression modeling</w:t>
      </w:r>
    </w:p>
    <w:p>
      <w:pPr>
        <w:pStyle w:val="ListNumber"/>
      </w:pPr>
      <w:r>
        <w:t>Classification Part A modeling</w:t>
      </w:r>
    </w:p>
    <w:p>
      <w:pPr>
        <w:pStyle w:val="ListNumber"/>
      </w:pPr>
      <w:r>
        <w:t>Model evaluation</w:t>
      </w:r>
    </w:p>
    <w:p>
      <w:pPr>
        <w:pStyle w:val="ListNumber"/>
      </w:pPr>
      <w:r>
        <w:t>Cross-validation</w:t>
      </w:r>
    </w:p>
    <w:p>
      <w:pPr>
        <w:pStyle w:val="ListNumber"/>
      </w:pPr>
      <w:r>
        <w:t>Hyperparameter tuning</w:t>
      </w:r>
    </w:p>
    <w:p>
      <w:pPr>
        <w:pStyle w:val="ListNumber"/>
      </w:pPr>
      <w:r>
        <w:t>2025 final testing</w:t>
      </w:r>
    </w:p>
    <w:p>
      <w:pPr>
        <w:pStyle w:val="ListNumber"/>
      </w:pPr>
      <w:r>
        <w:t>Future 2026 prediction</w:t>
      </w:r>
    </w:p>
    <w:p>
      <w:pPr>
        <w:pStyle w:val="Heading1"/>
      </w:pPr>
      <w:r>
        <w:t>23. Project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Component</w:t>
            </w:r>
          </w:p>
        </w:tc>
        <w:tc>
          <w:tcPr>
            <w:tcW w:type="dxa" w:w="4968"/>
            <w:vAlign w:val="center"/>
          </w:tcPr>
          <w:p>
            <w:r>
              <w:rPr>
                <w:b/>
                <w:sz w:val="18"/>
              </w:rPr>
              <w:t>Status</w:t>
            </w:r>
          </w:p>
        </w:tc>
      </w:tr>
      <w:tr>
        <w:tc>
          <w:tcPr>
            <w:tcW w:type="dxa" w:w="4968"/>
            <w:vAlign w:val="center"/>
          </w:tcPr>
          <w:p>
            <w:r>
              <w:rPr>
                <w:b w:val="0"/>
                <w:sz w:val="18"/>
              </w:rPr>
              <w:t>Data Collection</w:t>
            </w:r>
          </w:p>
        </w:tc>
        <w:tc>
          <w:tcPr>
            <w:tcW w:type="dxa" w:w="4968"/>
            <w:vAlign w:val="center"/>
          </w:tcPr>
          <w:p>
            <w:r>
              <w:rPr>
                <w:b w:val="0"/>
                <w:sz w:val="18"/>
              </w:rPr>
              <w:t>Completed</w:t>
            </w:r>
          </w:p>
        </w:tc>
      </w:tr>
      <w:tr>
        <w:tc>
          <w:tcPr>
            <w:tcW w:type="dxa" w:w="4968"/>
            <w:vAlign w:val="center"/>
          </w:tcPr>
          <w:p>
            <w:r>
              <w:rPr>
                <w:b w:val="0"/>
                <w:sz w:val="18"/>
              </w:rPr>
              <w:t>Data Integration</w:t>
            </w:r>
          </w:p>
        </w:tc>
        <w:tc>
          <w:tcPr>
            <w:tcW w:type="dxa" w:w="4968"/>
            <w:vAlign w:val="center"/>
          </w:tcPr>
          <w:p>
            <w:r>
              <w:rPr>
                <w:b w:val="0"/>
                <w:sz w:val="18"/>
              </w:rPr>
              <w:t>Completed</w:t>
            </w:r>
          </w:p>
        </w:tc>
      </w:tr>
      <w:tr>
        <w:tc>
          <w:tcPr>
            <w:tcW w:type="dxa" w:w="4968"/>
            <w:vAlign w:val="center"/>
          </w:tcPr>
          <w:p>
            <w:r>
              <w:rPr>
                <w:b w:val="0"/>
                <w:sz w:val="18"/>
              </w:rPr>
              <w:t>EDA</w:t>
            </w:r>
          </w:p>
        </w:tc>
        <w:tc>
          <w:tcPr>
            <w:tcW w:type="dxa" w:w="4968"/>
            <w:vAlign w:val="center"/>
          </w:tcPr>
          <w:p>
            <w:r>
              <w:rPr>
                <w:b w:val="0"/>
                <w:sz w:val="18"/>
              </w:rPr>
              <w:t>Completed</w:t>
            </w:r>
          </w:p>
        </w:tc>
      </w:tr>
      <w:tr>
        <w:tc>
          <w:tcPr>
            <w:tcW w:type="dxa" w:w="4968"/>
            <w:vAlign w:val="center"/>
          </w:tcPr>
          <w:p>
            <w:r>
              <w:rPr>
                <w:b w:val="0"/>
                <w:sz w:val="18"/>
              </w:rPr>
              <w:t>Preprocessing</w:t>
            </w:r>
          </w:p>
        </w:tc>
        <w:tc>
          <w:tcPr>
            <w:tcW w:type="dxa" w:w="4968"/>
            <w:vAlign w:val="center"/>
          </w:tcPr>
          <w:p>
            <w:r>
              <w:rPr>
                <w:b w:val="0"/>
                <w:sz w:val="18"/>
              </w:rPr>
              <w:t>Completed</w:t>
            </w:r>
          </w:p>
        </w:tc>
      </w:tr>
      <w:tr>
        <w:tc>
          <w:tcPr>
            <w:tcW w:type="dxa" w:w="4968"/>
            <w:vAlign w:val="center"/>
          </w:tcPr>
          <w:p>
            <w:r>
              <w:rPr>
                <w:b w:val="0"/>
                <w:sz w:val="18"/>
              </w:rPr>
              <w:t>Feature Engineering</w:t>
            </w:r>
          </w:p>
        </w:tc>
        <w:tc>
          <w:tcPr>
            <w:tcW w:type="dxa" w:w="4968"/>
            <w:vAlign w:val="center"/>
          </w:tcPr>
          <w:p>
            <w:r>
              <w:rPr>
                <w:b w:val="0"/>
                <w:sz w:val="18"/>
              </w:rPr>
              <w:t>Completed</w:t>
            </w:r>
          </w:p>
        </w:tc>
      </w:tr>
      <w:tr>
        <w:tc>
          <w:tcPr>
            <w:tcW w:type="dxa" w:w="4968"/>
            <w:vAlign w:val="center"/>
          </w:tcPr>
          <w:p>
            <w:r>
              <w:rPr>
                <w:b w:val="0"/>
                <w:sz w:val="18"/>
              </w:rPr>
              <w:t>Regression — 10 Models</w:t>
            </w:r>
          </w:p>
        </w:tc>
        <w:tc>
          <w:tcPr>
            <w:tcW w:type="dxa" w:w="4968"/>
            <w:vAlign w:val="center"/>
          </w:tcPr>
          <w:p>
            <w:r>
              <w:rPr>
                <w:b w:val="0"/>
                <w:sz w:val="18"/>
              </w:rPr>
              <w:t>Completed</w:t>
            </w:r>
          </w:p>
        </w:tc>
      </w:tr>
      <w:tr>
        <w:tc>
          <w:tcPr>
            <w:tcW w:type="dxa" w:w="4968"/>
            <w:vAlign w:val="center"/>
          </w:tcPr>
          <w:p>
            <w:r>
              <w:rPr>
                <w:b w:val="0"/>
                <w:sz w:val="18"/>
              </w:rPr>
              <w:t>Regression Evaluation</w:t>
            </w:r>
          </w:p>
        </w:tc>
        <w:tc>
          <w:tcPr>
            <w:tcW w:type="dxa" w:w="4968"/>
            <w:vAlign w:val="center"/>
          </w:tcPr>
          <w:p>
            <w:r>
              <w:rPr>
                <w:b w:val="0"/>
                <w:sz w:val="18"/>
              </w:rPr>
              <w:t>Completed</w:t>
            </w:r>
          </w:p>
        </w:tc>
      </w:tr>
      <w:tr>
        <w:tc>
          <w:tcPr>
            <w:tcW w:type="dxa" w:w="4968"/>
            <w:vAlign w:val="center"/>
          </w:tcPr>
          <w:p>
            <w:r>
              <w:rPr>
                <w:b w:val="0"/>
                <w:sz w:val="18"/>
              </w:rPr>
              <w:t>Regression Cross-Validation</w:t>
            </w:r>
          </w:p>
        </w:tc>
        <w:tc>
          <w:tcPr>
            <w:tcW w:type="dxa" w:w="4968"/>
            <w:vAlign w:val="center"/>
          </w:tcPr>
          <w:p>
            <w:r>
              <w:rPr>
                <w:b w:val="0"/>
                <w:sz w:val="18"/>
              </w:rPr>
              <w:t>Completed</w:t>
            </w:r>
          </w:p>
        </w:tc>
      </w:tr>
      <w:tr>
        <w:tc>
          <w:tcPr>
            <w:tcW w:type="dxa" w:w="4968"/>
            <w:vAlign w:val="center"/>
          </w:tcPr>
          <w:p>
            <w:r>
              <w:rPr>
                <w:b w:val="0"/>
                <w:sz w:val="18"/>
              </w:rPr>
              <w:t>Regression Hyperparameter Tuning</w:t>
            </w:r>
          </w:p>
        </w:tc>
        <w:tc>
          <w:tcPr>
            <w:tcW w:type="dxa" w:w="4968"/>
            <w:vAlign w:val="center"/>
          </w:tcPr>
          <w:p>
            <w:r>
              <w:rPr>
                <w:b w:val="0"/>
                <w:sz w:val="18"/>
              </w:rPr>
              <w:t>Completed</w:t>
            </w:r>
          </w:p>
        </w:tc>
      </w:tr>
      <w:tr>
        <w:tc>
          <w:tcPr>
            <w:tcW w:type="dxa" w:w="4968"/>
            <w:vAlign w:val="center"/>
          </w:tcPr>
          <w:p>
            <w:r>
              <w:rPr>
                <w:b w:val="0"/>
                <w:sz w:val="18"/>
              </w:rPr>
              <w:t>Regression Final Test</w:t>
            </w:r>
          </w:p>
        </w:tc>
        <w:tc>
          <w:tcPr>
            <w:tcW w:type="dxa" w:w="4968"/>
            <w:vAlign w:val="center"/>
          </w:tcPr>
          <w:p>
            <w:r>
              <w:rPr>
                <w:b w:val="0"/>
                <w:sz w:val="18"/>
              </w:rPr>
              <w:t>Completed</w:t>
            </w:r>
          </w:p>
        </w:tc>
      </w:tr>
      <w:tr>
        <w:tc>
          <w:tcPr>
            <w:tcW w:type="dxa" w:w="4968"/>
            <w:vAlign w:val="center"/>
          </w:tcPr>
          <w:p>
            <w:r>
              <w:rPr>
                <w:b w:val="0"/>
                <w:sz w:val="18"/>
              </w:rPr>
              <w:t>Classification Part A — 5 Models</w:t>
            </w:r>
          </w:p>
        </w:tc>
        <w:tc>
          <w:tcPr>
            <w:tcW w:type="dxa" w:w="4968"/>
            <w:vAlign w:val="center"/>
          </w:tcPr>
          <w:p>
            <w:r>
              <w:rPr>
                <w:b w:val="0"/>
                <w:sz w:val="18"/>
              </w:rPr>
              <w:t>Completed</w:t>
            </w:r>
          </w:p>
        </w:tc>
      </w:tr>
      <w:tr>
        <w:tc>
          <w:tcPr>
            <w:tcW w:type="dxa" w:w="4968"/>
            <w:vAlign w:val="center"/>
          </w:tcPr>
          <w:p>
            <w:r>
              <w:rPr>
                <w:b w:val="0"/>
                <w:sz w:val="18"/>
              </w:rPr>
              <w:t>Classification Evaluation</w:t>
            </w:r>
          </w:p>
        </w:tc>
        <w:tc>
          <w:tcPr>
            <w:tcW w:type="dxa" w:w="4968"/>
            <w:vAlign w:val="center"/>
          </w:tcPr>
          <w:p>
            <w:r>
              <w:rPr>
                <w:b w:val="0"/>
                <w:sz w:val="18"/>
              </w:rPr>
              <w:t>Completed</w:t>
            </w:r>
          </w:p>
        </w:tc>
      </w:tr>
      <w:tr>
        <w:tc>
          <w:tcPr>
            <w:tcW w:type="dxa" w:w="4968"/>
            <w:vAlign w:val="center"/>
          </w:tcPr>
          <w:p>
            <w:r>
              <w:rPr>
                <w:b w:val="0"/>
                <w:sz w:val="18"/>
              </w:rPr>
              <w:t>Classification Confusion Matrices</w:t>
            </w:r>
          </w:p>
        </w:tc>
        <w:tc>
          <w:tcPr>
            <w:tcW w:type="dxa" w:w="4968"/>
            <w:vAlign w:val="center"/>
          </w:tcPr>
          <w:p>
            <w:r>
              <w:rPr>
                <w:b w:val="0"/>
                <w:sz w:val="18"/>
              </w:rPr>
              <w:t>Completed</w:t>
            </w:r>
          </w:p>
        </w:tc>
      </w:tr>
      <w:tr>
        <w:tc>
          <w:tcPr>
            <w:tcW w:type="dxa" w:w="4968"/>
            <w:vAlign w:val="center"/>
          </w:tcPr>
          <w:p>
            <w:r>
              <w:rPr>
                <w:b w:val="0"/>
                <w:sz w:val="18"/>
              </w:rPr>
              <w:t>Classification Final Test</w:t>
            </w:r>
          </w:p>
        </w:tc>
        <w:tc>
          <w:tcPr>
            <w:tcW w:type="dxa" w:w="4968"/>
            <w:vAlign w:val="center"/>
          </w:tcPr>
          <w:p>
            <w:r>
              <w:rPr>
                <w:b w:val="0"/>
                <w:sz w:val="18"/>
              </w:rPr>
              <w:t>Completed</w:t>
            </w:r>
          </w:p>
        </w:tc>
      </w:tr>
      <w:tr>
        <w:tc>
          <w:tcPr>
            <w:tcW w:type="dxa" w:w="4968"/>
            <w:vAlign w:val="center"/>
          </w:tcPr>
          <w:p>
            <w:r>
              <w:rPr>
                <w:b w:val="0"/>
                <w:sz w:val="18"/>
              </w:rPr>
              <w:t>README</w:t>
            </w:r>
          </w:p>
        </w:tc>
        <w:tc>
          <w:tcPr>
            <w:tcW w:type="dxa" w:w="4968"/>
            <w:vAlign w:val="center"/>
          </w:tcPr>
          <w:p>
            <w:r>
              <w:rPr>
                <w:b w:val="0"/>
                <w:sz w:val="18"/>
              </w:rPr>
              <w:t>In Progress</w:t>
            </w:r>
          </w:p>
        </w:tc>
      </w:tr>
      <w:tr>
        <w:tc>
          <w:tcPr>
            <w:tcW w:type="dxa" w:w="4968"/>
            <w:vAlign w:val="center"/>
          </w:tcPr>
          <w:p>
            <w:r>
              <w:rPr>
                <w:b w:val="0"/>
                <w:sz w:val="18"/>
              </w:rPr>
              <w:t>Review 2</w:t>
            </w:r>
          </w:p>
        </w:tc>
        <w:tc>
          <w:tcPr>
            <w:tcW w:type="dxa" w:w="4968"/>
            <w:vAlign w:val="center"/>
          </w:tcPr>
          <w:p>
            <w:r>
              <w:rPr>
                <w:b w:val="0"/>
                <w:sz w:val="18"/>
              </w:rPr>
              <w:t>Pending</w:t>
            </w:r>
          </w:p>
        </w:tc>
      </w:tr>
      <w:tr>
        <w:tc>
          <w:tcPr>
            <w:tcW w:type="dxa" w:w="4968"/>
            <w:vAlign w:val="center"/>
          </w:tcPr>
          <w:p>
            <w:r>
              <w:rPr>
                <w:b w:val="0"/>
                <w:sz w:val="18"/>
              </w:rPr>
              <w:t>2026 Prediction</w:t>
            </w:r>
          </w:p>
        </w:tc>
        <w:tc>
          <w:tcPr>
            <w:tcW w:type="dxa" w:w="4968"/>
            <w:vAlign w:val="center"/>
          </w:tcPr>
          <w:p>
            <w:r>
              <w:rPr>
                <w:b w:val="0"/>
                <w:sz w:val="18"/>
              </w:rPr>
              <w:t>Pending</w:t>
            </w:r>
          </w:p>
        </w:tc>
      </w:tr>
    </w:tbl>
    <w:p/>
    <w:p>
      <w:pPr>
        <w:pStyle w:val="Heading1"/>
      </w:pPr>
      <w:r>
        <w:t>24. Future Work</w:t>
      </w:r>
    </w:p>
    <w:p>
      <w:pPr>
        <w:pStyle w:val="ListBullet"/>
      </w:pPr>
      <w:r>
        <w:t>Complete Review 2 classification models.</w:t>
      </w:r>
    </w:p>
    <w:p>
      <w:pPr>
        <w:pStyle w:val="ListBullet"/>
      </w:pPr>
      <w:r>
        <w:t>Implement additional ensemble classification algorithms.</w:t>
      </w:r>
    </w:p>
    <w:p>
      <w:pPr>
        <w:pStyle w:val="ListBullet"/>
      </w:pPr>
      <w:r>
        <w:t>Perform clustering using K-Means.</w:t>
      </w:r>
    </w:p>
    <w:p>
      <w:pPr>
        <w:pStyle w:val="ListBullet"/>
      </w:pPr>
      <w:r>
        <w:t>Perform Agglomerative Hierarchical Clustering.</w:t>
      </w:r>
    </w:p>
    <w:p>
      <w:pPr>
        <w:pStyle w:val="ListBullet"/>
      </w:pPr>
      <w:r>
        <w:t>Evaluate clustering using appropriate metrics.</w:t>
      </w:r>
    </w:p>
    <w:p>
      <w:pPr>
        <w:pStyle w:val="ListBullet"/>
      </w:pPr>
      <w:r>
        <w:t>Apply PCA and t-SNE for dimensionality reduction and visualization.</w:t>
      </w:r>
    </w:p>
    <w:p>
      <w:pPr>
        <w:pStyle w:val="ListBullet"/>
      </w:pPr>
      <w:r>
        <w:t>Develop the 2026 prediction pipeline.</w:t>
      </w:r>
    </w:p>
    <w:p>
      <w:pPr>
        <w:pStyle w:val="ListBullet"/>
      </w:pPr>
      <w:r>
        <w:t>Generate driver race predictions for future races.</w:t>
      </w:r>
    </w:p>
    <w:p>
      <w:pPr>
        <w:pStyle w:val="ListBullet"/>
      </w:pPr>
      <w:r>
        <w:t>Develop a final user-facing dashboard/application.</w:t>
      </w:r>
    </w:p>
    <w:p>
      <w:pPr>
        <w:pStyle w:val="ListBullet"/>
      </w:pPr>
      <w:r>
        <w:t>Prepare final project presentation and documentation.</w:t>
      </w:r>
    </w:p>
    <w:p>
      <w:pPr>
        <w:pStyle w:val="Heading1"/>
      </w:pPr>
      <w:r>
        <w:t>25. AI Assistance</w:t>
      </w:r>
    </w:p>
    <w:p>
      <w:r>
        <w:t>AI assistance was used during development for code scaffolding, debugging support, explanation of machine learning concepts, notebook organization, and implementation guidance.</w:t>
      </w:r>
    </w:p>
    <w:p>
      <w:r>
        <w:t>The dataset processing, execution of the machine learning models, evaluation results, and project implementation were performed and verified during project development.</w:t>
      </w:r>
    </w:p>
    <w:p>
      <w:pPr>
        <w:pStyle w:val="Heading1"/>
      </w:pPr>
      <w:r>
        <w:t>26. Current Conclusion</w:t>
      </w:r>
    </w:p>
    <w:p>
      <w:r>
        <w:t>The current F1Next implementation successfully establishes a machine learning pipeline for Formula 1 race-performance prediction. Historical data from 2010–2025 has been integrated and processed, and historical driver and constructor performance features have been engineered.</w:t>
      </w:r>
    </w:p>
    <w:p>
      <w:r>
        <w:t>Ten regression algorithms and five classification algorithms were implemented and evaluated. Cross-validation and hyperparameter tuning were also performed for the regression task.</w:t>
      </w:r>
    </w:p>
    <w:p>
      <w:r>
        <w:t>The 2025 season was kept as an unseen test dataset. The current results provide a baseline for continuing the project toward additional models, clustering, and 2026 future prediction.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