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414ECF">
      <w:pPr>
        <w:jc w:val="both"/>
      </w:pPr>
    </w:p>
    <w:p w14:paraId="22C28785">
      <w:pPr>
        <w:jc w:val="both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GENAI STUDIO PLATFORM</w:t>
      </w:r>
    </w:p>
    <w:p w14:paraId="00F5EFB5">
      <w:pPr>
        <w:jc w:val="both"/>
        <w:rPr>
          <w:rFonts w:hint="default"/>
          <w:b/>
          <w:bCs/>
          <w:sz w:val="36"/>
          <w:szCs w:val="36"/>
          <w:lang w:val="en-US"/>
        </w:rPr>
      </w:pPr>
    </w:p>
    <w:p w14:paraId="5290B286">
      <w:pPr>
        <w:numPr>
          <w:ilvl w:val="0"/>
          <w:numId w:val="1"/>
        </w:numPr>
        <w:jc w:val="both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MODEL ON-BOARDING CONFIGURATION</w:t>
      </w:r>
    </w:p>
    <w:p w14:paraId="10AF16A9">
      <w:pPr>
        <w:numPr>
          <w:numId w:val="0"/>
        </w:numPr>
        <w:jc w:val="both"/>
        <w:rPr>
          <w:rFonts w:hint="default"/>
          <w:b/>
          <w:bCs/>
          <w:sz w:val="36"/>
          <w:szCs w:val="36"/>
          <w:lang w:val="en-US"/>
        </w:rPr>
      </w:pPr>
    </w:p>
    <w:p w14:paraId="3AC3A1B7">
      <w:pPr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Overview</w:t>
      </w:r>
      <w:r>
        <w:rPr>
          <w:rFonts w:hint="default"/>
          <w:sz w:val="30"/>
          <w:szCs w:val="30"/>
          <w:lang w:val="en-US"/>
        </w:rPr>
        <w:t>: The Model On-boarding module acts as the primary gateway and governance checkpoint for introducing new artificial intelligence capabilities into the GenAI Studio Platform. Whether integrating ultra-large parameter foundational models (LLMs), highly targeted embeddings for Retrieval-Augmented Generation (RAG), or generative image models, this module ensures every endpoint is cataloged, restricted by cost controls, and vetted before being exposed to developers and agents in the ecosystem.</w:t>
      </w:r>
    </w:p>
    <w:p w14:paraId="3F895E9A">
      <w:pPr>
        <w:jc w:val="both"/>
        <w:rPr>
          <w:rFonts w:hint="default"/>
          <w:sz w:val="30"/>
          <w:szCs w:val="30"/>
          <w:lang w:val="en-US"/>
        </w:rPr>
      </w:pPr>
    </w:p>
    <w:p w14:paraId="7F396737">
      <w:pPr>
        <w:numPr>
          <w:ilvl w:val="1"/>
          <w:numId w:val="2"/>
        </w:numPr>
        <w:jc w:val="both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Model On-boarding Dashboard</w:t>
      </w:r>
    </w:p>
    <w:p w14:paraId="5F6D339F">
      <w:pPr>
        <w:numPr>
          <w:numId w:val="0"/>
        </w:numPr>
        <w:ind w:leftChars="0"/>
        <w:jc w:val="both"/>
        <w:rPr>
          <w:rFonts w:hint="default"/>
          <w:b/>
          <w:bCs/>
          <w:sz w:val="32"/>
          <w:szCs w:val="32"/>
          <w:lang w:val="en-US"/>
        </w:rPr>
      </w:pPr>
    </w:p>
    <w:p w14:paraId="65FCB5CA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The dashboard serves as the central command center for model administration. It provides a real-time, high-density view of the entire AI portfolio attached to the platform.</w:t>
      </w:r>
    </w:p>
    <w:p w14:paraId="008D1110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77A4DA22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1770" cy="2502535"/>
            <wp:effectExtent l="0" t="0" r="127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96654">
      <w:pPr>
        <w:numPr>
          <w:numId w:val="0"/>
        </w:numPr>
        <w:ind w:leftChars="0"/>
        <w:jc w:val="both"/>
      </w:pPr>
    </w:p>
    <w:p w14:paraId="1DF98EF3">
      <w:pPr>
        <w:numPr>
          <w:numId w:val="0"/>
        </w:numPr>
        <w:ind w:leftChars="0"/>
        <w:jc w:val="both"/>
        <w:rPr>
          <w:rFonts w:hint="default"/>
          <w:lang w:val="en-US"/>
        </w:rPr>
      </w:pPr>
    </w:p>
    <w:p w14:paraId="5999DFB2">
      <w:pPr>
        <w:numPr>
          <w:numId w:val="0"/>
        </w:numPr>
        <w:ind w:leftChars="0"/>
        <w:jc w:val="both"/>
        <w:rPr>
          <w:rFonts w:hint="default"/>
          <w:sz w:val="32"/>
          <w:szCs w:val="32"/>
          <w:lang w:val="en-US"/>
        </w:rPr>
      </w:pPr>
    </w:p>
    <w:p w14:paraId="40FD0DEA">
      <w:pPr>
        <w:numPr>
          <w:numId w:val="0"/>
        </w:numPr>
        <w:ind w:leftChars="0"/>
        <w:jc w:val="both"/>
        <w:rPr>
          <w:rFonts w:hint="default"/>
          <w:sz w:val="32"/>
          <w:szCs w:val="32"/>
          <w:lang w:val="en-US"/>
        </w:rPr>
      </w:pPr>
    </w:p>
    <w:p w14:paraId="0CF8240E">
      <w:pPr>
        <w:numPr>
          <w:numId w:val="0"/>
        </w:numPr>
        <w:ind w:leftChars="0"/>
        <w:jc w:val="both"/>
        <w:rPr>
          <w:rFonts w:hint="default"/>
          <w:sz w:val="32"/>
          <w:szCs w:val="32"/>
          <w:lang w:val="en-US"/>
        </w:rPr>
      </w:pPr>
    </w:p>
    <w:p w14:paraId="4CA901D7">
      <w:pPr>
        <w:numPr>
          <w:numId w:val="0"/>
        </w:numPr>
        <w:ind w:leftChars="0"/>
        <w:jc w:val="both"/>
        <w:rPr>
          <w:rFonts w:hint="default"/>
          <w:sz w:val="32"/>
          <w:szCs w:val="32"/>
          <w:lang w:val="en-US"/>
        </w:rPr>
      </w:pPr>
    </w:p>
    <w:p w14:paraId="2AEE071D">
      <w:pPr>
        <w:numPr>
          <w:numId w:val="0"/>
        </w:numPr>
        <w:ind w:leftChars="0"/>
        <w:jc w:val="both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1.1.1 Top-Level Key Performance Indicators</w:t>
      </w:r>
    </w:p>
    <w:p w14:paraId="70F856AE">
      <w:pPr>
        <w:numPr>
          <w:numId w:val="0"/>
        </w:numPr>
        <w:ind w:left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At the top of the interface, four critical dials provide instantaneous platform health and scale metrics:</w:t>
      </w:r>
    </w:p>
    <w:p w14:paraId="0B17881B">
      <w:pPr>
        <w:numPr>
          <w:numId w:val="0"/>
        </w:numPr>
        <w:ind w:leftChars="0"/>
        <w:jc w:val="both"/>
        <w:rPr>
          <w:rFonts w:hint="default"/>
          <w:sz w:val="30"/>
          <w:szCs w:val="30"/>
          <w:lang w:val="en-US"/>
        </w:rPr>
      </w:pPr>
    </w:p>
    <w:p w14:paraId="40E4D3E1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Total Models:</w:t>
      </w:r>
      <w:r>
        <w:rPr>
          <w:rFonts w:hint="default"/>
          <w:sz w:val="30"/>
          <w:szCs w:val="30"/>
          <w:lang w:val="en-US"/>
        </w:rPr>
        <w:t xml:space="preserve"> The absolute count of all model profiles created in the system, regardless of their current operational state.</w:t>
      </w:r>
    </w:p>
    <w:p w14:paraId="45B1AC59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Active:</w:t>
      </w:r>
      <w:r>
        <w:rPr>
          <w:rFonts w:hint="default"/>
          <w:sz w:val="30"/>
          <w:szCs w:val="30"/>
          <w:lang w:val="en-US"/>
        </w:rPr>
        <w:t xml:space="preserve"> The subset of models that have passed all compliance checks and are currently routing live traffic.</w:t>
      </w:r>
    </w:p>
    <w:p w14:paraId="3F5CAC82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Pending:</w:t>
      </w:r>
      <w:r>
        <w:rPr>
          <w:rFonts w:hint="default"/>
          <w:sz w:val="30"/>
          <w:szCs w:val="30"/>
          <w:lang w:val="en-US"/>
        </w:rPr>
        <w:t xml:space="preserve"> Models that are drafted or currently awaiting secondary approvals from the Governance or Compliance teams.</w:t>
      </w:r>
    </w:p>
    <w:p w14:paraId="1BB60470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Tokens Used:</w:t>
      </w:r>
      <w:r>
        <w:rPr>
          <w:rFonts w:hint="default"/>
          <w:sz w:val="30"/>
          <w:szCs w:val="30"/>
          <w:lang w:val="en-US"/>
        </w:rPr>
        <w:t xml:space="preserve"> A cumulative, real-time counter of total platform tokens consumed (measured in Millions/Billions) across all Active models.</w:t>
      </w:r>
    </w:p>
    <w:p w14:paraId="23B5480C">
      <w:pPr>
        <w:numPr>
          <w:numId w:val="0"/>
        </w:numPr>
        <w:jc w:val="both"/>
        <w:rPr>
          <w:rFonts w:hint="default"/>
          <w:sz w:val="30"/>
          <w:szCs w:val="30"/>
          <w:lang w:val="en-US"/>
        </w:rPr>
      </w:pPr>
    </w:p>
    <w:p w14:paraId="2C44A4EF">
      <w:pPr>
        <w:numPr>
          <w:numId w:val="0"/>
        </w:numPr>
        <w:jc w:val="both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1.1.2 The Telemetry Data Grid</w:t>
      </w:r>
    </w:p>
    <w:p w14:paraId="093C545F">
      <w:pPr>
        <w:numPr>
          <w:numId w:val="0"/>
        </w:numPr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The on-boarding process is triggered via the "+ Onboard New Model" action, initiating a strict 3-stage configuration sequence wrapped in a modal drawer.</w:t>
      </w:r>
    </w:p>
    <w:p w14:paraId="5D70512C">
      <w:pPr>
        <w:numPr>
          <w:numId w:val="0"/>
        </w:numPr>
        <w:jc w:val="both"/>
        <w:rPr>
          <w:rFonts w:hint="default"/>
          <w:sz w:val="30"/>
          <w:szCs w:val="30"/>
          <w:lang w:val="en-US"/>
        </w:rPr>
      </w:pPr>
    </w:p>
    <w:p w14:paraId="67E2673C">
      <w:pPr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Model Identity Array</w:t>
      </w:r>
      <w:r>
        <w:rPr>
          <w:rFonts w:hint="default"/>
          <w:sz w:val="30"/>
          <w:szCs w:val="30"/>
          <w:lang w:val="en-US"/>
        </w:rPr>
        <w:t>: Displays the human-readable name, the provider (e.g., OpenAI, Meta, Google), and the specific version tag (e.g., v2024-05).</w:t>
      </w:r>
    </w:p>
    <w:p w14:paraId="5A6E6647">
      <w:pPr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Type Classification</w:t>
      </w:r>
      <w:r>
        <w:rPr>
          <w:rFonts w:hint="default"/>
          <w:sz w:val="30"/>
          <w:szCs w:val="30"/>
          <w:lang w:val="en-US"/>
        </w:rPr>
        <w:t>: Denotes if the model is an LLM, Embedding, or Image Generation engine.</w:t>
      </w:r>
    </w:p>
    <w:p w14:paraId="491BA40B">
      <w:pPr>
        <w:numPr>
          <w:ilvl w:val="0"/>
          <w:numId w:val="5"/>
        </w:numPr>
        <w:tabs>
          <w:tab w:val="clear" w:pos="420"/>
        </w:tabs>
        <w:ind w:left="425" w:leftChars="0" w:hanging="425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Context Capacity</w:t>
      </w:r>
      <w:r>
        <w:rPr>
          <w:rFonts w:hint="default"/>
          <w:sz w:val="30"/>
          <w:szCs w:val="30"/>
          <w:lang w:val="en-US"/>
        </w:rPr>
        <w:t>: Defines the maximum token window (e.g., 8K, 128K, 1M, 2M) the model can hold in memory per transaction.</w:t>
      </w:r>
    </w:p>
    <w:p w14:paraId="2EC52DB1">
      <w:pPr>
        <w:numPr>
          <w:ilvl w:val="0"/>
          <w:numId w:val="5"/>
        </w:numPr>
        <w:ind w:left="425" w:leftChars="0" w:hanging="425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Cost Density (Cost / 1M Tokens)</w:t>
      </w:r>
      <w:r>
        <w:rPr>
          <w:rFonts w:hint="default"/>
          <w:sz w:val="30"/>
          <w:szCs w:val="30"/>
          <w:lang w:val="en-US"/>
        </w:rPr>
        <w:t>: Evaluated cost per one million blended input/output tokens. Used heavily by the prompt router to find the most cost-effective model for a given task.</w:t>
      </w:r>
    </w:p>
    <w:p w14:paraId="27980452">
      <w:pPr>
        <w:numPr>
          <w:ilvl w:val="0"/>
          <w:numId w:val="5"/>
        </w:numPr>
        <w:ind w:left="425" w:leftChars="0" w:hanging="425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Median Latency</w:t>
      </w:r>
      <w:r>
        <w:rPr>
          <w:rFonts w:hint="default"/>
          <w:sz w:val="30"/>
          <w:szCs w:val="30"/>
          <w:lang w:val="en-US"/>
        </w:rPr>
        <w:t>: A rolling average (measured in seconds) of the time-to-first-token (TTFT) or total response time.</w:t>
      </w:r>
    </w:p>
    <w:p w14:paraId="12AF4F1C">
      <w:pPr>
        <w:numPr>
          <w:ilvl w:val="0"/>
          <w:numId w:val="5"/>
        </w:numPr>
        <w:ind w:left="425" w:leftChars="0" w:hanging="425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Aggregate Usage</w:t>
      </w:r>
      <w:r>
        <w:rPr>
          <w:rFonts w:hint="default"/>
          <w:sz w:val="30"/>
          <w:szCs w:val="30"/>
          <w:lang w:val="en-US"/>
        </w:rPr>
        <w:t>: Raw token volume processed by this endpoint since its onboarding date.</w:t>
      </w:r>
    </w:p>
    <w:p w14:paraId="3C0A81E9">
      <w:pPr>
        <w:numPr>
          <w:ilvl w:val="0"/>
          <w:numId w:val="5"/>
        </w:numPr>
        <w:ind w:left="425" w:leftChars="0" w:hanging="425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Status Badge</w:t>
      </w:r>
      <w:r>
        <w:rPr>
          <w:rFonts w:hint="default"/>
          <w:sz w:val="30"/>
          <w:szCs w:val="30"/>
          <w:lang w:val="en-US"/>
        </w:rPr>
        <w:t>: A color-coded marker (Green/Warning/Gray/Purple) denoting the exact availability state of the endpoint.</w:t>
      </w:r>
    </w:p>
    <w:p w14:paraId="11AA055D">
      <w:pPr>
        <w:numPr>
          <w:numId w:val="0"/>
        </w:numPr>
        <w:jc w:val="both"/>
        <w:rPr>
          <w:rFonts w:hint="default"/>
          <w:sz w:val="30"/>
          <w:szCs w:val="30"/>
          <w:lang w:val="en-US"/>
        </w:rPr>
      </w:pPr>
    </w:p>
    <w:p w14:paraId="34A383F5">
      <w:pPr>
        <w:numPr>
          <w:ilvl w:val="1"/>
          <w:numId w:val="2"/>
        </w:numPr>
        <w:ind w:left="0" w:leftChars="0" w:firstLine="0" w:firstLineChars="0"/>
        <w:jc w:val="both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The Deep-Dive On-boarding Workflow</w:t>
      </w:r>
    </w:p>
    <w:p w14:paraId="7826DF8B">
      <w:pPr>
        <w:numPr>
          <w:numId w:val="0"/>
        </w:numPr>
        <w:jc w:val="both"/>
        <w:rPr>
          <w:rFonts w:hint="default"/>
          <w:b/>
          <w:bCs/>
          <w:sz w:val="32"/>
          <w:szCs w:val="32"/>
          <w:lang w:val="en-US"/>
        </w:rPr>
      </w:pPr>
    </w:p>
    <w:p w14:paraId="0E0C1F35">
      <w:pPr>
        <w:numPr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The on-boarding process is triggered via the "+ Onboard New Model" action, initiating a strict 3-stage configuration sequence wrapped in a modal drawer.</w:t>
      </w:r>
    </w:p>
    <w:p w14:paraId="4EF4A536">
      <w:pPr>
        <w:numPr>
          <w:numId w:val="0"/>
        </w:numPr>
        <w:jc w:val="both"/>
        <w:rPr>
          <w:rFonts w:hint="default"/>
          <w:sz w:val="30"/>
          <w:szCs w:val="30"/>
          <w:lang w:val="en-US"/>
        </w:rPr>
      </w:pPr>
    </w:p>
    <w:p w14:paraId="2C71F527">
      <w:pPr>
        <w:numPr>
          <w:numId w:val="0"/>
        </w:numPr>
        <w:jc w:val="both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Stage 1: Core Metadata &amp; Capabilities Identification</w:t>
      </w:r>
    </w:p>
    <w:p w14:paraId="7A255372">
      <w:pPr>
        <w:numPr>
          <w:numId w:val="0"/>
        </w:numPr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This stage establishes the model's identity, physical location, and fundamental boundaries.</w:t>
      </w:r>
    </w:p>
    <w:p w14:paraId="6A593D0E">
      <w:pPr>
        <w:numPr>
          <w:numId w:val="0"/>
        </w:numPr>
        <w:jc w:val="both"/>
        <w:rPr>
          <w:rFonts w:hint="default"/>
          <w:sz w:val="30"/>
          <w:szCs w:val="30"/>
          <w:lang w:val="en-US"/>
        </w:rPr>
      </w:pPr>
    </w:p>
    <w:p w14:paraId="219B2BE2">
      <w:pPr>
        <w:numPr>
          <w:numId w:val="0"/>
        </w:numPr>
        <w:jc w:val="both"/>
      </w:pPr>
      <w:r>
        <w:drawing>
          <wp:inline distT="0" distB="0" distL="114300" distR="114300">
            <wp:extent cx="5261610" cy="2474595"/>
            <wp:effectExtent l="0" t="0" r="1143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D9EA0">
      <w:pPr>
        <w:numPr>
          <w:numId w:val="0"/>
        </w:numPr>
        <w:jc w:val="both"/>
      </w:pPr>
    </w:p>
    <w:p w14:paraId="37985EF8">
      <w:pPr>
        <w:numPr>
          <w:numId w:val="0"/>
        </w:numPr>
        <w:jc w:val="both"/>
      </w:pPr>
    </w:p>
    <w:p w14:paraId="6F87902C">
      <w:pPr>
        <w:numPr>
          <w:numId w:val="0"/>
        </w:numPr>
        <w:jc w:val="both"/>
      </w:pPr>
    </w:p>
    <w:p w14:paraId="4A8EDE19">
      <w:pPr>
        <w:numPr>
          <w:numId w:val="0"/>
        </w:numPr>
        <w:jc w:val="both"/>
      </w:pPr>
    </w:p>
    <w:p w14:paraId="01A12A1A">
      <w:pPr>
        <w:numPr>
          <w:numId w:val="0"/>
        </w:numPr>
        <w:jc w:val="both"/>
      </w:pPr>
    </w:p>
    <w:p w14:paraId="22B7BB85">
      <w:pPr>
        <w:numPr>
          <w:numId w:val="0"/>
        </w:numPr>
        <w:jc w:val="both"/>
      </w:pPr>
    </w:p>
    <w:p w14:paraId="6BEF849A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Model ID</w:t>
      </w:r>
      <w:r>
        <w:rPr>
          <w:rFonts w:hint="default"/>
          <w:sz w:val="30"/>
          <w:szCs w:val="30"/>
          <w:lang w:val="en-US"/>
        </w:rPr>
        <w:t>: The exact programmatic string required by the API (e.g., gpt-4-turbo-preview). This must precisely match the vendor's documentation.</w:t>
      </w:r>
    </w:p>
    <w:p w14:paraId="43C9823D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Model Name</w:t>
      </w:r>
      <w:r>
        <w:rPr>
          <w:rFonts w:hint="default"/>
          <w:sz w:val="30"/>
          <w:szCs w:val="30"/>
          <w:lang w:val="en-US"/>
        </w:rPr>
        <w:t>: The friendly label exposed to end-users and developers in the Playground dropdowns (e.g., GPT-4 Turbo).</w:t>
      </w:r>
    </w:p>
    <w:p w14:paraId="2F54256B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Description Markdown</w:t>
      </w:r>
      <w:r>
        <w:rPr>
          <w:rFonts w:hint="default"/>
          <w:sz w:val="30"/>
          <w:szCs w:val="30"/>
          <w:lang w:val="en-US"/>
        </w:rPr>
        <w:t>: A comprehensive summary outlining the model's strengths (e.g., "Excellent for aggressive code refactoring and logical reasoning. Weak at creative writing.").</w:t>
      </w:r>
    </w:p>
    <w:p w14:paraId="509A5191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Model Link (URI)</w:t>
      </w:r>
      <w:r>
        <w:rPr>
          <w:rFonts w:hint="default"/>
          <w:sz w:val="30"/>
          <w:szCs w:val="30"/>
          <w:lang w:val="en-US"/>
        </w:rPr>
        <w:t>: The exact secure endpoint. For external models, this is the vendor's API URL. For internally hosted models, this is the VPC/Kubernetes service address.</w:t>
      </w:r>
    </w:p>
    <w:p w14:paraId="6617CD56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Type Assignment</w:t>
      </w:r>
      <w:r>
        <w:rPr>
          <w:rFonts w:hint="default"/>
          <w:sz w:val="30"/>
          <w:szCs w:val="30"/>
          <w:lang w:val="en-US"/>
        </w:rPr>
        <w:t>: Determines which UI components and routing logic the model supports.</w:t>
      </w:r>
    </w:p>
    <w:p w14:paraId="58DAF8CE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Property Key Assignment</w:t>
      </w:r>
      <w:r>
        <w:rPr>
          <w:rFonts w:hint="default"/>
          <w:sz w:val="30"/>
          <w:szCs w:val="30"/>
          <w:lang w:val="en-US"/>
        </w:rPr>
        <w:t>: Maps the model to a specific organizational billing or cost-center bucket.</w:t>
      </w:r>
    </w:p>
    <w:p w14:paraId="44F45F1B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File Format Parsing Limits</w:t>
      </w:r>
      <w:r>
        <w:rPr>
          <w:rFonts w:hint="default"/>
          <w:sz w:val="30"/>
          <w:szCs w:val="30"/>
          <w:lang w:val="en-US"/>
        </w:rPr>
        <w:t>: Explicitly defines which documents the model natively supports for extraction (e.g., restricting a basic LLM to TXT and JSON, while allowing a multimodal LLM to accept PDF and DOCX).</w:t>
      </w:r>
    </w:p>
    <w:p w14:paraId="6D9AE42A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Absolute Max Tokens</w:t>
      </w:r>
      <w:r>
        <w:rPr>
          <w:rFonts w:hint="default"/>
          <w:sz w:val="30"/>
          <w:szCs w:val="30"/>
          <w:lang w:val="en-US"/>
        </w:rPr>
        <w:t>: The hard ceiling on tokens. Even if a user requests 128K tokens, if this is set to 32K, the platform gateway will truncate the request to protect budgets.</w:t>
      </w:r>
    </w:p>
    <w:p w14:paraId="7A42336A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Retirement/Deprecation Date</w:t>
      </w:r>
      <w:r>
        <w:rPr>
          <w:rFonts w:hint="default"/>
          <w:sz w:val="30"/>
          <w:szCs w:val="30"/>
          <w:lang w:val="en-US"/>
        </w:rPr>
        <w:t>: A proactive calendar setting. Once this date is reached, the model automatically shifts to Restricted status to prevent reliance on deprecated vendor APIs.</w:t>
      </w:r>
    </w:p>
    <w:p w14:paraId="227166FE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Feature Toggles</w:t>
      </w:r>
      <w:r>
        <w:rPr>
          <w:rFonts w:hint="default"/>
          <w:sz w:val="30"/>
          <w:szCs w:val="30"/>
          <w:lang w:val="en-US"/>
        </w:rPr>
        <w:t>:</w:t>
      </w:r>
    </w:p>
    <w:p w14:paraId="37A50EE1">
      <w:pPr>
        <w:numPr>
          <w:ilvl w:val="1"/>
          <w:numId w:val="3"/>
        </w:numPr>
        <w:ind w:left="84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Playground</w:t>
      </w:r>
      <w:r>
        <w:rPr>
          <w:rFonts w:hint="default"/>
          <w:sz w:val="30"/>
          <w:szCs w:val="30"/>
          <w:lang w:val="en-US"/>
        </w:rPr>
        <w:t>: If enabled, the model is visible in the human-in-the-loop chat UI.</w:t>
      </w:r>
    </w:p>
    <w:p w14:paraId="72EA3151">
      <w:pPr>
        <w:numPr>
          <w:ilvl w:val="1"/>
          <w:numId w:val="3"/>
        </w:numPr>
        <w:ind w:left="84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BYA (Build Your App)</w:t>
      </w:r>
      <w:r>
        <w:rPr>
          <w:rFonts w:hint="default"/>
          <w:sz w:val="30"/>
          <w:szCs w:val="30"/>
          <w:lang w:val="en-US"/>
        </w:rPr>
        <w:t>: If enabled, AI agents can autonomously invoke this model during complex planning loops.</w:t>
      </w:r>
    </w:p>
    <w:p w14:paraId="38D3EEBB">
      <w:pPr>
        <w:numPr>
          <w:ilvl w:val="1"/>
          <w:numId w:val="3"/>
        </w:numPr>
        <w:ind w:left="84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API</w:t>
      </w:r>
      <w:r>
        <w:rPr>
          <w:rFonts w:hint="default"/>
          <w:sz w:val="30"/>
          <w:szCs w:val="30"/>
          <w:lang w:val="en-US"/>
        </w:rPr>
        <w:t>: If disabled, programmatic API keys cannot route requests to this endpoint.</w:t>
      </w:r>
    </w:p>
    <w:p w14:paraId="5028F38A">
      <w:pPr>
        <w:numPr>
          <w:numId w:val="0"/>
        </w:numPr>
        <w:jc w:val="both"/>
        <w:rPr>
          <w:rFonts w:hint="default"/>
          <w:sz w:val="32"/>
          <w:szCs w:val="32"/>
          <w:lang w:val="en-US"/>
        </w:rPr>
      </w:pPr>
    </w:p>
    <w:p w14:paraId="654A5947">
      <w:pPr>
        <w:numPr>
          <w:numId w:val="0"/>
        </w:numPr>
        <w:jc w:val="both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Stage 2: Hyperparameter Guardrails &amp; Threshold Boundaries</w:t>
      </w:r>
    </w:p>
    <w:p w14:paraId="318C5F04">
      <w:pPr>
        <w:numPr>
          <w:numId w:val="0"/>
        </w:numPr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This crucial stage defines the minimums, maximums, and default behaviors for parameter tuning. By setting strict boundaries here, administrators prevent developers from accidentally generating unstable outputs or consuming excessive compute.</w:t>
      </w:r>
    </w:p>
    <w:p w14:paraId="219F1D41">
      <w:pPr>
        <w:numPr>
          <w:numId w:val="0"/>
        </w:numPr>
        <w:jc w:val="both"/>
        <w:rPr>
          <w:rFonts w:hint="default"/>
          <w:sz w:val="30"/>
          <w:szCs w:val="30"/>
          <w:lang w:val="en-US"/>
        </w:rPr>
      </w:pPr>
    </w:p>
    <w:p w14:paraId="61A6CCB0">
      <w:pPr>
        <w:numPr>
          <w:numId w:val="0"/>
        </w:numPr>
        <w:jc w:val="both"/>
      </w:pPr>
      <w:r>
        <w:drawing>
          <wp:inline distT="0" distB="0" distL="114300" distR="114300">
            <wp:extent cx="5261610" cy="2474595"/>
            <wp:effectExtent l="0" t="0" r="1143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0CFBD">
      <w:pPr>
        <w:numPr>
          <w:numId w:val="0"/>
        </w:numPr>
        <w:jc w:val="both"/>
      </w:pPr>
    </w:p>
    <w:p w14:paraId="4D15A144">
      <w:pPr>
        <w:numPr>
          <w:numId w:val="0"/>
        </w:numPr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Every hyper parameter can be registered with the following rigid constraints:</w:t>
      </w:r>
    </w:p>
    <w:p w14:paraId="428426D9">
      <w:pPr>
        <w:numPr>
          <w:ilvl w:val="0"/>
          <w:numId w:val="6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Label:</w:t>
      </w:r>
      <w:r>
        <w:rPr>
          <w:rFonts w:hint="default"/>
          <w:sz w:val="30"/>
          <w:szCs w:val="30"/>
          <w:lang w:val="en-US"/>
        </w:rPr>
        <w:t xml:space="preserve"> The exact JSON key expected by the model (e.g., temperature, top_p, presence_penalty, frequency_penalty).</w:t>
      </w:r>
    </w:p>
    <w:p w14:paraId="180FA4B4">
      <w:pPr>
        <w:numPr>
          <w:ilvl w:val="0"/>
          <w:numId w:val="6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Data Type Enforcement:</w:t>
      </w:r>
      <w:r>
        <w:rPr>
          <w:rFonts w:hint="default"/>
          <w:sz w:val="30"/>
          <w:szCs w:val="30"/>
          <w:lang w:val="en-US"/>
        </w:rPr>
        <w:t xml:space="preserve"> Ensures that an input like temperature is strictly evaluated as a Float, while max_tokens is evaluated as an Integer.</w:t>
      </w:r>
    </w:p>
    <w:p w14:paraId="46B461CF">
      <w:pPr>
        <w:numPr>
          <w:ilvl w:val="0"/>
          <w:numId w:val="6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Min/Max Boundary Box:</w:t>
      </w:r>
    </w:p>
    <w:p w14:paraId="27CBA479">
      <w:pPr>
        <w:numPr>
          <w:ilvl w:val="1"/>
          <w:numId w:val="6"/>
        </w:numPr>
        <w:ind w:left="84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Example: Setting temperature Min to 0.0 and Max to 1.2. If a user attempts to pass a temperature of 1.5, the platform gateway will intercept and reject the API call with a 400 Bad Request before it ever reaches the vendor.</w:t>
      </w:r>
    </w:p>
    <w:p w14:paraId="27CD3DAF">
      <w:pPr>
        <w:numPr>
          <w:ilvl w:val="0"/>
          <w:numId w:val="7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System Default:</w:t>
      </w:r>
      <w:r>
        <w:rPr>
          <w:rFonts w:hint="default"/>
          <w:sz w:val="30"/>
          <w:szCs w:val="30"/>
          <w:lang w:val="en-US"/>
        </w:rPr>
        <w:t xml:space="preserve"> The fallback value injected into the payload if the user or agent does not explicitly define it.</w:t>
      </w:r>
    </w:p>
    <w:p w14:paraId="31F6EC63">
      <w:pPr>
        <w:numPr>
          <w:ilvl w:val="0"/>
          <w:numId w:val="7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Optionality Flag:</w:t>
      </w:r>
      <w:r>
        <w:rPr>
          <w:rFonts w:hint="default"/>
          <w:sz w:val="30"/>
          <w:szCs w:val="30"/>
          <w:lang w:val="en-US"/>
        </w:rPr>
        <w:t xml:space="preserve"> If set to "Required", payload validation will fail if this exact parameter is missing from an incoming API request.</w:t>
      </w:r>
    </w:p>
    <w:p w14:paraId="77A62964">
      <w:pPr>
        <w:numPr>
          <w:numId w:val="0"/>
        </w:numPr>
        <w:jc w:val="both"/>
        <w:rPr>
          <w:rFonts w:hint="default"/>
          <w:sz w:val="30"/>
          <w:szCs w:val="30"/>
          <w:lang w:val="en-US"/>
        </w:rPr>
      </w:pPr>
    </w:p>
    <w:p w14:paraId="4FC4E91A">
      <w:pPr>
        <w:numPr>
          <w:numId w:val="0"/>
        </w:numPr>
        <w:jc w:val="both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Stage 3: Payload Structure Mapping</w:t>
      </w:r>
    </w:p>
    <w:p w14:paraId="6718550A">
      <w:pPr>
        <w:numPr>
          <w:numId w:val="0"/>
        </w:numPr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Allows custom JSON template mapping so that internally hosted, non-standard models can adapt to the platform's standardized API specification.</w:t>
      </w:r>
    </w:p>
    <w:p w14:paraId="23D77E6B">
      <w:pPr>
        <w:numPr>
          <w:numId w:val="0"/>
        </w:numPr>
        <w:jc w:val="both"/>
        <w:rPr>
          <w:rFonts w:hint="default"/>
          <w:sz w:val="30"/>
          <w:szCs w:val="30"/>
          <w:lang w:val="en-US"/>
        </w:rPr>
      </w:pPr>
    </w:p>
    <w:p w14:paraId="34DC3B47">
      <w:pPr>
        <w:numPr>
          <w:numId w:val="0"/>
        </w:numPr>
        <w:jc w:val="both"/>
      </w:pPr>
      <w:r>
        <w:drawing>
          <wp:inline distT="0" distB="0" distL="114300" distR="114300">
            <wp:extent cx="5264150" cy="2474595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BE62D">
      <w:pPr>
        <w:numPr>
          <w:numId w:val="0"/>
        </w:numPr>
        <w:jc w:val="both"/>
      </w:pPr>
    </w:p>
    <w:p w14:paraId="19041CC1">
      <w:pPr>
        <w:numPr>
          <w:numId w:val="0"/>
        </w:numPr>
        <w:jc w:val="both"/>
      </w:pPr>
    </w:p>
    <w:p w14:paraId="18AFF664">
      <w:pPr>
        <w:numPr>
          <w:numId w:val="0"/>
        </w:numPr>
        <w:jc w:val="both"/>
      </w:pPr>
    </w:p>
    <w:p w14:paraId="2816E2B3">
      <w:pPr>
        <w:numPr>
          <w:numId w:val="0"/>
        </w:numPr>
        <w:jc w:val="both"/>
      </w:pPr>
    </w:p>
    <w:p w14:paraId="6AF32797">
      <w:pPr>
        <w:numPr>
          <w:numId w:val="0"/>
        </w:numPr>
        <w:jc w:val="both"/>
      </w:pPr>
    </w:p>
    <w:p w14:paraId="220266CE">
      <w:pPr>
        <w:numPr>
          <w:numId w:val="0"/>
        </w:numPr>
        <w:jc w:val="both"/>
      </w:pPr>
    </w:p>
    <w:p w14:paraId="04F38D13">
      <w:pPr>
        <w:numPr>
          <w:numId w:val="0"/>
        </w:numPr>
        <w:jc w:val="both"/>
      </w:pPr>
    </w:p>
    <w:p w14:paraId="77231EF4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Model Evaluation, Auditing &amp; Telemetry</w:t>
      </w:r>
    </w:p>
    <w:p w14:paraId="501C4B11">
      <w:pPr>
        <w:numPr>
          <w:numId w:val="0"/>
        </w:numPr>
        <w:jc w:val="both"/>
        <w:rPr>
          <w:rFonts w:hint="default"/>
          <w:b/>
          <w:bCs/>
          <w:sz w:val="36"/>
          <w:szCs w:val="36"/>
          <w:lang w:val="en-US"/>
        </w:rPr>
      </w:pPr>
    </w:p>
    <w:p w14:paraId="63A089C2">
      <w:pPr>
        <w:numPr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Overview: </w:t>
      </w:r>
      <w:r>
        <w:rPr>
          <w:rFonts w:hint="default"/>
          <w:b w:val="0"/>
          <w:bCs w:val="0"/>
          <w:sz w:val="30"/>
          <w:szCs w:val="30"/>
          <w:lang w:val="en-US"/>
        </w:rPr>
        <w:t>The Model Evaluation module is a dedicated environment within GenAI Studio allowing administrators and AI engineers to run batch tests against specific models. Users can upload bulk prompts (CSV/Excel) and context documents, configure runtime parameters, and generate an evaluation report containing quality scores, latency, and token consumption metrics.</w:t>
      </w:r>
    </w:p>
    <w:p w14:paraId="0AE0C370">
      <w:pPr>
        <w:numPr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2CBE0A92">
      <w:pPr>
        <w:numPr>
          <w:ilvl w:val="1"/>
          <w:numId w:val="8"/>
        </w:numPr>
        <w:jc w:val="both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Setting Up an Evaluation Run</w:t>
      </w:r>
    </w:p>
    <w:p w14:paraId="572C9219">
      <w:pPr>
        <w:numPr>
          <w:numId w:val="0"/>
        </w:numPr>
        <w:ind w:leftChars="0"/>
        <w:jc w:val="both"/>
        <w:rPr>
          <w:rFonts w:hint="default"/>
          <w:b/>
          <w:bCs/>
          <w:sz w:val="32"/>
          <w:szCs w:val="32"/>
          <w:lang w:val="en-US"/>
        </w:rPr>
      </w:pPr>
    </w:p>
    <w:p w14:paraId="06279736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The evaluation setup is divided into an intuitive "bento box" card layout on the main dashboard.</w:t>
      </w:r>
    </w:p>
    <w:p w14:paraId="4CB9B291">
      <w:pPr>
        <w:numPr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3A166905">
      <w:pPr>
        <w:numPr>
          <w:numId w:val="0"/>
        </w:numPr>
        <w:jc w:val="both"/>
      </w:pPr>
      <w:r>
        <w:drawing>
          <wp:inline distT="0" distB="0" distL="114300" distR="114300">
            <wp:extent cx="5264150" cy="2485390"/>
            <wp:effectExtent l="0" t="0" r="889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4E347">
      <w:pPr>
        <w:numPr>
          <w:numId w:val="0"/>
        </w:numPr>
        <w:jc w:val="both"/>
      </w:pPr>
    </w:p>
    <w:p w14:paraId="5F03172F">
      <w:pPr>
        <w:numPr>
          <w:numId w:val="0"/>
        </w:numPr>
        <w:jc w:val="both"/>
      </w:pPr>
      <w:r>
        <w:drawing>
          <wp:inline distT="0" distB="0" distL="114300" distR="114300">
            <wp:extent cx="5261610" cy="2491105"/>
            <wp:effectExtent l="0" t="0" r="1143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96A5E">
      <w:pPr>
        <w:numPr>
          <w:numId w:val="0"/>
        </w:numPr>
        <w:jc w:val="both"/>
      </w:pPr>
    </w:p>
    <w:p w14:paraId="47BA6DF1">
      <w:pPr>
        <w:numPr>
          <w:ilvl w:val="2"/>
          <w:numId w:val="8"/>
        </w:numPr>
        <w:ind w:left="0" w:leftChars="0" w:firstLine="0" w:firstLineChars="0"/>
        <w:jc w:val="both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Model Selection</w:t>
      </w:r>
    </w:p>
    <w:p w14:paraId="1A66417F">
      <w:pPr>
        <w:numPr>
          <w:ilvl w:val="0"/>
          <w:numId w:val="9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Model Picker:</w:t>
      </w:r>
      <w:r>
        <w:rPr>
          <w:rFonts w:hint="default"/>
          <w:sz w:val="30"/>
          <w:szCs w:val="30"/>
          <w:lang w:val="en-US"/>
        </w:rPr>
        <w:t xml:space="preserve"> Administrators select a target model (e.g., GPT-4o, Claude 3.5 Sonnet, Llama 3.1 405B) from the active catalog to evaluate.</w:t>
      </w:r>
    </w:p>
    <w:p w14:paraId="64CEECEE">
      <w:pPr>
        <w:numPr>
          <w:ilvl w:val="2"/>
          <w:numId w:val="8"/>
        </w:numPr>
        <w:ind w:left="0" w:leftChars="0" w:firstLine="0" w:firstLineChars="0"/>
        <w:jc w:val="both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Configuration Parameters</w:t>
      </w:r>
    </w:p>
    <w:p w14:paraId="3FA8715B">
      <w:pPr>
        <w:numPr>
          <w:ilvl w:val="0"/>
          <w:numId w:val="10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Temperature Slider:</w:t>
      </w:r>
      <w:r>
        <w:rPr>
          <w:rFonts w:hint="default"/>
          <w:sz w:val="30"/>
          <w:szCs w:val="30"/>
          <w:lang w:val="en-US"/>
        </w:rPr>
        <w:t xml:space="preserve"> Controls the randomness of the output (range: 0.0 to 1.0, shifting from Precise to Creative).</w:t>
      </w:r>
    </w:p>
    <w:p w14:paraId="5D859E0C">
      <w:pPr>
        <w:numPr>
          <w:ilvl w:val="0"/>
          <w:numId w:val="10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Max Output Tokens Slider:</w:t>
      </w:r>
      <w:r>
        <w:rPr>
          <w:rFonts w:hint="default"/>
          <w:sz w:val="30"/>
          <w:szCs w:val="30"/>
          <w:lang w:val="en-US"/>
        </w:rPr>
        <w:t xml:space="preserve"> Sets the hard limit on the length of the generated response (range: 128 to 8,192).</w:t>
      </w:r>
    </w:p>
    <w:p w14:paraId="2C929465">
      <w:pPr>
        <w:numPr>
          <w:ilvl w:val="0"/>
          <w:numId w:val="10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System Prompt:</w:t>
      </w:r>
      <w:r>
        <w:rPr>
          <w:rFonts w:hint="default"/>
          <w:sz w:val="30"/>
          <w:szCs w:val="30"/>
          <w:lang w:val="en-US"/>
        </w:rPr>
        <w:t xml:space="preserve"> An optional text area to inject a foundational system instruction (e.g., "You are an expert document analyst") applied to all prompts in the batch.</w:t>
      </w:r>
    </w:p>
    <w:p w14:paraId="41E64C18">
      <w:pPr>
        <w:numPr>
          <w:ilvl w:val="2"/>
          <w:numId w:val="8"/>
        </w:numPr>
        <w:ind w:left="0" w:leftChars="0" w:firstLine="0" w:firstLineChars="0"/>
        <w:jc w:val="both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Data Uploads (Drop Zones)</w:t>
      </w:r>
    </w:p>
    <w:p w14:paraId="229B2B45">
      <w:pPr>
        <w:numPr>
          <w:ilvl w:val="0"/>
          <w:numId w:val="11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Prompts File (Required):</w:t>
      </w:r>
      <w:r>
        <w:rPr>
          <w:rFonts w:hint="default"/>
          <w:sz w:val="30"/>
          <w:szCs w:val="30"/>
          <w:lang w:val="en-US"/>
        </w:rPr>
        <w:t xml:space="preserve"> A drag-and-drop zone accepting .xlsx, .xls, or .csv files. The system expects one prompt per row.</w:t>
      </w:r>
    </w:p>
    <w:p w14:paraId="4E84AF0F">
      <w:pPr>
        <w:numPr>
          <w:ilvl w:val="0"/>
          <w:numId w:val="11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Context Documents (Optional):</w:t>
      </w:r>
      <w:r>
        <w:rPr>
          <w:rFonts w:hint="default"/>
          <w:sz w:val="30"/>
          <w:szCs w:val="30"/>
          <w:lang w:val="en-US"/>
        </w:rPr>
        <w:t xml:space="preserve"> A drag-and-drop zone accepting .pdf, .docx, .txt, .csv, .json, .xml files to provide background context for the evaluation.</w:t>
      </w:r>
    </w:p>
    <w:p w14:paraId="32DA2D2B">
      <w:pPr>
        <w:numPr>
          <w:numId w:val="0"/>
        </w:numPr>
        <w:jc w:val="both"/>
        <w:rPr>
          <w:rFonts w:hint="default"/>
          <w:sz w:val="30"/>
          <w:szCs w:val="30"/>
          <w:lang w:val="en-US"/>
        </w:rPr>
      </w:pPr>
    </w:p>
    <w:p w14:paraId="5C3E749F">
      <w:pPr>
        <w:numPr>
          <w:ilvl w:val="1"/>
          <w:numId w:val="8"/>
        </w:numPr>
        <w:ind w:left="0" w:leftChars="0" w:firstLine="0" w:firstLineChars="0"/>
        <w:jc w:val="both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Running and Exporting Evaluations</w:t>
      </w:r>
    </w:p>
    <w:p w14:paraId="17C596A4">
      <w:pPr>
        <w:numPr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Once the setup is complete, the Run Bar at the bottom of the setup section summarizes the selected configuration (Model, Prompt File, Document count) and provides the primary "</w:t>
      </w:r>
      <w:r>
        <w:rPr>
          <w:rFonts w:hint="default"/>
          <w:b/>
          <w:bCs/>
          <w:sz w:val="30"/>
          <w:szCs w:val="30"/>
          <w:lang w:val="en-US"/>
        </w:rPr>
        <w:t>Run Evaluation</w:t>
      </w:r>
      <w:r>
        <w:rPr>
          <w:rFonts w:hint="default"/>
          <w:b w:val="0"/>
          <w:bCs w:val="0"/>
          <w:sz w:val="30"/>
          <w:szCs w:val="30"/>
          <w:lang w:val="en-US"/>
        </w:rPr>
        <w:t>" action.</w:t>
      </w:r>
    </w:p>
    <w:p w14:paraId="753305E4">
      <w:pPr>
        <w:numPr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4874021A">
      <w:pPr>
        <w:numPr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During the run, a progress bar tracks the batch completion status. Once finished, an "</w:t>
      </w:r>
      <w:r>
        <w:rPr>
          <w:rFonts w:hint="default"/>
          <w:b/>
          <w:bCs/>
          <w:sz w:val="30"/>
          <w:szCs w:val="30"/>
          <w:lang w:val="en-US"/>
        </w:rPr>
        <w:t>Export Results (.csv)</w:t>
      </w:r>
      <w:r>
        <w:rPr>
          <w:rFonts w:hint="default"/>
          <w:b w:val="0"/>
          <w:bCs w:val="0"/>
          <w:sz w:val="30"/>
          <w:szCs w:val="30"/>
          <w:lang w:val="en-US"/>
        </w:rPr>
        <w:t>" button becomes available in both the hero section and the Run Bar to download the raw data.</w:t>
      </w:r>
    </w:p>
    <w:p w14:paraId="209592B6">
      <w:pPr>
        <w:numPr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317654B7">
      <w:pPr>
        <w:numPr>
          <w:ilvl w:val="1"/>
          <w:numId w:val="8"/>
        </w:numPr>
        <w:ind w:left="0" w:leftChars="0" w:firstLine="0" w:firstLineChars="0"/>
        <w:jc w:val="both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Evaluation Results &amp; Analysis</w:t>
      </w:r>
    </w:p>
    <w:p w14:paraId="1B24A2A4">
      <w:pPr>
        <w:numPr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After an evaluation completes, the "Results" section surfaces three distinct analytical views (Tabs), allowing administrators to drill down from high-level metrics to specific prompt outputs.</w:t>
      </w:r>
    </w:p>
    <w:p w14:paraId="0093CA09">
      <w:pPr>
        <w:numPr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45139276">
      <w:pPr>
        <w:numPr>
          <w:numId w:val="0"/>
        </w:numPr>
        <w:jc w:val="both"/>
      </w:pPr>
      <w:r>
        <w:drawing>
          <wp:inline distT="0" distB="0" distL="114300" distR="114300">
            <wp:extent cx="5264150" cy="2487930"/>
            <wp:effectExtent l="0" t="0" r="889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7E7A9">
      <w:pPr>
        <w:numPr>
          <w:numId w:val="0"/>
        </w:numPr>
        <w:jc w:val="both"/>
      </w:pPr>
    </w:p>
    <w:p w14:paraId="22C8801D">
      <w:pPr>
        <w:numPr>
          <w:numId w:val="0"/>
        </w:numPr>
        <w:jc w:val="both"/>
      </w:pPr>
      <w:r>
        <w:drawing>
          <wp:inline distT="0" distB="0" distL="114300" distR="114300">
            <wp:extent cx="5264150" cy="2485390"/>
            <wp:effectExtent l="0" t="0" r="8890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7C89E">
      <w:pPr>
        <w:numPr>
          <w:numId w:val="0"/>
        </w:numPr>
        <w:jc w:val="both"/>
      </w:pPr>
    </w:p>
    <w:p w14:paraId="6992E3D2">
      <w:pPr>
        <w:numPr>
          <w:numId w:val="0"/>
        </w:numPr>
        <w:jc w:val="both"/>
      </w:pPr>
      <w:r>
        <w:drawing>
          <wp:inline distT="0" distB="0" distL="114300" distR="114300">
            <wp:extent cx="5264150" cy="2485390"/>
            <wp:effectExtent l="0" t="0" r="8890" b="139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2DA99">
      <w:pPr>
        <w:numPr>
          <w:numId w:val="0"/>
        </w:numPr>
        <w:jc w:val="both"/>
      </w:pPr>
    </w:p>
    <w:p w14:paraId="36E409A2">
      <w:pPr>
        <w:numPr>
          <w:numId w:val="0"/>
        </w:numPr>
        <w:jc w:val="both"/>
      </w:pPr>
    </w:p>
    <w:p w14:paraId="0B759926">
      <w:pPr>
        <w:numPr>
          <w:numId w:val="0"/>
        </w:numPr>
        <w:jc w:val="both"/>
      </w:pPr>
    </w:p>
    <w:p w14:paraId="06419BAC">
      <w:pPr>
        <w:numPr>
          <w:numId w:val="0"/>
        </w:numPr>
        <w:jc w:val="both"/>
      </w:pPr>
    </w:p>
    <w:p w14:paraId="25D9869F">
      <w:pPr>
        <w:numPr>
          <w:numId w:val="0"/>
        </w:numPr>
        <w:jc w:val="both"/>
      </w:pPr>
    </w:p>
    <w:p w14:paraId="204E0385">
      <w:pPr>
        <w:numPr>
          <w:numId w:val="0"/>
        </w:numPr>
        <w:jc w:val="both"/>
      </w:pPr>
    </w:p>
    <w:p w14:paraId="1551149C">
      <w:pPr>
        <w:numPr>
          <w:ilvl w:val="2"/>
          <w:numId w:val="8"/>
        </w:numPr>
        <w:ind w:left="0" w:leftChars="0" w:firstLine="0" w:firstLineChars="0"/>
        <w:jc w:val="both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Overview Tab</w:t>
      </w:r>
    </w:p>
    <w:p w14:paraId="1939B8A4">
      <w:pPr>
        <w:numPr>
          <w:numId w:val="0"/>
        </w:numPr>
        <w:ind w:left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The Overview dashboard provides immediate, visual insights into the batch performance.</w:t>
      </w:r>
    </w:p>
    <w:p w14:paraId="684CC0B5">
      <w:pPr>
        <w:numPr>
          <w:ilvl w:val="0"/>
          <w:numId w:val="12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Top-Level KPI Cards:</w:t>
      </w:r>
      <w:r>
        <w:rPr>
          <w:rFonts w:hint="default"/>
          <w:sz w:val="30"/>
          <w:szCs w:val="30"/>
          <w:lang w:val="en-US"/>
        </w:rPr>
        <w:t xml:space="preserve"> Quality Score: An aggregate score (0-100) averaged across all prompts.</w:t>
      </w:r>
    </w:p>
    <w:p w14:paraId="18D5E60A">
      <w:pPr>
        <w:numPr>
          <w:ilvl w:val="0"/>
          <w:numId w:val="12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Pass Rate:</w:t>
      </w:r>
      <w:r>
        <w:rPr>
          <w:rFonts w:hint="default"/>
          <w:sz w:val="30"/>
          <w:szCs w:val="30"/>
          <w:lang w:val="en-US"/>
        </w:rPr>
        <w:t xml:space="preserve"> The percentage of prompts that achieved a passing status.</w:t>
      </w:r>
    </w:p>
    <w:p w14:paraId="6B085436">
      <w:pPr>
        <w:numPr>
          <w:ilvl w:val="0"/>
          <w:numId w:val="12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Avg Latency:</w:t>
      </w:r>
      <w:r>
        <w:rPr>
          <w:rFonts w:hint="default"/>
          <w:sz w:val="30"/>
          <w:szCs w:val="30"/>
          <w:lang w:val="en-US"/>
        </w:rPr>
        <w:t xml:space="preserve"> The mean response time across the batch in seconds.</w:t>
      </w:r>
    </w:p>
    <w:p w14:paraId="4460E85A">
      <w:pPr>
        <w:numPr>
          <w:ilvl w:val="0"/>
          <w:numId w:val="12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Total Tokens:</w:t>
      </w:r>
      <w:r>
        <w:rPr>
          <w:rFonts w:hint="default"/>
          <w:sz w:val="30"/>
          <w:szCs w:val="30"/>
          <w:lang w:val="en-US"/>
        </w:rPr>
        <w:t xml:space="preserve"> The aggregate token consumption (input + output).</w:t>
      </w:r>
    </w:p>
    <w:p w14:paraId="28CE7E27">
      <w:pPr>
        <w:numPr>
          <w:ilvl w:val="0"/>
          <w:numId w:val="12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Quality Dimensions (Radar Chart):</w:t>
      </w:r>
      <w:r>
        <w:rPr>
          <w:rFonts w:hint="default"/>
          <w:sz w:val="30"/>
          <w:szCs w:val="30"/>
          <w:lang w:val="en-US"/>
        </w:rPr>
        <w:t xml:space="preserve"> A breakdown of the overall score across specific heuristic dimensions (Faithfulness, Relevance, Coherence, Safety, Conciseness, Groundedness).</w:t>
      </w:r>
    </w:p>
    <w:p w14:paraId="4A363E3C">
      <w:pPr>
        <w:numPr>
          <w:ilvl w:val="0"/>
          <w:numId w:val="12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Per-Prompt Scores:</w:t>
      </w:r>
      <w:r>
        <w:rPr>
          <w:rFonts w:hint="default"/>
          <w:sz w:val="30"/>
          <w:szCs w:val="30"/>
          <w:lang w:val="en-US"/>
        </w:rPr>
        <w:t xml:space="preserve"> A horizontal bar chart displaying the individual quality score assigned to each prompt ID in the batch.</w:t>
      </w:r>
    </w:p>
    <w:p w14:paraId="3C7DB2E0">
      <w:pPr>
        <w:numPr>
          <w:ilvl w:val="0"/>
          <w:numId w:val="12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Latency &amp; Tokens Chart:</w:t>
      </w:r>
      <w:r>
        <w:rPr>
          <w:rFonts w:hint="default"/>
          <w:sz w:val="30"/>
          <w:szCs w:val="30"/>
          <w:lang w:val="en-US"/>
        </w:rPr>
        <w:t xml:space="preserve"> A comparative visual separating the time cost (Latency) from the processing cost (Tokens) for every prompt.</w:t>
      </w:r>
    </w:p>
    <w:p w14:paraId="71FD48BC">
      <w:pPr>
        <w:numPr>
          <w:numId w:val="0"/>
        </w:numPr>
        <w:jc w:val="both"/>
        <w:rPr>
          <w:rFonts w:hint="default"/>
          <w:sz w:val="30"/>
          <w:szCs w:val="30"/>
          <w:lang w:val="en-US"/>
        </w:rPr>
      </w:pPr>
    </w:p>
    <w:p w14:paraId="37033640">
      <w:pPr>
        <w:numPr>
          <w:numId w:val="0"/>
        </w:numPr>
        <w:jc w:val="both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1.3.2 Results Table Tab</w:t>
      </w:r>
    </w:p>
    <w:p w14:paraId="582D2871">
      <w:pPr>
        <w:numPr>
          <w:numId w:val="0"/>
        </w:numPr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A dense, data-rich table designed for detailed sorting and triage.</w:t>
      </w:r>
    </w:p>
    <w:p w14:paraId="37B87C63">
      <w:pPr>
        <w:numPr>
          <w:ilvl w:val="0"/>
          <w:numId w:val="12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Columns:</w:t>
      </w:r>
      <w:r>
        <w:rPr>
          <w:rFonts w:hint="default"/>
          <w:sz w:val="30"/>
          <w:szCs w:val="30"/>
          <w:lang w:val="en-US"/>
        </w:rPr>
        <w:t xml:space="preserve"> Prompt ID, Prompt snippet, Quality Score (with visual bar), Latency, Tokens, and Status Badge (Pass/Review).</w:t>
      </w:r>
    </w:p>
    <w:p w14:paraId="5546661B">
      <w:pPr>
        <w:numPr>
          <w:ilvl w:val="0"/>
          <w:numId w:val="12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Expandable Rows:</w:t>
      </w:r>
      <w:r>
        <w:rPr>
          <w:rFonts w:hint="default"/>
          <w:sz w:val="30"/>
          <w:szCs w:val="30"/>
          <w:lang w:val="en-US"/>
        </w:rPr>
        <w:t xml:space="preserve"> Clicking the chevron on any row expands it to reveal the full, un-truncated Prompt text and the complete Model Output side-by-side.</w:t>
      </w:r>
    </w:p>
    <w:p w14:paraId="291829FD">
      <w:pPr>
        <w:numPr>
          <w:ilvl w:val="0"/>
          <w:numId w:val="12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Includes a dedicated "Export to Excel" button scoped specifically to the table data.</w:t>
      </w:r>
    </w:p>
    <w:p w14:paraId="6CED1CD2">
      <w:pPr>
        <w:numPr>
          <w:numId w:val="0"/>
        </w:numPr>
        <w:ind w:leftChars="0"/>
        <w:jc w:val="both"/>
        <w:rPr>
          <w:rFonts w:hint="default"/>
          <w:sz w:val="30"/>
          <w:szCs w:val="30"/>
          <w:lang w:val="en-US"/>
        </w:rPr>
      </w:pPr>
      <w:bookmarkStart w:id="0" w:name="_GoBack"/>
      <w:bookmarkEnd w:id="0"/>
    </w:p>
    <w:p w14:paraId="22F7AA08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6690" cy="1148080"/>
            <wp:effectExtent l="0" t="0" r="635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0EBF5">
      <w:pPr>
        <w:numPr>
          <w:numId w:val="0"/>
        </w:numPr>
        <w:ind w:leftChars="0"/>
        <w:jc w:val="both"/>
      </w:pPr>
    </w:p>
    <w:p w14:paraId="7896431E">
      <w:pPr>
        <w:numPr>
          <w:numId w:val="0"/>
        </w:numPr>
        <w:ind w:leftChars="0"/>
        <w:jc w:val="both"/>
      </w:pPr>
    </w:p>
    <w:p w14:paraId="41164EA0">
      <w:pPr>
        <w:numPr>
          <w:numId w:val="0"/>
        </w:numPr>
        <w:ind w:leftChars="0"/>
        <w:jc w:val="both"/>
        <w:rPr>
          <w:rFonts w:hint="default"/>
          <w:lang w:val="en-US"/>
        </w:rPr>
      </w:pPr>
    </w:p>
    <w:p w14:paraId="78AB6528">
      <w:pPr>
        <w:numPr>
          <w:numId w:val="0"/>
        </w:numPr>
        <w:jc w:val="both"/>
        <w:rPr>
          <w:rFonts w:hint="default"/>
          <w:sz w:val="30"/>
          <w:szCs w:val="30"/>
          <w:lang w:val="en-US"/>
        </w:rPr>
      </w:pPr>
    </w:p>
    <w:p w14:paraId="5DEF26DD">
      <w:pPr>
        <w:numPr>
          <w:ilvl w:val="2"/>
          <w:numId w:val="8"/>
        </w:numPr>
        <w:ind w:left="0" w:leftChars="0" w:firstLine="0" w:firstLineChars="0"/>
        <w:jc w:val="both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Output Viewer Tab</w:t>
      </w:r>
    </w:p>
    <w:p w14:paraId="60F1053A">
      <w:pPr>
        <w:numPr>
          <w:numId w:val="0"/>
        </w:numPr>
        <w:ind w:left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A focused, reading-optimized layout.</w:t>
      </w:r>
    </w:p>
    <w:p w14:paraId="2ABAE5E5">
      <w:pPr>
        <w:numPr>
          <w:ilvl w:val="0"/>
          <w:numId w:val="13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Each prompt is displayed as an individual card.</w:t>
      </w:r>
    </w:p>
    <w:p w14:paraId="5C099892">
      <w:pPr>
        <w:numPr>
          <w:ilvl w:val="0"/>
          <w:numId w:val="13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The header contains the status badge, transaction metrics (latency/tokens), and the final quality score.</w:t>
      </w:r>
    </w:p>
    <w:p w14:paraId="374222E1">
      <w:pPr>
        <w:numPr>
          <w:ilvl w:val="0"/>
          <w:numId w:val="13"/>
        </w:numPr>
        <w:ind w:left="420" w:leftChars="0" w:hanging="420" w:firstLineChars="0"/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The body presents the user's Prompt and the Model's Output in a clean, split-column interface, making it easy to quickly review the subjective quality of the generative text.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260F3B"/>
    <w:multiLevelType w:val="multilevel"/>
    <w:tmpl w:val="81260F3B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99F286FA"/>
    <w:multiLevelType w:val="singleLevel"/>
    <w:tmpl w:val="99F286F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CB43CE4"/>
    <w:multiLevelType w:val="singleLevel"/>
    <w:tmpl w:val="CCB43CE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DA3A59FC"/>
    <w:multiLevelType w:val="multilevel"/>
    <w:tmpl w:val="DA3A59FC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E2DBC5CF"/>
    <w:multiLevelType w:val="singleLevel"/>
    <w:tmpl w:val="E2DBC5C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F6C02A86"/>
    <w:multiLevelType w:val="multilevel"/>
    <w:tmpl w:val="F6C02A8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FE9A4645"/>
    <w:multiLevelType w:val="multilevel"/>
    <w:tmpl w:val="FE9A464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7">
    <w:nsid w:val="24C663C7"/>
    <w:multiLevelType w:val="singleLevel"/>
    <w:tmpl w:val="24C663C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326A71C3"/>
    <w:multiLevelType w:val="singleLevel"/>
    <w:tmpl w:val="326A71C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3C3EA86A"/>
    <w:multiLevelType w:val="multilevel"/>
    <w:tmpl w:val="3C3EA86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0">
    <w:nsid w:val="6D9A2C33"/>
    <w:multiLevelType w:val="singleLevel"/>
    <w:tmpl w:val="6D9A2C3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74DA58ED"/>
    <w:multiLevelType w:val="singleLevel"/>
    <w:tmpl w:val="74DA58E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77864E5B"/>
    <w:multiLevelType w:val="singleLevel"/>
    <w:tmpl w:val="77864E5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9"/>
  </w:num>
  <w:num w:numId="2">
    <w:abstractNumId w:val="0"/>
  </w:num>
  <w:num w:numId="3">
    <w:abstractNumId w:val="5"/>
  </w:num>
  <w:num w:numId="4">
    <w:abstractNumId w:val="2"/>
  </w:num>
  <w:num w:numId="5">
    <w:abstractNumId w:val="8"/>
  </w:num>
  <w:num w:numId="6">
    <w:abstractNumId w:val="6"/>
  </w:num>
  <w:num w:numId="7">
    <w:abstractNumId w:val="1"/>
  </w:num>
  <w:num w:numId="8">
    <w:abstractNumId w:val="3"/>
  </w:num>
  <w:num w:numId="9">
    <w:abstractNumId w:val="10"/>
  </w:num>
  <w:num w:numId="10">
    <w:abstractNumId w:val="4"/>
  </w:num>
  <w:num w:numId="11">
    <w:abstractNumId w:val="7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F26F39"/>
    <w:rsid w:val="123617AE"/>
    <w:rsid w:val="63F2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126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2026-03-01T09:00:00Z</dcterms:created>
  <dc:creator>Aizen Sosuke</dc:creator>
  <cp:lastModifiedBy>Aizen Sosuke</cp:lastModifiedBy>
  <dcterms:modified xsi:type="dcterms:W3CDTF">2026-03-01T11:07:32Z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6F24CC36E5F84171AE7E6AB06B8063CF_11</vt:lpwstr>
  </property>
</Properties>
</file>