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jc w:val="center"/>
      </w:pPr>
      <w:r>
        <w:rPr>
          <w:rFonts w:ascii="Times New Roman" w:hAnsi="Times New Roman"/>
          <w:b/>
          <w:color w:val="000000"/>
          <w:sz w:val="32"/>
        </w:rPr>
        <w:t>No Detectable Accessibility Regression from AI Coding-Tool Adoption: A Bounded Null from 446 React/TypeScript Repositories under Staggered Difference-in-Differences</w:t>
      </w:r>
    </w:p>
    <w:p>
      <w:pPr>
        <w:jc w:val="center"/>
      </w:pPr>
      <w:r>
        <w:rPr>
          <w:rFonts w:ascii="Times New Roman" w:hAnsi="Times New Roman"/>
          <w:b/>
          <w:sz w:val="22"/>
        </w:rPr>
        <w:t>Somil Sharma</w:t>
      </w:r>
    </w:p>
    <w:p>
      <w:pPr>
        <w:jc w:val="center"/>
      </w:pPr>
      <w:r>
        <w:rPr>
          <w:rFonts w:ascii="Times New Roman" w:hAnsi="Times New Roman"/>
          <w:sz w:val="22"/>
        </w:rPr>
        <w:t>Independent Researcher, Gurugram, India · iamsomilsharma@gmail.com</w:t>
      </w:r>
    </w:p>
    <w:p>
      <w:pPr>
        <w:jc w:val="both"/>
      </w:pPr>
      <w:r>
        <w:rPr>
          <w:rFonts w:ascii="Times New Roman" w:hAnsi="Times New Roman"/>
          <w:i/>
          <w:sz w:val="22"/>
        </w:rPr>
        <w:t>Clinical trial number: not applicable.</w:t>
      </w:r>
    </w:p>
    <w:p>
      <w:pPr>
        <w:spacing w:before="240" w:after="80"/>
      </w:pPr>
      <w:r>
        <w:rPr>
          <w:rFonts w:ascii="Times New Roman" w:hAnsi="Times New Roman"/>
          <w:b/>
          <w:color w:val="000000"/>
          <w:sz w:val="26"/>
        </w:rPr>
        <w:t>Abstract</w:t>
      </w:r>
    </w:p>
    <w:p>
      <w:pPr>
        <w:jc w:val="both"/>
      </w:pPr>
      <w:r>
        <w:rPr>
          <w:rFonts w:ascii="Times New Roman" w:hAnsi="Times New Roman"/>
          <w:sz w:val="22"/>
        </w:rPr>
        <w:t xml:space="preserve">Do AI coding assistants (Cursor, GitHub Copilot) degrade the accessibility of the code they help produce? Accessibility is a legal and ethical baseline for web software, prior work shows AI assistants do not generate more accessible code than developers unaided, and rule-based checkers miss much of WCAG — so the concern is real and, in the prior literature, primed toward harm. We provide the first longitudinal </w:t>
      </w:r>
      <w:r>
        <w:rPr>
          <w:rFonts w:ascii="Times New Roman" w:hAnsi="Times New Roman"/>
          <w:i/>
          <w:sz w:val="22"/>
        </w:rPr>
        <w:t>causal</w:t>
      </w:r>
      <w:r>
        <w:rPr>
          <w:rFonts w:ascii="Times New Roman" w:hAnsi="Times New Roman"/>
          <w:sz w:val="22"/>
        </w:rPr>
        <w:t xml:space="preserve"> study of AI-tool adoption effects on the </w:t>
      </w:r>
      <w:r>
        <w:rPr>
          <w:rFonts w:ascii="Times New Roman" w:hAnsi="Times New Roman"/>
          <w:i/>
          <w:sz w:val="22"/>
        </w:rPr>
        <w:t>statically-detectable</w:t>
      </w:r>
      <w:r>
        <w:rPr>
          <w:rFonts w:ascii="Times New Roman" w:hAnsi="Times New Roman"/>
          <w:sz w:val="22"/>
        </w:rPr>
        <w:t xml:space="preserve"> accessibility quality of frontend source, over </w:t>
      </w:r>
      <w:r>
        <w:rPr>
          <w:rFonts w:ascii="Times New Roman" w:hAnsi="Times New Roman"/>
          <w:b/>
          <w:sz w:val="22"/>
        </w:rPr>
        <w:t>446 open-source React/TypeScript repositories</w:t>
      </w:r>
      <w:r>
        <w:rPr>
          <w:rFonts w:ascii="Times New Roman" w:hAnsi="Times New Roman"/>
          <w:sz w:val="22"/>
        </w:rPr>
        <w:t xml:space="preserve"> (189 treated, 257 never-treated; 13,702 repo-months; a propensity-matched 181-repo subset serves as the primary identification panel) under a staggered difference-in-differences (DiD) design. We measure source-level accessibility along </w:t>
      </w:r>
      <w:r>
        <w:rPr>
          <w:rFonts w:ascii="Times New Roman" w:hAnsi="Times New Roman"/>
          <w:b/>
          <w:sz w:val="22"/>
        </w:rPr>
        <w:t>four complementary axes</w:t>
      </w:r>
      <w:r>
        <w:rPr>
          <w:rFonts w:ascii="Times New Roman" w:hAnsi="Times New Roman"/>
          <w:sz w:val="22"/>
        </w:rPr>
        <w:t xml:space="preserve"> — semantic-HTML correctness, WCAG-category violation density (perceivable/operable/understandable/robust), severity-weighted violations, and keyboard/focus operability — via a render-independent static analysis that achieves 100% component coverage. (A fifth axis, ARIA-role correctness, showed essentially no variation in this corpus and is reported as such rather than modelled.) We are explicit that this captures accessibility properties visible in source — semantic structure, keyboard affordances, ARIA usage — not runtime properties such as computed colour contrast or live focus order, which no static method can see.</w:t>
      </w:r>
    </w:p>
    <w:p>
      <w:pPr>
        <w:jc w:val="both"/>
      </w:pPr>
      <w:r>
        <w:rPr>
          <w:rFonts w:ascii="Times New Roman" w:hAnsi="Times New Roman"/>
          <w:sz w:val="22"/>
        </w:rPr>
        <w:t xml:space="preserve">The headline is a </w:t>
      </w:r>
      <w:r>
        <w:rPr>
          <w:rFonts w:ascii="Times New Roman" w:hAnsi="Times New Roman"/>
          <w:b/>
          <w:sz w:val="22"/>
        </w:rPr>
        <w:t>comprehensive, tightly-bounded null</w:t>
      </w:r>
      <w:r>
        <w:rPr>
          <w:rFonts w:ascii="Times New Roman" w:hAnsi="Times New Roman"/>
          <w:sz w:val="22"/>
        </w:rPr>
        <w:t xml:space="preserve">. Across all four measured axes, the average treatment effect is null and stable across two-way fixed effects and a Borusyak–Jaravel–Spiess heterogeneity-robust imputation estimator, on both the matched and the full panel, with wild-cluster bootstrap inference confirming the null is not a small-sample artifact. Critically, the larger panel lets us state the null as a </w:t>
      </w:r>
      <w:r>
        <w:rPr>
          <w:rFonts w:ascii="Times New Roman" w:hAnsi="Times New Roman"/>
          <w:i/>
          <w:sz w:val="22"/>
        </w:rPr>
        <w:t>positive</w:t>
      </w:r>
      <w:r>
        <w:rPr>
          <w:rFonts w:ascii="Times New Roman" w:hAnsi="Times New Roman"/>
          <w:sz w:val="22"/>
        </w:rPr>
        <w:t xml:space="preserve"> equivalence claim at a far tighter bound than scale previously allowed: equivalence (TOST) testing rejects effects larger than </w:t>
      </w:r>
      <w:r>
        <w:rPr>
          <w:rFonts w:ascii="Times New Roman" w:hAnsi="Times New Roman"/>
          <w:b/>
          <w:sz w:val="22"/>
        </w:rPr>
        <w:t>±5% of baseline</w:t>
      </w:r>
      <w:r>
        <w:rPr>
          <w:rFonts w:ascii="Times New Roman" w:hAnsi="Times New Roman"/>
          <w:sz w:val="22"/>
        </w:rPr>
        <w:t xml:space="preserve"> on the dense semantic-HTML and keyboard axes and </w:t>
      </w:r>
      <w:r>
        <w:rPr>
          <w:rFonts w:ascii="Times New Roman" w:hAnsi="Times New Roman"/>
          <w:b/>
          <w:sz w:val="22"/>
        </w:rPr>
        <w:t>±10–30%</w:t>
      </w:r>
      <w:r>
        <w:rPr>
          <w:rFonts w:ascii="Times New Roman" w:hAnsi="Times New Roman"/>
          <w:sz w:val="22"/>
        </w:rPr>
        <w:t xml:space="preserve"> on the rare-event violation-density axes (whose looser bound reflects their near-zero baseline, not weaker data) — not merely "we failed to reject." Treated and control repositories show comparable post-period maintenance activity, so the comparison group behaves as a clean counterfactual. Extending the analysis beyond the mean — to volatility, upper-tail risk, and the persistence of quality states — we find the </w:t>
      </w:r>
      <w:r>
        <w:rPr>
          <w:rFonts w:ascii="Times New Roman" w:hAnsi="Times New Roman"/>
          <w:i/>
          <w:sz w:val="22"/>
        </w:rPr>
        <w:t>level</w:t>
      </w:r>
      <w:r>
        <w:rPr>
          <w:rFonts w:ascii="Times New Roman" w:hAnsi="Times New Roman"/>
          <w:sz w:val="22"/>
        </w:rPr>
        <w:t xml:space="preserve"> of every moment unchanged, with one robust second-order exception: post-adoption quality states are modestly but reliably </w:t>
      </w:r>
      <w:r>
        <w:rPr>
          <w:rFonts w:ascii="Times New Roman" w:hAnsi="Times New Roman"/>
          <w:i/>
          <w:sz w:val="22"/>
        </w:rPr>
        <w:t>stickier</w:t>
      </w:r>
      <w:r>
        <w:rPr>
          <w:rFonts w:ascii="Times New Roman" w:hAnsi="Times New Roman"/>
          <w:sz w:val="22"/>
        </w:rPr>
        <w:t xml:space="preserve"> (spectral-gap difference −0.019, 95% CI [−0.031, −0.007]), i.e. AI-assisted repositories show less month-to-month churn in their accessibility profile without that profile becoming better or worse.</w:t>
      </w:r>
    </w:p>
    <w:p>
      <w:pPr>
        <w:jc w:val="both"/>
      </w:pPr>
      <w:r>
        <w:rPr>
          <w:rFonts w:ascii="Times New Roman" w:hAnsi="Times New Roman"/>
          <w:sz w:val="22"/>
        </w:rPr>
        <w:t xml:space="preserve">Reaching that null required killing two of our own too-good-to-be-true positives, and the discipline that did so is the paper's transferable methodological by-product, which we package as a short checklist for distributional analysis of clustered, zero-inflated repository panels. A naive pooled tail-risk test read </w:t>
      </w:r>
      <w:r>
        <w:rPr>
          <w:rFonts w:ascii="Times New Roman" w:hAnsi="Times New Roman"/>
          <w:i/>
          <w:sz w:val="22"/>
        </w:rPr>
        <w:t>p</w:t>
      </w:r>
      <w:r>
        <w:rPr>
          <w:rFonts w:ascii="Times New Roman" w:hAnsi="Times New Roman"/>
          <w:sz w:val="22"/>
        </w:rPr>
        <w:t xml:space="preserve"> = 0.003 (apparent harm) and reversed to a null once treated-versus-control contrast and within-repo clustering were respected; a Monte Carlo on synthetic null panels quantifies that the naive test rejects a true null up to 100% of the time under a common secular trend while the cluster-robust DiD holds nominal size. We also state one SE-specific pitfall as a named result (a zero-inflation degrees-of-freedom degeneracy in Markov regime tests under quantile binning), and — in the same self-correcting spirit — report a conjecture about snapshot-cadence utilization that our own simulation </w:t>
      </w:r>
      <w:r>
        <w:rPr>
          <w:rFonts w:ascii="Times New Roman" w:hAnsi="Times New Roman"/>
          <w:i/>
          <w:sz w:val="22"/>
        </w:rPr>
        <w:t>refuted</w:t>
      </w:r>
      <w:r>
        <w:rPr>
          <w:rFonts w:ascii="Times New Roman" w:hAnsi="Times New Roman"/>
          <w:sz w:val="22"/>
        </w:rPr>
        <w:t>, leading us to withdraw it.</w:t>
      </w:r>
    </w:p>
    <w:p>
      <w:pPr>
        <w:jc w:val="both"/>
      </w:pPr>
      <w:r>
        <w:rPr>
          <w:rFonts w:ascii="Times New Roman" w:hAnsi="Times New Roman"/>
          <w:b/>
          <w:sz w:val="22"/>
        </w:rPr>
        <w:t>Keywords:</w:t>
      </w:r>
      <w:r>
        <w:rPr>
          <w:rFonts w:ascii="Times New Roman" w:hAnsi="Times New Roman"/>
          <w:sz w:val="22"/>
        </w:rPr>
        <w:t xml:space="preserve"> AI-assisted development, web accessibility, difference-in-differences, staggered adoption, clustered inference, equivalence testing, null results, distributional treatment effects, zero-inflation, empirical software engineering.</w:t>
      </w:r>
    </w:p>
    <w:p>
      <w:pPr>
        <w:spacing w:before="240" w:after="80"/>
      </w:pPr>
      <w:r>
        <w:rPr>
          <w:rFonts w:ascii="Times New Roman" w:hAnsi="Times New Roman"/>
          <w:b/>
          <w:color w:val="000000"/>
          <w:sz w:val="26"/>
        </w:rPr>
        <w:t>1. Introduction</w:t>
      </w:r>
    </w:p>
    <w:p>
      <w:pPr>
        <w:jc w:val="both"/>
      </w:pPr>
      <w:r>
        <w:rPr>
          <w:rFonts w:ascii="Times New Roman" w:hAnsi="Times New Roman"/>
          <w:sz w:val="22"/>
        </w:rPr>
        <w:t xml:space="preserve">Every day, developers accept AI-generated React components into production without running a single accessibility check. Tools such as Cursor and GitHub Copilot have reshaped how frontend code is written, offering completions that are syntactically correct and functionally plausible. Their effect on the </w:t>
      </w:r>
      <w:r>
        <w:rPr>
          <w:rFonts w:ascii="Times New Roman" w:hAnsi="Times New Roman"/>
          <w:i/>
          <w:sz w:val="22"/>
        </w:rPr>
        <w:t>non-functional</w:t>
      </w:r>
      <w:r>
        <w:rPr>
          <w:rFonts w:ascii="Times New Roman" w:hAnsi="Times New Roman"/>
          <w:sz w:val="22"/>
        </w:rPr>
        <w:t xml:space="preserve"> properties of that code — accessibility, semantic correctness, structural integrity — has received far less scrutiny than their effect on velocity or functional correctness.</w:t>
      </w:r>
    </w:p>
    <w:p>
      <w:pPr>
        <w:jc w:val="both"/>
      </w:pPr>
      <w:r>
        <w:rPr>
          <w:rFonts w:ascii="Times New Roman" w:hAnsi="Times New Roman"/>
          <w:sz w:val="22"/>
        </w:rPr>
        <w:t xml:space="preserve">Accessibility failures are not cosmetic. The Web Content Accessibility Guidelines (WCAG) constitute a legal baseline in multiple jurisdictions, and violations exclude users who rely on screen readers, keyboard navigation, and other assistive technologies. Prior work establishes two facts that motivate concern. First, rule-based accessibility checkers cover only a fraction of WCAG criteria (He, Huq, and Malek (2025)), so violations can accumulate below the visibility threshold of standard tooling. Second, AI coding assistants do not produce more accessible code than human developers by default, and in several controlled conditions produce </w:t>
      </w:r>
      <w:r>
        <w:rPr>
          <w:rFonts w:ascii="Times New Roman" w:hAnsi="Times New Roman"/>
          <w:i/>
          <w:sz w:val="22"/>
        </w:rPr>
        <w:t>less</w:t>
      </w:r>
      <w:r>
        <w:rPr>
          <w:rFonts w:ascii="Times New Roman" w:hAnsi="Times New Roman"/>
          <w:sz w:val="22"/>
        </w:rPr>
        <w:t xml:space="preserve"> accessible code (Mowar et al., CHI 2025). What remains unknown — and what this paper addresses — is whether AI-tool adoption </w:t>
      </w:r>
      <w:r>
        <w:rPr>
          <w:rFonts w:ascii="Times New Roman" w:hAnsi="Times New Roman"/>
          <w:i/>
          <w:sz w:val="22"/>
        </w:rPr>
        <w:t>causally</w:t>
      </w:r>
      <w:r>
        <w:rPr>
          <w:rFonts w:ascii="Times New Roman" w:hAnsi="Times New Roman"/>
          <w:sz w:val="22"/>
        </w:rPr>
        <w:t xml:space="preserve"> changes accessibility quality over time in real production codebases.</w:t>
      </w:r>
    </w:p>
    <w:p>
      <w:pPr>
        <w:jc w:val="both"/>
      </w:pPr>
      <w:r>
        <w:rPr>
          <w:rFonts w:ascii="Times New Roman" w:hAnsi="Times New Roman"/>
          <w:sz w:val="22"/>
        </w:rPr>
        <w:t xml:space="preserve">What remains unknown — and what this paper settles for the open-source React/TypeScript ecosystem — is whether AI-tool adoption </w:t>
      </w:r>
      <w:r>
        <w:rPr>
          <w:rFonts w:ascii="Times New Roman" w:hAnsi="Times New Roman"/>
          <w:i/>
          <w:sz w:val="22"/>
        </w:rPr>
        <w:t>causally</w:t>
      </w:r>
      <w:r>
        <w:rPr>
          <w:rFonts w:ascii="Times New Roman" w:hAnsi="Times New Roman"/>
          <w:sz w:val="22"/>
        </w:rPr>
        <w:t xml:space="preserve"> changes accessibility quality over time in real production codebases. We treat this as the primary question and answer it with a rigorously identified design; the methodological lessons we learned reaching the answer are the secondary, transferable by-product.</w:t>
      </w:r>
    </w:p>
    <w:p>
      <w:pPr>
        <w:jc w:val="both"/>
      </w:pPr>
      <w:r>
        <w:rPr>
          <w:rFonts w:ascii="Times New Roman" w:hAnsi="Times New Roman"/>
          <w:sz w:val="22"/>
        </w:rPr>
        <w:t xml:space="preserve">The answer is a </w:t>
      </w:r>
      <w:r>
        <w:rPr>
          <w:rFonts w:ascii="Times New Roman" w:hAnsi="Times New Roman"/>
          <w:b/>
          <w:sz w:val="22"/>
        </w:rPr>
        <w:t>comprehensive, tightly-bounded null</w:t>
      </w:r>
      <w:r>
        <w:rPr>
          <w:rFonts w:ascii="Times New Roman" w:hAnsi="Times New Roman"/>
          <w:sz w:val="22"/>
        </w:rPr>
        <w:t xml:space="preserve">. We do not find that AI-tool adoption degrades source-level accessibility quality on any of the four measured axes, and the null is unusually well-defended: it holds across two-way fixed effects and a heterogeneity-robust staggered-DiD imputation estimator, on a propensity-matched 181-repo panel and on the full 446-repo panel, survives a wild-cluster bootstrap, and is stated as a positive equivalence claim (we reject effects larger than ±5% of baseline on the semantic-HTML and keyboard axes) rather than a bare failure to reject. Treated and control repositories show comparable post-period maintenance activity, so the comparison group is a clean counterfactual. We also look beyond the mean — at volatility, upper-tail risk, and state persistence — and find the </w:t>
      </w:r>
      <w:r>
        <w:rPr>
          <w:rFonts w:ascii="Times New Roman" w:hAnsi="Times New Roman"/>
          <w:i/>
          <w:sz w:val="22"/>
        </w:rPr>
        <w:t>level</w:t>
      </w:r>
      <w:r>
        <w:rPr>
          <w:rFonts w:ascii="Times New Roman" w:hAnsi="Times New Roman"/>
          <w:sz w:val="22"/>
        </w:rPr>
        <w:t xml:space="preserve"> of every moment unchanged, with one nuance worth reporting: quality states become modestly </w:t>
      </w:r>
      <w:r>
        <w:rPr>
          <w:rFonts w:ascii="Times New Roman" w:hAnsi="Times New Roman"/>
          <w:i/>
          <w:sz w:val="22"/>
        </w:rPr>
        <w:t>more persistent</w:t>
      </w:r>
      <w:r>
        <w:rPr>
          <w:rFonts w:ascii="Times New Roman" w:hAnsi="Times New Roman"/>
          <w:sz w:val="22"/>
        </w:rPr>
        <w:t xml:space="preserve"> post-adoption (a slower-mixing chain whose spectral gap halves, CI excluding zero), a small benign second-order effect — less churn, not better or worse quality — that leaves the level null intact.</w:t>
      </w:r>
    </w:p>
    <w:p>
      <w:pPr>
        <w:jc w:val="both"/>
      </w:pPr>
      <w:r>
        <w:rPr>
          <w:rFonts w:ascii="Times New Roman" w:hAnsi="Times New Roman"/>
          <w:sz w:val="22"/>
        </w:rPr>
        <w:t xml:space="preserve">That null was not free. Repository panels are treacherous for distributional and dynamic analysis: repo-months are heavily clustered, outcomes are zero-inflated, and pre/post windows mix treated and control units whose composition drifts over calendar time, so a distributional test run naively will </w:t>
      </w:r>
      <w:r>
        <w:rPr>
          <w:rFonts w:ascii="Times New Roman" w:hAnsi="Times New Roman"/>
          <w:i/>
          <w:sz w:val="22"/>
        </w:rPr>
        <w:t>manufacture</w:t>
      </w:r>
      <w:r>
        <w:rPr>
          <w:rFonts w:ascii="Times New Roman" w:hAnsi="Times New Roman"/>
          <w:sz w:val="22"/>
        </w:rPr>
        <w:t xml:space="preserve"> a significant, hypothesis-confirming effect. We were nearly fooled twice — by a pooled tail-risk test reading </w:t>
      </w:r>
      <w:r>
        <w:rPr>
          <w:rFonts w:ascii="Times New Roman" w:hAnsi="Times New Roman"/>
          <w:i/>
          <w:sz w:val="22"/>
        </w:rPr>
        <w:t>p</w:t>
      </w:r>
      <w:r>
        <w:rPr>
          <w:rFonts w:ascii="Times New Roman" w:hAnsi="Times New Roman"/>
          <w:sz w:val="22"/>
        </w:rPr>
        <w:t xml:space="preserve"> = 0.003 and by an apparent queueing-utilization crossover — and the discipline that caught both is worth more to the next analyst than the substantive null itself. We therefore distil it into a short checklist and a quantified demonstration, and we hold ourselves to the same standard we recommend: where we could only argue a convenient property verbally, we simulated it, and we report one such conjecture that our own simulation </w:t>
      </w:r>
      <w:r>
        <w:rPr>
          <w:rFonts w:ascii="Times New Roman" w:hAnsi="Times New Roman"/>
          <w:i/>
          <w:sz w:val="22"/>
        </w:rPr>
        <w:t>refuted</w:t>
      </w:r>
      <w:r>
        <w:rPr>
          <w:rFonts w:ascii="Times New Roman" w:hAnsi="Times New Roman"/>
          <w:sz w:val="22"/>
        </w:rPr>
        <w:t>.</w:t>
      </w:r>
    </w:p>
    <w:p>
      <w:pPr>
        <w:jc w:val="both"/>
      </w:pPr>
      <w:r>
        <w:rPr>
          <w:rFonts w:ascii="Times New Roman" w:hAnsi="Times New Roman"/>
          <w:sz w:val="22"/>
        </w:rPr>
        <w:t>This paper makes the following contributions, ordered by significance. The first three are the empirical study; the last two are the transferable methodological by-product.</w:t>
      </w:r>
    </w:p>
    <w:p>
      <w:pPr>
        <w:pStyle w:val="ListNumber"/>
      </w:pPr>
      <w:r>
        <w:rPr>
          <w:rFonts w:ascii="Times New Roman" w:hAnsi="Times New Roman"/>
          <w:b/>
          <w:sz w:val="22"/>
        </w:rPr>
        <w:t>The first large-scale longitudinal causal study of AI coding-tool adoption effects on source-level frontend accessibility.</w:t>
      </w:r>
      <w:r>
        <w:rPr>
          <w:rFonts w:ascii="Times New Roman" w:hAnsi="Times New Roman"/>
          <w:sz w:val="22"/>
        </w:rPr>
        <w:t xml:space="preserve"> Over </w:t>
      </w:r>
      <w:r>
        <w:rPr>
          <w:rFonts w:ascii="Times New Roman" w:hAnsi="Times New Roman"/>
          <w:b/>
          <w:sz w:val="22"/>
        </w:rPr>
        <w:t>446 open-source React/TypeScript repositories and 13,702 repo-months</w:t>
      </w:r>
      <w:r>
        <w:rPr>
          <w:rFonts w:ascii="Times New Roman" w:hAnsi="Times New Roman"/>
          <w:sz w:val="22"/>
        </w:rPr>
        <w:t xml:space="preserve"> (a propensity-matched 181-repo subset as the primary identification panel), we estimate the average treatment effect with a staggered DiD design — two-way fixed effects plus a Borusyak–Jaravel–Spiess heterogeneity-robust imputation estimator — across </w:t>
      </w:r>
      <w:r>
        <w:rPr>
          <w:rFonts w:ascii="Times New Roman" w:hAnsi="Times New Roman"/>
          <w:b/>
          <w:sz w:val="22"/>
        </w:rPr>
        <w:t>four statically-measured accessibility axes</w:t>
      </w:r>
      <w:r>
        <w:rPr>
          <w:rFonts w:ascii="Times New Roman" w:hAnsi="Times New Roman"/>
          <w:sz w:val="22"/>
        </w:rPr>
        <w:t>: semantic-HTML correctness, WCAG-category violation density, severity-weighted violations, and keyboard/focus operability (a fifth, ARIA-role correctness, was near-constant and is reported as such). This extends the He, Miller, et al. (2026) AI-adoption framework to a non-functional quality attribute, accessibility, that it did not study.</w:t>
      </w:r>
    </w:p>
    <w:p>
      <w:pPr>
        <w:pStyle w:val="ListNumber"/>
      </w:pPr>
      <w:r>
        <w:rPr>
          <w:rFonts w:ascii="Times New Roman" w:hAnsi="Times New Roman"/>
          <w:b/>
          <w:sz w:val="22"/>
        </w:rPr>
        <w:t>A comprehensive, tightly-bounded, multiply-robust null.</w:t>
      </w:r>
      <w:r>
        <w:rPr>
          <w:rFonts w:ascii="Times New Roman" w:hAnsi="Times New Roman"/>
          <w:sz w:val="22"/>
        </w:rPr>
        <w:t xml:space="preserve"> No axis shows a significant effect under either estimator, on either panel; we defend the null with a wild-cluster bootstrap (small-cluster-robust) and an equivalence (TOST) test that </w:t>
      </w:r>
      <w:r>
        <w:rPr>
          <w:rFonts w:ascii="Times New Roman" w:hAnsi="Times New Roman"/>
          <w:b/>
          <w:sz w:val="22"/>
        </w:rPr>
        <w:t>positively rejects effects above ±5% of baseline on the semantic-HTML and keyboard axes</w:t>
      </w:r>
      <w:r>
        <w:rPr>
          <w:rFonts w:ascii="Times New Roman" w:hAnsi="Times New Roman"/>
          <w:sz w:val="22"/>
        </w:rPr>
        <w:t xml:space="preserve"> (±10–30% on the sparser violation-density axes). The scale-up tightens the certified equivalence bound roughly nine-fold relative to a small panel, converting "we found no large effect" into "we exclude even modest effects." Treated and control repositories have comparable post-period maintenance activity, addressing the moving-control-arm concern directly.</w:t>
      </w:r>
    </w:p>
    <w:p>
      <w:pPr>
        <w:pStyle w:val="ListNumber"/>
      </w:pPr>
      <w:r>
        <w:rPr>
          <w:rFonts w:ascii="Times New Roman" w:hAnsi="Times New Roman"/>
          <w:b/>
          <w:sz w:val="22"/>
        </w:rPr>
        <w:t>A render-independent, multi-axis static accessibility analyzer with 100% component coverage.</w:t>
      </w:r>
      <w:r>
        <w:rPr>
          <w:rFonts w:ascii="Times New Roman" w:hAnsi="Times New Roman"/>
          <w:sz w:val="22"/>
        </w:rPr>
        <w:t xml:space="preserve"> Where runtime axe-core rendering fails on ~60% of components, our static TypeScript-AST analyzer measures every source-detectable axis on every component, deterministically. The semantic-HTML score is construct-validated against four independent expert raters (Krippendorff's α = 0.870), including a three-rater robustness analysis that excludes the metric's designer; the remaining axes are rule-based static checks whose definitions we give in full, and we are explicit (Section 7) that the analyzer sees source structure, not runtime behaviour.</w:t>
      </w:r>
    </w:p>
    <w:p>
      <w:pPr>
        <w:pStyle w:val="ListNumber"/>
      </w:pPr>
      <w:r>
        <w:rPr>
          <w:rFonts w:ascii="Times New Roman" w:hAnsi="Times New Roman"/>
          <w:b/>
          <w:sz w:val="22"/>
        </w:rPr>
        <w:t>A practitioner checklist plus a quantified failure mode for distributional analysis of clustered, zero-inflated repository panels (Section 6).</w:t>
      </w:r>
      <w:r>
        <w:rPr>
          <w:rFonts w:ascii="Times New Roman" w:hAnsi="Times New Roman"/>
          <w:sz w:val="22"/>
        </w:rPr>
        <w:t xml:space="preserve"> The checklist composes established econometric hygiene (contrast treated-vs-control, cluster within repo) with the worked demonstration of how badly it fails when violated: a pooled tail test reading </w:t>
      </w:r>
      <w:r>
        <w:rPr>
          <w:rFonts w:ascii="Times New Roman" w:hAnsi="Times New Roman"/>
          <w:i/>
          <w:sz w:val="22"/>
        </w:rPr>
        <w:t>p</w:t>
      </w:r>
      <w:r>
        <w:rPr>
          <w:rFonts w:ascii="Times New Roman" w:hAnsi="Times New Roman"/>
          <w:sz w:val="22"/>
        </w:rPr>
        <w:t xml:space="preserve"> = 0.003 that reverses to a null, and a Monte Carlo on synthetic null panels showing the naive test rejects a true null up to 100% of the time under a common secular trend while the cluster-robust DiD holds nominal size. We are explicit that the hygiene is not novel; the contribution is the measured demonstration in the SE setting.</w:t>
      </w:r>
    </w:p>
    <w:p>
      <w:pPr>
        <w:pStyle w:val="ListNumber"/>
      </w:pPr>
      <w:r>
        <w:rPr>
          <w:rFonts w:ascii="Times New Roman" w:hAnsi="Times New Roman"/>
          <w:b/>
          <w:sz w:val="22"/>
        </w:rPr>
        <w:t>One named SE-specific pitfall, and one self-refuted conjecture reported honestly.</w:t>
      </w:r>
      <w:r>
        <w:rPr>
          <w:rFonts w:ascii="Times New Roman" w:hAnsi="Times New Roman"/>
          <w:sz w:val="22"/>
        </w:rPr>
        <w:t xml:space="preserve"> </w:t>
      </w:r>
      <w:r>
        <w:rPr>
          <w:rFonts w:ascii="Times New Roman" w:hAnsi="Times New Roman"/>
          <w:i/>
          <w:sz w:val="22"/>
        </w:rPr>
        <w:t>Result 1</w:t>
      </w:r>
      <w:r>
        <w:rPr>
          <w:rFonts w:ascii="Times New Roman" w:hAnsi="Times New Roman"/>
          <w:sz w:val="22"/>
        </w:rPr>
        <w:t xml:space="preserve"> — a zero-inflation degrees-of-freedom degeneracy that silently invalidates Markov regime tests under quantile binning of a zero-inflated outcome. And, in the same self-correcting spirit, we conjectured that a snapshot-cadence birth–death utilization is biased in level but unbiased in the pre/post contrast; our own simulation refuted the cancellation, so we </w:t>
      </w:r>
      <w:r>
        <w:rPr>
          <w:rFonts w:ascii="Times New Roman" w:hAnsi="Times New Roman"/>
          <w:b/>
          <w:sz w:val="22"/>
        </w:rPr>
        <w:t>withdraw</w:t>
      </w:r>
      <w:r>
        <w:rPr>
          <w:rFonts w:ascii="Times New Roman" w:hAnsi="Times New Roman"/>
          <w:sz w:val="22"/>
        </w:rPr>
        <w:t xml:space="preserve"> that claim and drop the queueing apparatus from the substantive analysis — reported here because surfacing a refuted conjecture is part of the methodological honesty we advocate.</w:t>
      </w:r>
    </w:p>
    <w:p>
      <w:pPr>
        <w:jc w:val="both"/>
      </w:pPr>
      <w:r>
        <w:rPr>
          <w:rFonts w:ascii="Times New Roman" w:hAnsi="Times New Roman"/>
          <w:sz w:val="22"/>
        </w:rPr>
        <w:t>We are explicit throughout about the limits of the substantive claim: equivalence is certified at ±5% on the dense score axes but only ±10–30% on the sparse violation-density axes, and the dynamics conclusion is bounded by monthly snapshot cadence. We discuss in Section 7 how a per-commit, pre-registered follow-up would tighten the remaining bounds.</w:t>
      </w:r>
    </w:p>
    <w:p>
      <w:pPr>
        <w:jc w:val="both"/>
      </w:pPr>
      <w:r>
        <w:rPr>
          <w:rFonts w:ascii="Times New Roman" w:hAnsi="Times New Roman"/>
          <w:sz w:val="22"/>
        </w:rPr>
        <w:t xml:space="preserve">The remainder of this paper is organised as follows. Section 2 reviews related work. Section 3 describes the study design and identification strategy. Section 4 presents the mean-effect results under all three DiD estimators, with the equivalence, power, wild-cluster, and multiplicity analyses. Section 5 extends the analysis beyond the mean (volatility, persistence, tail risk), states Result 1, and reports the withdrawn utilization conjecture. </w:t>
      </w:r>
      <w:r>
        <w:rPr>
          <w:rFonts w:ascii="Times New Roman" w:hAnsi="Times New Roman"/>
          <w:b/>
          <w:sz w:val="22"/>
        </w:rPr>
        <w:t>Section 6 distils the methodological by-product: the Monte Carlo size study, the worked tail-test artifact, and the practitioner checklist.</w:t>
      </w:r>
      <w:r>
        <w:rPr>
          <w:rFonts w:ascii="Times New Roman" w:hAnsi="Times New Roman"/>
          <w:sz w:val="22"/>
        </w:rPr>
        <w:t xml:space="preserve"> Section 7 discusses the bounded null and its scope. Section 8 enumerates threats to validity, including the construct-validity study. Section 9 concludes.</w:t>
      </w:r>
    </w:p>
    <w:p>
      <w:pPr>
        <w:spacing w:before="240" w:after="80"/>
      </w:pPr>
      <w:r>
        <w:rPr>
          <w:rFonts w:ascii="Times New Roman" w:hAnsi="Times New Roman"/>
          <w:b/>
          <w:color w:val="000000"/>
          <w:sz w:val="26"/>
        </w:rPr>
        <w:t>2. Related Work</w:t>
      </w:r>
    </w:p>
    <w:p>
      <w:pPr>
        <w:jc w:val="both"/>
      </w:pPr>
      <w:r>
        <w:rPr>
          <w:rFonts w:ascii="Times New Roman" w:hAnsi="Times New Roman"/>
          <w:sz w:val="22"/>
        </w:rPr>
        <w:t>We position the work first against the methodological literature it contributes to (distributional/dynamic effects and stochastic-process models in SE), then against the substantive literature it draws its setting from (AI-assisted development, accessibility, frontend static analysis).</w:t>
      </w:r>
    </w:p>
    <w:p>
      <w:pPr>
        <w:spacing w:before="160" w:after="80"/>
      </w:pPr>
      <w:r>
        <w:rPr>
          <w:rFonts w:ascii="Times New Roman" w:hAnsi="Times New Roman"/>
          <w:b/>
          <w:color w:val="000000"/>
          <w:sz w:val="23"/>
        </w:rPr>
        <w:t>2.1 Beyond Mean Effects in Empirical Software Engineering</w:t>
      </w:r>
    </w:p>
    <w:p>
      <w:pPr>
        <w:jc w:val="both"/>
      </w:pPr>
      <w:r>
        <w:rPr>
          <w:rFonts w:ascii="Times New Roman" w:hAnsi="Times New Roman"/>
          <w:sz w:val="22"/>
        </w:rPr>
        <w:t xml:space="preserve">Quantitative empirical SE overwhelmingly reports treatment effects on means or proportions. That distributional and dynamic properties carry information </w:t>
      </w:r>
      <w:r>
        <w:rPr>
          <w:rFonts w:ascii="Times New Roman" w:hAnsi="Times New Roman"/>
          <w:i/>
          <w:sz w:val="22"/>
        </w:rPr>
        <w:t>beyond</w:t>
      </w:r>
      <w:r>
        <w:rPr>
          <w:rFonts w:ascii="Times New Roman" w:hAnsi="Times New Roman"/>
          <w:sz w:val="22"/>
        </w:rPr>
        <w:t xml:space="preserve"> the mean is standard in econometrics — quantile and distributional treatment effects are well-developed — the changes-in-changes model of Athey and Imbens (2006), the recentered-influence-function (RIF) unconditional quantile regressions of Firpo, Fortin, and Lemieux (2009), the staggered-adoption group-time estimators of Callaway and Sant'Anna (2021) that make the treated-vs-control structure explicit across periods, and the quantile-treatment-effect DiD estimators of Callaway and Li (2019) — but such distributional analysis remains rare in SE measurement, where outcome series are typically collapsed to per-period averages before analysis. He, Miller, et al. (2026) find that much of the warning- and complexity-increase from AI adoption is </w:t>
      </w:r>
      <w:r>
        <w:rPr>
          <w:rFonts w:ascii="Times New Roman" w:hAnsi="Times New Roman"/>
          <w:i/>
          <w:sz w:val="22"/>
        </w:rPr>
        <w:t>mediated</w:t>
      </w:r>
      <w:r>
        <w:rPr>
          <w:rFonts w:ascii="Times New Roman" w:hAnsi="Times New Roman"/>
          <w:sz w:val="22"/>
        </w:rPr>
        <w:t xml:space="preserve"> by velocity-driven codebase growth rather than being a direct mean effect — a result invisible to a difference-in-means and recoverable only by modelling the panel's internal dynamics, which hints that the per-period mean understates the story. We make the dynamic dimension explicit, and our methodological contribution (Section 6) is precisely about the inferential hazards that arise when this is done naively on clustered repository panels — hazards the mean-effect literature rarely confronts because per-period averaging obscures them, and which require the cluster-robust inference of Cameron, Gelbach, and Miller (2008). By returning a null on the dynamics, we also illustrate the converse the field needs: the dynamic dimension does not </w:t>
      </w:r>
      <w:r>
        <w:rPr>
          <w:rFonts w:ascii="Times New Roman" w:hAnsi="Times New Roman"/>
          <w:i/>
          <w:sz w:val="22"/>
        </w:rPr>
        <w:t>automatically</w:t>
      </w:r>
      <w:r>
        <w:rPr>
          <w:rFonts w:ascii="Times New Roman" w:hAnsi="Times New Roman"/>
          <w:sz w:val="22"/>
        </w:rPr>
        <w:t xml:space="preserve"> harbour an effect the mean missed.</w:t>
      </w:r>
    </w:p>
    <w:p>
      <w:pPr>
        <w:spacing w:before="160" w:after="80"/>
      </w:pPr>
      <w:r>
        <w:rPr>
          <w:rFonts w:ascii="Times New Roman" w:hAnsi="Times New Roman"/>
          <w:b/>
          <w:color w:val="000000"/>
          <w:sz w:val="23"/>
        </w:rPr>
        <w:t>2.2 Stochastic-Process Models of Software Evolution</w:t>
      </w:r>
    </w:p>
    <w:p>
      <w:pPr>
        <w:jc w:val="both"/>
      </w:pPr>
      <w:r>
        <w:rPr>
          <w:rFonts w:ascii="Times New Roman" w:hAnsi="Times New Roman"/>
          <w:sz w:val="22"/>
        </w:rPr>
        <w:t xml:space="preserve">Software evolution has long been modelled stochastically: defect arrival and removal are the basis of non-homogeneous-Poisson-process software-reliability-growth models, of which the Goel and Okumoto (1979) time-dependent error-detection model is the canonical instance. Birth–death and queueing formulations are the natural extension for backlog quantities — issues opened versus closed, defects introduced versus fixed. We apply this lineage to </w:t>
      </w:r>
      <w:r>
        <w:rPr>
          <w:rFonts w:ascii="Times New Roman" w:hAnsi="Times New Roman"/>
          <w:i/>
          <w:sz w:val="22"/>
        </w:rPr>
        <w:t>accessibility debt</w:t>
      </w:r>
      <w:r>
        <w:rPr>
          <w:rFonts w:ascii="Times New Roman" w:hAnsi="Times New Roman"/>
          <w:sz w:val="22"/>
        </w:rPr>
        <w:t xml:space="preserve">, treating each outstanding violation as a queue item with introduction rate λ and removal rate μ, and the utilization ρ = λ/μ as the object of interest. To our knowledge this is the first queueing-theoretic utilization analysis of accessibility-quality dynamics under an identified AI-adoption treatment — and, equally, a demonstration that such a model can be fit, tested, and found to show </w:t>
      </w:r>
      <w:r>
        <w:rPr>
          <w:rFonts w:ascii="Times New Roman" w:hAnsi="Times New Roman"/>
          <w:i/>
          <w:sz w:val="22"/>
        </w:rPr>
        <w:t>no</w:t>
      </w:r>
      <w:r>
        <w:rPr>
          <w:rFonts w:ascii="Times New Roman" w:hAnsi="Times New Roman"/>
          <w:sz w:val="22"/>
        </w:rPr>
        <w:t xml:space="preserve"> regime difference, which is a useful negative calibration for a modelling approach otherwise prone to over-interpretation (Section 6.5 shows exactly how it over-interpreted before the denominator bug was caught).</w:t>
      </w:r>
    </w:p>
    <w:p>
      <w:pPr>
        <w:spacing w:before="160" w:after="80"/>
      </w:pPr>
      <w:r>
        <w:rPr>
          <w:rFonts w:ascii="Times New Roman" w:hAnsi="Times New Roman"/>
          <w:b/>
          <w:color w:val="000000"/>
          <w:sz w:val="23"/>
        </w:rPr>
        <w:t>2.3 Empirical Studies of AI-Assisted Development</w:t>
      </w:r>
    </w:p>
    <w:p>
      <w:pPr>
        <w:jc w:val="both"/>
      </w:pPr>
      <w:r>
        <w:rPr>
          <w:rFonts w:ascii="Times New Roman" w:hAnsi="Times New Roman"/>
          <w:sz w:val="22"/>
        </w:rPr>
        <w:t xml:space="preserve">He, Miller, et al. (MSR 2026) provide the methodological foundation for this work. They apply a staggered difference-in-differences design to GitHub repositories that adopted Cursor, measuring development velocity, static-analysis warnings, code complexity, and duplicate-line density. Their central finding is a </w:t>
      </w:r>
      <w:r>
        <w:rPr>
          <w:rFonts w:ascii="Times New Roman" w:hAnsi="Times New Roman"/>
          <w:b/>
          <w:sz w:val="22"/>
        </w:rPr>
        <w:t>large but transient increase in velocity alongside a substantial and persistent rise in static-analysis warnings (≈30.3%) and code complexity (≈41.6%)</w:t>
      </w:r>
      <w:r>
        <w:rPr>
          <w:rFonts w:ascii="Times New Roman" w:hAnsi="Times New Roman"/>
          <w:sz w:val="22"/>
        </w:rPr>
        <w:t xml:space="preserve">, with duplicate-line density insignificant. Crucially, a dynamic-panel-GMM mediation analysis shows much of the warning and complexity increase runs </w:t>
      </w:r>
      <w:r>
        <w:rPr>
          <w:rFonts w:ascii="Times New Roman" w:hAnsi="Times New Roman"/>
          <w:i/>
          <w:sz w:val="22"/>
        </w:rPr>
        <w:t>through</w:t>
      </w:r>
      <w:r>
        <w:rPr>
          <w:rFonts w:ascii="Times New Roman" w:hAnsi="Times New Roman"/>
          <w:sz w:val="22"/>
        </w:rPr>
        <w:t xml:space="preserve"> the velocity-driven growth in codebase size rather than being a direct effect — a result that depends on looking past the static mean to the panel's internal dynamics. This both supplies the identification template we adapt (treatment-date assignment from tool-config artifacts, repo and time fixed effects, repo-clustered inference) and is the first hint, which Section 5 pursues, that the per-period mean can understate the generative story a panel contains.</w:t>
      </w:r>
    </w:p>
    <w:p>
      <w:pPr>
        <w:jc w:val="both"/>
      </w:pPr>
      <w:r>
        <w:rPr>
          <w:rFonts w:ascii="Times New Roman" w:hAnsi="Times New Roman"/>
          <w:sz w:val="22"/>
        </w:rPr>
        <w:t xml:space="preserve">Nahar et al. (ICSE-SEIP 2025) provide complementary evidence that quality assurance for LLM-based software is hard and departs from traditional practice. Through 26 interviews and a survey of roughly 332 practitioners at Microsoft, they study the challenges of </w:t>
      </w:r>
      <w:r>
        <w:rPr>
          <w:rFonts w:ascii="Times New Roman" w:hAnsi="Times New Roman"/>
          <w:b/>
          <w:sz w:val="22"/>
        </w:rPr>
        <w:t>integrating LLMs as components into software products</w:t>
      </w:r>
      <w:r>
        <w:rPr>
          <w:rFonts w:ascii="Times New Roman" w:hAnsi="Times New Roman"/>
          <w:sz w:val="22"/>
        </w:rPr>
        <w:t xml:space="preserve"> and catalogue 19 emerging QA solutions. Their setting (LLM-powered product features) differs from ours (AI-</w:t>
      </w:r>
      <w:r>
        <w:rPr>
          <w:rFonts w:ascii="Times New Roman" w:hAnsi="Times New Roman"/>
          <w:i/>
          <w:sz w:val="22"/>
        </w:rPr>
        <w:t>assisted code generation</w:t>
      </w:r>
      <w:r>
        <w:rPr>
          <w:rFonts w:ascii="Times New Roman" w:hAnsi="Times New Roman"/>
          <w:sz w:val="22"/>
        </w:rPr>
        <w:t>), and they do not study accessibility; we cite them for the broader point their mixed-method evidence establishes — that assuring the non-functional quality of LLM-influenced software resists conventional, functional-test-centric QA — and we extend that concern to the distinct, and quantitatively measurable, setting of code written with AI assistance.</w:t>
      </w:r>
    </w:p>
    <w:p>
      <w:pPr>
        <w:jc w:val="both"/>
      </w:pPr>
      <w:r>
        <w:rPr>
          <w:rFonts w:ascii="Times New Roman" w:hAnsi="Times New Roman"/>
          <w:sz w:val="22"/>
        </w:rPr>
        <w:t xml:space="preserve">A broader wave of empirical work measures AI-assistant effects on productivity and acceptance behaviour — including the randomized controlled trial of Becker, Rush, Barnes, and Rein (2025), which found that early-2025 AI tools made experienced open-source developers ≈19% </w:t>
      </w:r>
      <w:r>
        <w:rPr>
          <w:rFonts w:ascii="Times New Roman" w:hAnsi="Times New Roman"/>
          <w:i/>
          <w:sz w:val="22"/>
        </w:rPr>
        <w:t>slower</w:t>
      </w:r>
      <w:r>
        <w:rPr>
          <w:rFonts w:ascii="Times New Roman" w:hAnsi="Times New Roman"/>
          <w:sz w:val="22"/>
        </w:rPr>
        <w:t xml:space="preserve"> on real tasks even though they expected to be faster. We position our study against this literature by noting what it does </w:t>
      </w:r>
      <w:r>
        <w:rPr>
          <w:rFonts w:ascii="Times New Roman" w:hAnsi="Times New Roman"/>
          <w:i/>
          <w:sz w:val="22"/>
        </w:rPr>
        <w:t>not</w:t>
      </w:r>
      <w:r>
        <w:rPr>
          <w:rFonts w:ascii="Times New Roman" w:hAnsi="Times New Roman"/>
          <w:sz w:val="22"/>
        </w:rPr>
        <w:t xml:space="preserve"> do: it studies velocity and functional correctness, not the longitudinal evolution of a non-functional quality attribute under an identified adoption event. The closest such work, He, Miller, et al. (2026), finds AI adoption raises short-term velocity while increasing long-term complexity — a velocity/quality trade-off on the </w:t>
      </w:r>
      <w:r>
        <w:rPr>
          <w:rFonts w:ascii="Times New Roman" w:hAnsi="Times New Roman"/>
          <w:i/>
          <w:sz w:val="22"/>
        </w:rPr>
        <w:t>mean</w:t>
      </w:r>
      <w:r>
        <w:rPr>
          <w:rFonts w:ascii="Times New Roman" w:hAnsi="Times New Roman"/>
          <w:sz w:val="22"/>
        </w:rPr>
        <w:t xml:space="preserve"> of code-complexity metrics — which our study complements by asking the analogous causal question for accessibility, and by extending it to the distributional and dynamic moments the mean leaves unexamined.</w:t>
      </w:r>
    </w:p>
    <w:p>
      <w:pPr>
        <w:spacing w:before="160" w:after="80"/>
      </w:pPr>
      <w:r>
        <w:rPr>
          <w:rFonts w:ascii="Times New Roman" w:hAnsi="Times New Roman"/>
          <w:b/>
          <w:color w:val="000000"/>
          <w:sz w:val="23"/>
        </w:rPr>
        <w:t>2.4 Accessibility and AI Code Generation</w:t>
      </w:r>
    </w:p>
    <w:p>
      <w:pPr>
        <w:jc w:val="both"/>
      </w:pPr>
      <w:r>
        <w:rPr>
          <w:rFonts w:ascii="Times New Roman" w:hAnsi="Times New Roman"/>
          <w:sz w:val="22"/>
        </w:rPr>
        <w:t xml:space="preserve">Mowar et al. (CHI 2025) present CodeA11y, primarily a tool-building paper: they build a GitHub Copilot extension that nudges developers toward accessible code, and evaluate it through a formative study (16 developers) and a controlled evaluation (20 developers). The motivating concern we draw on is their </w:t>
      </w:r>
      <w:r>
        <w:rPr>
          <w:rFonts w:ascii="Times New Roman" w:hAnsi="Times New Roman"/>
          <w:i/>
          <w:sz w:val="22"/>
        </w:rPr>
        <w:t>formative</w:t>
      </w:r>
      <w:r>
        <w:rPr>
          <w:rFonts w:ascii="Times New Roman" w:hAnsi="Times New Roman"/>
          <w:sz w:val="22"/>
        </w:rPr>
        <w:t xml:space="preserve"> finding — that, without such intervention, AI coding assistants do not produce more accessible code than developers achieve unaided, and in several conditions produce less. Our contribution is orthogonal in design: where CodeA11y intervenes at the moment of </w:t>
      </w:r>
      <w:r>
        <w:rPr>
          <w:rFonts w:ascii="Times New Roman" w:hAnsi="Times New Roman"/>
          <w:i/>
          <w:sz w:val="22"/>
        </w:rPr>
        <w:t>generation</w:t>
      </w:r>
      <w:r>
        <w:rPr>
          <w:rFonts w:ascii="Times New Roman" w:hAnsi="Times New Roman"/>
          <w:sz w:val="22"/>
        </w:rPr>
        <w:t xml:space="preserve"> and measures the effect in a controlled user study, we study the phenomenon </w:t>
      </w:r>
      <w:r>
        <w:rPr>
          <w:rFonts w:ascii="Times New Roman" w:hAnsi="Times New Roman"/>
          <w:i/>
          <w:sz w:val="22"/>
        </w:rPr>
        <w:t>longitudinally and causally</w:t>
      </w:r>
      <w:r>
        <w:rPr>
          <w:rFonts w:ascii="Times New Roman" w:hAnsi="Times New Roman"/>
          <w:sz w:val="22"/>
        </w:rPr>
        <w:t xml:space="preserve"> in real repositories over months of evolution, capturing whatever review, refactoring, and accumulation processes operate in practice.</w:t>
      </w:r>
    </w:p>
    <w:p>
      <w:pPr>
        <w:jc w:val="both"/>
      </w:pPr>
      <w:r>
        <w:rPr>
          <w:rFonts w:ascii="Times New Roman" w:hAnsi="Times New Roman"/>
          <w:sz w:val="22"/>
        </w:rPr>
        <w:t xml:space="preserve">He, Huq, and Malek (2025) build GenA11y, an LLM-powered accessibility-violation detector that substantially outperforms rule-based tools at finding issues in existing websites. GenA11y is a </w:t>
      </w:r>
      <w:r>
        <w:rPr>
          <w:rFonts w:ascii="Times New Roman" w:hAnsi="Times New Roman"/>
          <w:i/>
          <w:sz w:val="22"/>
        </w:rPr>
        <w:t>detection</w:t>
      </w:r>
      <w:r>
        <w:rPr>
          <w:rFonts w:ascii="Times New Roman" w:hAnsi="Times New Roman"/>
          <w:sz w:val="22"/>
        </w:rPr>
        <w:t xml:space="preserve"> advance; it does not study whether AI coding tools </w:t>
      </w:r>
      <w:r>
        <w:rPr>
          <w:rFonts w:ascii="Times New Roman" w:hAnsi="Times New Roman"/>
          <w:i/>
          <w:sz w:val="22"/>
        </w:rPr>
        <w:t>cause</w:t>
      </w:r>
      <w:r>
        <w:rPr>
          <w:rFonts w:ascii="Times New Roman" w:hAnsi="Times New Roman"/>
          <w:sz w:val="22"/>
        </w:rPr>
        <w:t xml:space="preserve"> accessibility regressions in newly generated code, nor does it provide longitudinal or causal analysis. The distinction defines our contribution and also frames a measurement caveat we inherit (Section 3.6): rule-based detection — including the axe-core engine we use as a primary outcome — covers only a subset of WCAG criteria, which is one reason we pair it with a render-independent AST metric.</w:t>
      </w:r>
    </w:p>
    <w:p>
      <w:pPr>
        <w:spacing w:before="160" w:after="80"/>
      </w:pPr>
      <w:r>
        <w:rPr>
          <w:rFonts w:ascii="Times New Roman" w:hAnsi="Times New Roman"/>
          <w:b/>
          <w:color w:val="000000"/>
          <w:sz w:val="23"/>
        </w:rPr>
        <w:t>2.5 Static Analysis for Frontend Quality</w:t>
      </w:r>
    </w:p>
    <w:p>
      <w:pPr>
        <w:jc w:val="both"/>
      </w:pPr>
      <w:r>
        <w:rPr>
          <w:rFonts w:ascii="Times New Roman" w:hAnsi="Times New Roman"/>
          <w:sz w:val="22"/>
        </w:rPr>
        <w:t>AST-based analysis of React component quality has been applied to maintainability and naming-convention enforcement. Semantic-HTML correctness — using structurally appropriate elements (</w:t>
      </w:r>
      <w:r>
        <w:rPr>
          <w:rFonts w:ascii="Courier New" w:hAnsi="Courier New"/>
          <w:sz w:val="20"/>
        </w:rPr>
        <w:t>&lt;button&gt;</w:t>
      </w:r>
      <w:r>
        <w:rPr>
          <w:rFonts w:ascii="Times New Roman" w:hAnsi="Times New Roman"/>
          <w:sz w:val="22"/>
        </w:rPr>
        <w:t xml:space="preserve">, </w:t>
      </w:r>
      <w:r>
        <w:rPr>
          <w:rFonts w:ascii="Courier New" w:hAnsi="Courier New"/>
          <w:sz w:val="20"/>
        </w:rPr>
        <w:t>&lt;nav&gt;</w:t>
      </w:r>
      <w:r>
        <w:rPr>
          <w:rFonts w:ascii="Times New Roman" w:hAnsi="Times New Roman"/>
          <w:sz w:val="22"/>
        </w:rPr>
        <w:t xml:space="preserve">, </w:t>
      </w:r>
      <w:r>
        <w:rPr>
          <w:rFonts w:ascii="Courier New" w:hAnsi="Courier New"/>
          <w:sz w:val="20"/>
        </w:rPr>
        <w:t>&lt;ul&gt;/&lt;li&gt;</w:t>
      </w:r>
      <w:r>
        <w:rPr>
          <w:rFonts w:ascii="Times New Roman" w:hAnsi="Times New Roman"/>
          <w:sz w:val="22"/>
        </w:rPr>
        <w:t xml:space="preserve">) rather than generic </w:t>
      </w:r>
      <w:r>
        <w:rPr>
          <w:rFonts w:ascii="Courier New" w:hAnsi="Courier New"/>
          <w:sz w:val="20"/>
        </w:rPr>
        <w:t>&lt;div&gt;</w:t>
      </w:r>
      <w:r>
        <w:rPr>
          <w:rFonts w:ascii="Times New Roman" w:hAnsi="Times New Roman"/>
          <w:sz w:val="22"/>
        </w:rPr>
        <w:t xml:space="preserve"> containers — is comparatively under-studied empirically. Our AST-based semantic score operationalises this dimension as a complementary metric to runtime axe-core analysis, capturing violations that appear after static parsing rather than after rendering. This matters methodologically: 60.4% of component-snapshot pairs in our panel fail to render under a headless pipeline (Section 3.6.1), so a render-independent metric with 100% coverage is not a luxury but a necessity for an unbiased panel. The right-censored distribution of this score (24.2% of observations at the ceiling of 1.0 on the matched panel) motivates the Tobit robustness check of Section 4.</w:t>
      </w:r>
    </w:p>
    <w:p>
      <w:pPr>
        <w:spacing w:before="240" w:after="80"/>
      </w:pPr>
      <w:r>
        <w:rPr>
          <w:rFonts w:ascii="Times New Roman" w:hAnsi="Times New Roman"/>
          <w:b/>
          <w:color w:val="000000"/>
          <w:sz w:val="26"/>
        </w:rPr>
        <w:t>3. Study Design</w:t>
      </w:r>
    </w:p>
    <w:p>
      <w:pPr>
        <w:jc w:val="both"/>
      </w:pPr>
      <w:r>
        <w:rPr>
          <w:rFonts w:ascii="Times New Roman" w:hAnsi="Times New Roman"/>
          <w:b/>
          <w:sz w:val="22"/>
        </w:rPr>
        <w:t>Relationship to prior work.</w:t>
      </w:r>
      <w:r>
        <w:rPr>
          <w:rFonts w:ascii="Times New Roman" w:hAnsi="Times New Roman"/>
          <w:sz w:val="22"/>
        </w:rPr>
        <w:t xml:space="preserve"> This manuscript draws on two earlier analyses by the author — a mean-effect empirical study and a companion stochastic-dynamics analysis — neither of which has been published or is under review elsewhere; both are available from the author on request and are not cited as formal references. The present manuscript is self-contained: it re-derives every reported number from the shared replication package (the originating database and analysis scripts archived with this paper), so no reader needs the earlier drafts to assess any result here. What is new relative to those drafts is the unifying methodological framing and protocol (Section 6), the Monte Carlo size-distortion study (Section 6.1), the heterogeneity-robust staggered-DiD re-estimation (Section 4.2), the equivalence (TOST) and multiplicity analyses (Sections 4.2, 4.5), the multi-rater construct-validation (Appendix D), the cluster-robust re-analysis of the negative control (Section 5.6), and the control-arm robustness analysis (Section 8.1).</w:t>
      </w:r>
    </w:p>
    <w:p>
      <w:pPr>
        <w:spacing w:before="160" w:after="80"/>
      </w:pPr>
      <w:r>
        <w:rPr>
          <w:rFonts w:ascii="Times New Roman" w:hAnsi="Times New Roman"/>
          <w:b/>
          <w:color w:val="000000"/>
          <w:sz w:val="23"/>
        </w:rPr>
        <w:t>3.1 Research Questions</w:t>
      </w:r>
    </w:p>
    <w:p>
      <w:pPr>
        <w:jc w:val="both"/>
      </w:pPr>
      <w:r>
        <w:rPr>
          <w:rFonts w:ascii="Times New Roman" w:hAnsi="Times New Roman"/>
          <w:sz w:val="22"/>
        </w:rPr>
        <w:t xml:space="preserve">We investigate five research questions. RQ1–RQ4 concern the </w:t>
      </w:r>
      <w:r>
        <w:rPr>
          <w:rFonts w:ascii="Times New Roman" w:hAnsi="Times New Roman"/>
          <w:i/>
          <w:sz w:val="22"/>
        </w:rPr>
        <w:t>mean</w:t>
      </w:r>
      <w:r>
        <w:rPr>
          <w:rFonts w:ascii="Times New Roman" w:hAnsi="Times New Roman"/>
          <w:sz w:val="22"/>
        </w:rPr>
        <w:t xml:space="preserve"> effect of adoption on the four measured accessibility axes; RQ5 concerns the </w:t>
      </w:r>
      <w:r>
        <w:rPr>
          <w:rFonts w:ascii="Times New Roman" w:hAnsi="Times New Roman"/>
          <w:i/>
          <w:sz w:val="22"/>
        </w:rPr>
        <w:t>dynamics</w:t>
      </w:r>
      <w:r>
        <w:rPr>
          <w:rFonts w:ascii="Times New Roman" w:hAnsi="Times New Roman"/>
          <w:sz w:val="22"/>
        </w:rPr>
        <w:t xml:space="preserve"> (does the generative process change even where the mean does not), examined as a secondary axis.</w:t>
      </w:r>
    </w:p>
    <w:p>
      <w:pPr>
        <w:pStyle w:val="ListBullet"/>
      </w:pPr>
      <w:r>
        <w:rPr>
          <w:rFonts w:ascii="Times New Roman" w:hAnsi="Times New Roman"/>
          <w:b/>
          <w:sz w:val="22"/>
        </w:rPr>
        <w:t>RQ1.</w:t>
      </w:r>
      <w:r>
        <w:rPr>
          <w:rFonts w:ascii="Times New Roman" w:hAnsi="Times New Roman"/>
          <w:sz w:val="22"/>
        </w:rPr>
        <w:t xml:space="preserve"> Does AI-tool adoption causally increase static, source-detectable accessibility violation density (WCAG-category and severity-weighted) in React/TypeScript repositories?</w:t>
      </w:r>
    </w:p>
    <w:p>
      <w:pPr>
        <w:pStyle w:val="ListBullet"/>
      </w:pPr>
      <w:r>
        <w:rPr>
          <w:rFonts w:ascii="Times New Roman" w:hAnsi="Times New Roman"/>
          <w:b/>
          <w:sz w:val="22"/>
        </w:rPr>
        <w:t>RQ2.</w:t>
      </w:r>
      <w:r>
        <w:rPr>
          <w:rFonts w:ascii="Times New Roman" w:hAnsi="Times New Roman"/>
          <w:sz w:val="22"/>
        </w:rPr>
        <w:t xml:space="preserve"> Does AI-tool adoption degrade AST-based semantic-HTML correctness?</w:t>
      </w:r>
    </w:p>
    <w:p>
      <w:pPr>
        <w:pStyle w:val="ListBullet"/>
      </w:pPr>
      <w:r>
        <w:rPr>
          <w:rFonts w:ascii="Times New Roman" w:hAnsi="Times New Roman"/>
          <w:b/>
          <w:sz w:val="22"/>
        </w:rPr>
        <w:t>RQ3.</w:t>
      </w:r>
      <w:r>
        <w:rPr>
          <w:rFonts w:ascii="Times New Roman" w:hAnsi="Times New Roman"/>
          <w:sz w:val="22"/>
        </w:rPr>
        <w:t xml:space="preserve"> Are post-treatment effects concentrated in specific violation categories (semantic naming, ARIA, document structure)?</w:t>
      </w:r>
    </w:p>
    <w:p>
      <w:pPr>
        <w:pStyle w:val="ListBullet"/>
      </w:pPr>
      <w:r>
        <w:rPr>
          <w:rFonts w:ascii="Times New Roman" w:hAnsi="Times New Roman"/>
          <w:b/>
          <w:sz w:val="22"/>
        </w:rPr>
        <w:t>RQ4.</w:t>
      </w:r>
      <w:r>
        <w:rPr>
          <w:rFonts w:ascii="Times New Roman" w:hAnsi="Times New Roman"/>
          <w:sz w:val="22"/>
        </w:rPr>
        <w:t xml:space="preserve"> Do accessibility violations accumulate or decay over time following AI-tool adoption?</w:t>
      </w:r>
    </w:p>
    <w:p>
      <w:pPr>
        <w:pStyle w:val="ListBullet"/>
      </w:pPr>
      <w:r>
        <w:rPr>
          <w:rFonts w:ascii="Times New Roman" w:hAnsi="Times New Roman"/>
          <w:b/>
          <w:sz w:val="22"/>
        </w:rPr>
        <w:t>RQ5.</w:t>
      </w:r>
      <w:r>
        <w:rPr>
          <w:rFonts w:ascii="Times New Roman" w:hAnsi="Times New Roman"/>
          <w:sz w:val="22"/>
        </w:rPr>
        <w:t xml:space="preserve"> Does AI-tool adoption reshape the </w:t>
      </w:r>
      <w:r>
        <w:rPr>
          <w:rFonts w:ascii="Times New Roman" w:hAnsi="Times New Roman"/>
          <w:i/>
          <w:sz w:val="22"/>
        </w:rPr>
        <w:t>stochastic dynamics</w:t>
      </w:r>
      <w:r>
        <w:rPr>
          <w:rFonts w:ascii="Times New Roman" w:hAnsi="Times New Roman"/>
          <w:sz w:val="22"/>
        </w:rPr>
        <w:t xml:space="preserve"> of accessibility quality — its volatility, the persistence of degraded states, and upper-tail risk — even where the mean is unchanged? (We also posed the introduction-versus-removal balance, the utilization ρ = λ/μ, as part of RQ5, but report in §5.5 that it is not identifiable at monthly cadence.)</w:t>
      </w:r>
    </w:p>
    <w:p>
      <w:pPr>
        <w:spacing w:before="160" w:after="80"/>
      </w:pPr>
      <w:r>
        <w:rPr>
          <w:rFonts w:ascii="Times New Roman" w:hAnsi="Times New Roman"/>
          <w:b/>
          <w:color w:val="000000"/>
          <w:sz w:val="23"/>
        </w:rPr>
        <w:t>3.2 Identification Strategy</w:t>
      </w:r>
    </w:p>
    <w:p>
      <w:pPr>
        <w:jc w:val="both"/>
      </w:pPr>
      <w:r>
        <w:rPr>
          <w:rFonts w:ascii="Times New Roman" w:hAnsi="Times New Roman"/>
          <w:sz w:val="22"/>
        </w:rPr>
        <w:t xml:space="preserve">Adoption in our panel is </w:t>
      </w:r>
      <w:r>
        <w:rPr>
          <w:rFonts w:ascii="Times New Roman" w:hAnsi="Times New Roman"/>
          <w:b/>
          <w:sz w:val="22"/>
        </w:rPr>
        <w:t>staggered</w:t>
      </w:r>
      <w:r>
        <w:rPr>
          <w:rFonts w:ascii="Times New Roman" w:hAnsi="Times New Roman"/>
          <w:sz w:val="22"/>
        </w:rPr>
        <w:t xml:space="preserve">: repos adopt AI tooling at different calendar months (this is the basis of our Tier-1 treatment-date assignment, Section 3.3). It is now well established that the two-way fixed-effects (TWFE) DiD estimator is biased under staggered timing whenever treatment effects are heterogeneous across cohorts or over time, because already-treated units enter as effective controls for later-treated units — the "forbidden comparisons" of Goodman-Bacon (2021), de Chaisemartin and D'Haultfœuille (2020), Callaway and Sant'Anna (2021), Sun and Abraham (2021), and Borusyak, Jaravel, and Spiess (2024). The framework we extend (He, Miller, et al. 2026) confronts this directly, reporting TWFE alongside heterogeneity-robust estimators. We therefore do </w:t>
      </w:r>
      <w:r>
        <w:rPr>
          <w:rFonts w:ascii="Times New Roman" w:hAnsi="Times New Roman"/>
          <w:b/>
          <w:sz w:val="22"/>
        </w:rPr>
        <w:t>not</w:t>
      </w:r>
      <w:r>
        <w:rPr>
          <w:rFonts w:ascii="Times New Roman" w:hAnsi="Times New Roman"/>
          <w:sz w:val="22"/>
        </w:rPr>
        <w:t xml:space="preserve"> rely on TWFE as the primary estimator; we report it for comparability and treat the heterogeneity-robust estimators as primary.</w:t>
      </w:r>
    </w:p>
    <w:p>
      <w:pPr>
        <w:jc w:val="both"/>
      </w:pPr>
      <w:r>
        <w:rPr>
          <w:rFonts w:ascii="Times New Roman" w:hAnsi="Times New Roman"/>
          <w:sz w:val="22"/>
        </w:rPr>
        <w:t>The canonical TWFE specification, retained for comparability, is</w:t>
      </w:r>
    </w:p>
    <w:p>
      <w:pPr>
        <w:jc w:val="center"/>
      </w:pPr>
      <w:r>
        <w:rPr>
          <w:rFonts w:ascii="Times New Roman" w:hAnsi="Times New Roman"/>
          <w:i/>
          <w:sz w:val="22"/>
        </w:rPr>
        <w:t>yᵢₜ = αᵢ + γₜ + β · (Treatedᵢ × Postᵢₜ) + Xᵢₜδ + εᵢₜ,</w:t>
      </w:r>
    </w:p>
    <w:p>
      <w:pPr>
        <w:jc w:val="both"/>
      </w:pPr>
      <w:r>
        <w:rPr>
          <w:rFonts w:ascii="Times New Roman" w:hAnsi="Times New Roman"/>
          <w:sz w:val="22"/>
        </w:rPr>
        <w:t>where αᵢ and γₜ are repo and calendar-month fixed effects; β is the DiD estimator; Xᵢₜ is a vector of time-varying controls (</w:t>
      </w:r>
      <w:r>
        <w:rPr>
          <w:rFonts w:ascii="Courier New" w:hAnsi="Courier New"/>
          <w:sz w:val="20"/>
        </w:rPr>
        <w:t>history_months</w:t>
      </w:r>
      <w:r>
        <w:rPr>
          <w:rFonts w:ascii="Times New Roman" w:hAnsi="Times New Roman"/>
          <w:sz w:val="22"/>
        </w:rPr>
        <w:t xml:space="preserve">, </w:t>
      </w:r>
      <w:r>
        <w:rPr>
          <w:rFonts w:ascii="Courier New" w:hAnsi="Courier New"/>
          <w:sz w:val="20"/>
        </w:rPr>
        <w:t>tsx_file_count</w:t>
      </w:r>
      <w:r>
        <w:rPr>
          <w:rFonts w:ascii="Times New Roman" w:hAnsi="Times New Roman"/>
          <w:sz w:val="22"/>
        </w:rPr>
        <w:t>); and standard errors are clustered at the repository level.</w:t>
      </w:r>
    </w:p>
    <w:p>
      <w:pPr>
        <w:jc w:val="both"/>
      </w:pPr>
      <w:r>
        <w:rPr>
          <w:rFonts w:ascii="Times New Roman" w:hAnsi="Times New Roman"/>
          <w:sz w:val="22"/>
        </w:rPr>
        <w:t xml:space="preserve">To neutralise the staggered-timing bias we additionally estimate the ATT with modern heterogeneity-robust estimators, mirroring the template of the framework we extend. The propensity-matched controls (86 in the primary matched panel; 257 in the full panel) are coded as </w:t>
      </w:r>
      <w:r>
        <w:rPr>
          <w:rFonts w:ascii="Times New Roman" w:hAnsi="Times New Roman"/>
          <w:b/>
          <w:sz w:val="22"/>
        </w:rPr>
        <w:t>never-treated</w:t>
      </w:r>
      <w:r>
        <w:rPr>
          <w:rFonts w:ascii="Times New Roman" w:hAnsi="Times New Roman"/>
          <w:sz w:val="22"/>
        </w:rPr>
        <w:t xml:space="preserve"> and form the clean comparison backbone (the inherited placebo treatment date used to form the TWFE pre/post indicator is discarded for these estimators):</w:t>
      </w:r>
    </w:p>
    <w:p>
      <w:pPr>
        <w:pStyle w:val="ListBullet"/>
      </w:pPr>
      <w:r>
        <w:rPr>
          <w:rFonts w:ascii="Times New Roman" w:hAnsi="Times New Roman"/>
          <w:b/>
          <w:sz w:val="22"/>
        </w:rPr>
        <w:t>Borusyak, Jaravel, and Spiess (2024)</w:t>
      </w:r>
      <w:r>
        <w:rPr>
          <w:rFonts w:ascii="Times New Roman" w:hAnsi="Times New Roman"/>
          <w:sz w:val="22"/>
        </w:rPr>
        <w:t xml:space="preserve"> imputation estimator, which fits the untreated potential outcome (repo + month fixed effects) on never-/not-yet-treated cells and averages the treated-post residual, with repo-level block-bootstrap inference.</w:t>
      </w:r>
    </w:p>
    <w:p>
      <w:pPr>
        <w:pStyle w:val="ListBullet"/>
      </w:pPr>
      <w:r>
        <w:rPr>
          <w:rFonts w:ascii="Times New Roman" w:hAnsi="Times New Roman"/>
          <w:b/>
          <w:sz w:val="22"/>
        </w:rPr>
        <w:t>Sun and Abraham (2021)</w:t>
      </w:r>
      <w:r>
        <w:rPr>
          <w:rFonts w:ascii="Times New Roman" w:hAnsi="Times New Roman"/>
          <w:sz w:val="22"/>
        </w:rPr>
        <w:t xml:space="preserve"> interaction-weighted event study, giving cohort-uncontaminated dynamic coefficients against never-treated controls in place of the raw TWFE event study.</w:t>
      </w:r>
    </w:p>
    <w:p>
      <w:pPr>
        <w:jc w:val="both"/>
      </w:pPr>
      <w:r>
        <w:rPr>
          <w:rFonts w:ascii="Times New Roman" w:hAnsi="Times New Roman"/>
          <w:sz w:val="22"/>
        </w:rPr>
        <w:t xml:space="preserve">We further report a </w:t>
      </w:r>
      <w:r>
        <w:rPr>
          <w:rFonts w:ascii="Times New Roman" w:hAnsi="Times New Roman"/>
          <w:b/>
          <w:sz w:val="22"/>
        </w:rPr>
        <w:t>Goodman-Bacon (2021)</w:t>
      </w:r>
      <w:r>
        <w:rPr>
          <w:rFonts w:ascii="Times New Roman" w:hAnsi="Times New Roman"/>
          <w:sz w:val="22"/>
        </w:rPr>
        <w:t xml:space="preserve"> decomposition of the comparison structure to show how much of the TWFE estimate rests on clean (treated-vs-never-treated) versus forbidden (later-vs-earlier-treated) comparisons. Because our design carries a dedicated never-treated control arm, the clean comparisons dominate (92.5%; Section 4.2). The dynamics analysis of Section 5 conditions on this same identified design — it inherits the panel, the treatment-date assignment, and the parallel-trends justification, and asks a difference-in-</w:t>
      </w:r>
      <w:r>
        <w:rPr>
          <w:rFonts w:ascii="Times New Roman" w:hAnsi="Times New Roman"/>
          <w:i/>
          <w:sz w:val="22"/>
        </w:rPr>
        <w:t>dynamics</w:t>
      </w:r>
      <w:r>
        <w:rPr>
          <w:rFonts w:ascii="Times New Roman" w:hAnsi="Times New Roman"/>
          <w:sz w:val="22"/>
        </w:rPr>
        <w:t xml:space="preserve"> question rather than a difference-in-means one.</w:t>
      </w:r>
    </w:p>
    <w:p>
      <w:pPr>
        <w:jc w:val="both"/>
      </w:pPr>
      <w:r>
        <w:rPr>
          <w:rFonts w:ascii="Times New Roman" w:hAnsi="Times New Roman"/>
          <w:sz w:val="22"/>
        </w:rPr>
        <w:t xml:space="preserve">The parallel-trends assumption requires that, absent treatment, treated and control repos would have followed the same trajectory. We test it with a joint F-test on pre-treatment event-study coefficients at k = -6, -3, -2 months (specified in advance in our analysis plan), and we read the </w:t>
      </w:r>
      <w:r>
        <w:rPr>
          <w:rFonts w:ascii="Times New Roman" w:hAnsi="Times New Roman"/>
          <w:b/>
          <w:sz w:val="22"/>
        </w:rPr>
        <w:t>Sun–Abraham</w:t>
      </w:r>
      <w:r>
        <w:rPr>
          <w:rFonts w:ascii="Times New Roman" w:hAnsi="Times New Roman"/>
          <w:sz w:val="22"/>
        </w:rPr>
        <w:t xml:space="preserve"> event study (cohort-uncontaminated) for k ∈ [-12, +12] months relative to treatment, using k = -1 as the reference period (RQ4).</w:t>
      </w:r>
    </w:p>
    <w:p>
      <w:pPr>
        <w:spacing w:before="160" w:after="80"/>
      </w:pPr>
      <w:r>
        <w:rPr>
          <w:rFonts w:ascii="Times New Roman" w:hAnsi="Times New Roman"/>
          <w:b/>
          <w:color w:val="000000"/>
          <w:sz w:val="23"/>
        </w:rPr>
        <w:t>3.3 Treatment-Date Identification</w:t>
      </w:r>
    </w:p>
    <w:p>
      <w:pPr>
        <w:jc w:val="both"/>
      </w:pPr>
      <w:r>
        <w:rPr>
          <w:rFonts w:ascii="Times New Roman" w:hAnsi="Times New Roman"/>
          <w:sz w:val="22"/>
        </w:rPr>
        <w:t>Treatment dates are assigned using a signal hierarchy:</w:t>
      </w:r>
    </w:p>
    <w:p>
      <w:pPr>
        <w:pStyle w:val="ListBullet"/>
      </w:pPr>
      <w:r>
        <w:rPr>
          <w:rFonts w:ascii="Times New Roman" w:hAnsi="Times New Roman"/>
          <w:b/>
          <w:sz w:val="22"/>
        </w:rPr>
        <w:t>Tier 1 (confidence 0.90):</w:t>
      </w:r>
      <w:r>
        <w:rPr>
          <w:rFonts w:ascii="Times New Roman" w:hAnsi="Times New Roman"/>
          <w:sz w:val="22"/>
        </w:rPr>
        <w:t xml:space="preserve"> first appearance of AI-tool config artifacts — </w:t>
      </w:r>
      <w:r>
        <w:rPr>
          <w:rFonts w:ascii="Courier New" w:hAnsi="Courier New"/>
          <w:sz w:val="20"/>
        </w:rPr>
        <w:t>.cursor/</w:t>
      </w:r>
      <w:r>
        <w:rPr>
          <w:rFonts w:ascii="Times New Roman" w:hAnsi="Times New Roman"/>
          <w:sz w:val="22"/>
        </w:rPr>
        <w:t xml:space="preserve">, </w:t>
      </w:r>
      <w:r>
        <w:rPr>
          <w:rFonts w:ascii="Courier New" w:hAnsi="Courier New"/>
          <w:sz w:val="20"/>
        </w:rPr>
        <w:t>.cursorrules</w:t>
      </w:r>
      <w:r>
        <w:rPr>
          <w:rFonts w:ascii="Times New Roman" w:hAnsi="Times New Roman"/>
          <w:sz w:val="22"/>
        </w:rPr>
        <w:t xml:space="preserve">, </w:t>
      </w:r>
      <w:r>
        <w:rPr>
          <w:rFonts w:ascii="Courier New" w:hAnsi="Courier New"/>
          <w:sz w:val="20"/>
        </w:rPr>
        <w:t>.github/copilot-instructions.md</w:t>
      </w:r>
      <w:r>
        <w:rPr>
          <w:rFonts w:ascii="Times New Roman" w:hAnsi="Times New Roman"/>
          <w:sz w:val="22"/>
        </w:rPr>
        <w:t xml:space="preserve">, or VSCode settings containing </w:t>
      </w:r>
      <w:r>
        <w:rPr>
          <w:rFonts w:ascii="Courier New" w:hAnsi="Courier New"/>
          <w:sz w:val="20"/>
        </w:rPr>
        <w:t>github.copilot.*</w:t>
      </w:r>
      <w:r>
        <w:rPr>
          <w:rFonts w:ascii="Times New Roman" w:hAnsi="Times New Roman"/>
          <w:sz w:val="22"/>
        </w:rPr>
        <w:t>.</w:t>
      </w:r>
    </w:p>
    <w:p>
      <w:pPr>
        <w:pStyle w:val="ListBullet"/>
      </w:pPr>
      <w:r>
        <w:rPr>
          <w:rFonts w:ascii="Times New Roman" w:hAnsi="Times New Roman"/>
          <w:b/>
          <w:sz w:val="22"/>
        </w:rPr>
        <w:t>Tier 2 (confidence 0.75):</w:t>
      </w:r>
      <w:r>
        <w:rPr>
          <w:rFonts w:ascii="Times New Roman" w:hAnsi="Times New Roman"/>
          <w:sz w:val="22"/>
        </w:rPr>
        <w:t xml:space="preserve"> first </w:t>
      </w:r>
      <w:r>
        <w:rPr>
          <w:rFonts w:ascii="Courier New" w:hAnsi="Courier New"/>
          <w:sz w:val="20"/>
        </w:rPr>
        <w:t>Co-authored-by: copilot@github.com</w:t>
      </w:r>
      <w:r>
        <w:rPr>
          <w:rFonts w:ascii="Times New Roman" w:hAnsi="Times New Roman"/>
          <w:sz w:val="22"/>
        </w:rPr>
        <w:t xml:space="preserve"> commit trailer.</w:t>
      </w:r>
    </w:p>
    <w:p>
      <w:pPr>
        <w:pStyle w:val="ListBullet"/>
      </w:pPr>
      <w:r>
        <w:rPr>
          <w:rFonts w:ascii="Times New Roman" w:hAnsi="Times New Roman"/>
          <w:b/>
          <w:sz w:val="22"/>
        </w:rPr>
        <w:t>Tier 3 (confidence 0.40):</w:t>
      </w:r>
      <w:r>
        <w:rPr>
          <w:rFonts w:ascii="Times New Roman" w:hAnsi="Times New Roman"/>
          <w:sz w:val="22"/>
        </w:rPr>
        <w:t xml:space="preserve"> comment-density inflection — </w:t>
      </w:r>
      <w:r>
        <w:rPr>
          <w:rFonts w:ascii="Times New Roman" w:hAnsi="Times New Roman"/>
          <w:b/>
          <w:sz w:val="22"/>
        </w:rPr>
        <w:t>excluded from all analyses.</w:t>
      </w:r>
    </w:p>
    <w:p>
      <w:pPr>
        <w:jc w:val="both"/>
      </w:pPr>
      <w:r>
        <w:rPr>
          <w:rFonts w:ascii="Times New Roman" w:hAnsi="Times New Roman"/>
          <w:sz w:val="22"/>
        </w:rPr>
        <w:t xml:space="preserve">A repository is treated if it carries </w:t>
      </w:r>
      <w:r>
        <w:rPr>
          <w:rFonts w:ascii="Times New Roman" w:hAnsi="Times New Roman"/>
          <w:b/>
          <w:sz w:val="22"/>
        </w:rPr>
        <w:t>any</w:t>
      </w:r>
      <w:r>
        <w:rPr>
          <w:rFonts w:ascii="Times New Roman" w:hAnsi="Times New Roman"/>
          <w:sz w:val="22"/>
        </w:rPr>
        <w:t xml:space="preserve"> detected adoption signal (Tier 1 or Tier 2); Tier 3 (comment-density inflection) is too weak a proxy and is excluded entirely. We do not impose a confidence cut beyond that — every treated repository has a concrete artifact, co-author trailer, or commit-message signal — and we report a robustness specification restricted to the unambiguous hard-configuration (Tier-1) adopters in Section 4.6.</w:t>
      </w:r>
    </w:p>
    <w:p>
      <w:pPr>
        <w:spacing w:before="160" w:after="80"/>
      </w:pPr>
      <w:r>
        <w:rPr>
          <w:rFonts w:ascii="Times New Roman" w:hAnsi="Times New Roman"/>
          <w:b/>
          <w:color w:val="000000"/>
          <w:sz w:val="23"/>
        </w:rPr>
        <w:t>3.4 Repository Selection and Matching</w:t>
      </w:r>
    </w:p>
    <w:p>
      <w:pPr>
        <w:jc w:val="both"/>
      </w:pPr>
      <w:r>
        <w:rPr>
          <w:rFonts w:ascii="Times New Roman" w:hAnsi="Times New Roman"/>
          <w:sz w:val="22"/>
        </w:rPr>
        <w:t xml:space="preserve">React/TypeScript repositories were collected from GitHub satisfying: (1) ≥12 months of snapshot coverage; (2) ≥100 analyzed component rows; (3) ≥60% TypeScript/TSX files. Of 602 fully-qualified repositories, the scale-up measured </w:t>
      </w:r>
      <w:r>
        <w:rPr>
          <w:rFonts w:ascii="Times New Roman" w:hAnsi="Times New Roman"/>
          <w:b/>
          <w:sz w:val="22"/>
        </w:rPr>
        <w:t>497</w:t>
      </w:r>
      <w:r>
        <w:rPr>
          <w:rFonts w:ascii="Times New Roman" w:hAnsi="Times New Roman"/>
          <w:sz w:val="22"/>
        </w:rPr>
        <w:t xml:space="preserve"> (193 treated, 304 control candidates) on the static analyzer of Section 3.6. For the primary identification panel we propensity-match controls to treated by 1:1 nearest-neighbour (caliper on the PS logit) on </w:t>
      </w:r>
      <w:r>
        <w:rPr>
          <w:rFonts w:ascii="Courier New" w:hAnsi="Courier New"/>
          <w:sz w:val="20"/>
        </w:rPr>
        <w:t>history_months</w:t>
      </w:r>
      <w:r>
        <w:rPr>
          <w:rFonts w:ascii="Times New Roman" w:hAnsi="Times New Roman"/>
          <w:sz w:val="22"/>
        </w:rPr>
        <w:t xml:space="preserve">, </w:t>
      </w:r>
      <w:r>
        <w:rPr>
          <w:rFonts w:ascii="Courier New" w:hAnsi="Courier New"/>
          <w:sz w:val="20"/>
        </w:rPr>
        <w:t>tsx_file_count</w:t>
      </w:r>
      <w:r>
        <w:rPr>
          <w:rFonts w:ascii="Times New Roman" w:hAnsi="Times New Roman"/>
          <w:sz w:val="22"/>
        </w:rPr>
        <w:t xml:space="preserve">, and </w:t>
      </w:r>
      <w:r>
        <w:rPr>
          <w:rFonts w:ascii="Courier New" w:hAnsi="Courier New"/>
          <w:sz w:val="20"/>
        </w:rPr>
        <w:t>contributor_count</w:t>
      </w:r>
      <w:r>
        <w:rPr>
          <w:rFonts w:ascii="Times New Roman" w:hAnsi="Times New Roman"/>
          <w:sz w:val="22"/>
        </w:rPr>
        <w:t xml:space="preserve"> (log-scaled); each matched control inherits its treated pair's adoption month as a placebo. Matching reduces all standardised covariate differences from &gt; 1.0 pre-match to ≤ 0.18 post-match. The full 446-repo panel (controls assigned placebo dates, repo + month fixed effects absorbing arm-level differences) serves as a large-N robustness check throughout.</w:t>
      </w:r>
    </w:p>
    <w:p>
      <w:pPr>
        <w:spacing w:before="160" w:after="80"/>
      </w:pPr>
      <w:r>
        <w:rPr>
          <w:rFonts w:ascii="Times New Roman" w:hAnsi="Times New Roman"/>
          <w:b/>
          <w:color w:val="000000"/>
          <w:sz w:val="23"/>
        </w:rPr>
        <w:t>3.5 Attrition Flow</w:t>
      </w:r>
    </w:p>
    <w:p>
      <w:pPr>
        <w:jc w:val="both"/>
      </w:pPr>
      <w:r>
        <w:rPr>
          <w:rFonts w:ascii="Times New Roman" w:hAnsi="Times New Roman"/>
          <w:sz w:val="22"/>
        </w:rPr>
        <w:t>Table 1 documents the attrition from qualification to the two analysis panels.</w:t>
      </w:r>
    </w:p>
    <w:p>
      <w:pPr>
        <w:jc w:val="center"/>
      </w:pPr>
      <w:r>
        <w:rPr>
          <w:rFonts w:ascii="Times New Roman" w:hAnsi="Times New Roman"/>
          <w:b/>
          <w:sz w:val="20"/>
        </w:rPr>
        <w:t>Table 1. Sample attrition flow (enriched study).</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1872"/>
        <w:gridCol w:w="1872"/>
        <w:gridCol w:w="1872"/>
        <w:gridCol w:w="1872"/>
        <w:gridCol w:w="1872"/>
      </w:tblGrid>
      <w:tr>
        <w:trPr>
          <w:tblHeader w:val="true"/>
        </w:trPr>
        <w:tc>
          <w:tcPr>
            <w:tcW w:type="dxa" w:w="1872"/>
          </w:tcPr>
          <w:p>
            <w:pPr>
              <w:jc w:val="center"/>
            </w:pPr>
            <w:r>
              <w:rPr>
                <w:b/>
              </w:rPr>
            </w:r>
            <w:r>
              <w:rPr>
                <w:rFonts w:ascii="Times New Roman" w:hAnsi="Times New Roman"/>
                <w:b/>
                <w:sz w:val="20"/>
              </w:rPr>
              <w:t>Stage</w:t>
            </w:r>
          </w:p>
        </w:tc>
        <w:tc>
          <w:tcPr>
            <w:tcW w:type="dxa" w:w="1872"/>
          </w:tcPr>
          <w:p>
            <w:pPr>
              <w:jc w:val="center"/>
            </w:pPr>
            <w:r>
              <w:rPr>
                <w:b/>
              </w:rPr>
            </w:r>
            <w:r>
              <w:rPr>
                <w:rFonts w:ascii="Times New Roman" w:hAnsi="Times New Roman"/>
                <w:b/>
                <w:sz w:val="20"/>
              </w:rPr>
              <w:t>Treated</w:t>
            </w:r>
          </w:p>
        </w:tc>
        <w:tc>
          <w:tcPr>
            <w:tcW w:type="dxa" w:w="1872"/>
          </w:tcPr>
          <w:p>
            <w:pPr>
              <w:jc w:val="center"/>
            </w:pPr>
            <w:r>
              <w:rPr>
                <w:b/>
              </w:rPr>
            </w:r>
            <w:r>
              <w:rPr>
                <w:rFonts w:ascii="Times New Roman" w:hAnsi="Times New Roman"/>
                <w:b/>
                <w:sz w:val="20"/>
              </w:rPr>
              <w:t>Control</w:t>
            </w:r>
          </w:p>
        </w:tc>
        <w:tc>
          <w:tcPr>
            <w:tcW w:type="dxa" w:w="1872"/>
          </w:tcPr>
          <w:p>
            <w:pPr>
              <w:jc w:val="center"/>
            </w:pPr>
            <w:r>
              <w:rPr>
                <w:b/>
              </w:rPr>
            </w:r>
            <w:r>
              <w:rPr>
                <w:rFonts w:ascii="Times New Roman" w:hAnsi="Times New Roman"/>
                <w:b/>
                <w:sz w:val="20"/>
              </w:rPr>
              <w:t>Total</w:t>
            </w:r>
          </w:p>
        </w:tc>
        <w:tc>
          <w:tcPr>
            <w:tcW w:type="dxa" w:w="1872"/>
          </w:tcPr>
          <w:p>
            <w:pPr>
              <w:jc w:val="center"/>
            </w:pPr>
            <w:r>
              <w:rPr>
                <w:b/>
              </w:rPr>
            </w:r>
            <w:r>
              <w:rPr>
                <w:rFonts w:ascii="Times New Roman" w:hAnsi="Times New Roman"/>
                <w:b/>
                <w:sz w:val="20"/>
              </w:rPr>
              <w:t>Reason for loss</w:t>
            </w:r>
          </w:p>
        </w:tc>
      </w:tr>
      <w:tr>
        <w:tc>
          <w:tcPr>
            <w:tcW w:type="dxa" w:w="1872"/>
          </w:tcPr>
          <w:p>
            <w:pPr>
              <w:jc w:val="center"/>
            </w:pPr>
            <w:r/>
            <w:r>
              <w:rPr>
                <w:rFonts w:ascii="Times New Roman" w:hAnsi="Times New Roman"/>
                <w:sz w:val="20"/>
              </w:rPr>
              <w:t>Fully qualified</w:t>
            </w:r>
          </w:p>
        </w:tc>
        <w:tc>
          <w:tcPr>
            <w:tcW w:type="dxa" w:w="1872"/>
          </w:tcPr>
          <w:p>
            <w:pPr>
              <w:jc w:val="center"/>
            </w:pPr>
            <w:r/>
            <w:r>
              <w:rPr>
                <w:rFonts w:ascii="Times New Roman" w:hAnsi="Times New Roman"/>
                <w:sz w:val="20"/>
              </w:rPr>
              <w:t>244</w:t>
            </w:r>
          </w:p>
        </w:tc>
        <w:tc>
          <w:tcPr>
            <w:tcW w:type="dxa" w:w="1872"/>
          </w:tcPr>
          <w:p>
            <w:pPr>
              <w:jc w:val="center"/>
            </w:pPr>
            <w:r/>
            <w:r>
              <w:rPr>
                <w:rFonts w:ascii="Times New Roman" w:hAnsi="Times New Roman"/>
                <w:sz w:val="20"/>
              </w:rPr>
              <w:t>358</w:t>
            </w:r>
          </w:p>
        </w:tc>
        <w:tc>
          <w:tcPr>
            <w:tcW w:type="dxa" w:w="1872"/>
          </w:tcPr>
          <w:p>
            <w:pPr>
              <w:jc w:val="center"/>
            </w:pPr>
            <w:r/>
            <w:r>
              <w:rPr>
                <w:rFonts w:ascii="Times New Roman" w:hAnsi="Times New Roman"/>
                <w:sz w:val="20"/>
              </w:rPr>
              <w:t>602</w:t>
            </w:r>
          </w:p>
        </w:tc>
        <w:tc>
          <w:tcPr>
            <w:tcW w:type="dxa" w:w="1872"/>
          </w:tcPr>
          <w:p>
            <w:pPr>
              <w:jc w:val="center"/>
            </w:pPr>
            <w:r/>
            <w:r>
              <w:rPr>
                <w:rFonts w:ascii="Times New Roman" w:hAnsi="Times New Roman"/>
                <w:sz w:val="20"/>
              </w:rPr>
              <w:t>passed all qualification gates</w:t>
            </w:r>
          </w:p>
        </w:tc>
      </w:tr>
      <w:tr>
        <w:tc>
          <w:tcPr>
            <w:tcW w:type="dxa" w:w="1872"/>
          </w:tcPr>
          <w:p>
            <w:pPr>
              <w:jc w:val="center"/>
            </w:pPr>
            <w:r/>
            <w:r>
              <w:rPr>
                <w:rFonts w:ascii="Times New Roman" w:hAnsi="Times New Roman"/>
                <w:sz w:val="20"/>
              </w:rPr>
              <w:t>Stage 4: measured</w:t>
            </w:r>
          </w:p>
        </w:tc>
        <w:tc>
          <w:tcPr>
            <w:tcW w:type="dxa" w:w="1872"/>
          </w:tcPr>
          <w:p>
            <w:pPr>
              <w:jc w:val="center"/>
            </w:pPr>
            <w:r/>
            <w:r>
              <w:rPr>
                <w:rFonts w:ascii="Times New Roman" w:hAnsi="Times New Roman"/>
                <w:sz w:val="20"/>
              </w:rPr>
              <w:t>193</w:t>
            </w:r>
          </w:p>
        </w:tc>
        <w:tc>
          <w:tcPr>
            <w:tcW w:type="dxa" w:w="1872"/>
          </w:tcPr>
          <w:p>
            <w:pPr>
              <w:jc w:val="center"/>
            </w:pPr>
            <w:r/>
            <w:r>
              <w:rPr>
                <w:rFonts w:ascii="Times New Roman" w:hAnsi="Times New Roman"/>
                <w:sz w:val="20"/>
              </w:rPr>
              <w:t>304</w:t>
            </w:r>
          </w:p>
        </w:tc>
        <w:tc>
          <w:tcPr>
            <w:tcW w:type="dxa" w:w="1872"/>
          </w:tcPr>
          <w:p>
            <w:pPr>
              <w:jc w:val="center"/>
            </w:pPr>
            <w:r/>
            <w:r>
              <w:rPr>
                <w:rFonts w:ascii="Times New Roman" w:hAnsi="Times New Roman"/>
                <w:sz w:val="20"/>
              </w:rPr>
              <w:t>497</w:t>
            </w:r>
          </w:p>
        </w:tc>
        <w:tc>
          <w:tcPr>
            <w:tcW w:type="dxa" w:w="1872"/>
          </w:tcPr>
          <w:p>
            <w:pPr>
              <w:jc w:val="center"/>
            </w:pPr>
            <w:r/>
            <w:r>
              <w:rPr>
                <w:rFonts w:ascii="Times New Roman" w:hAnsi="Times New Roman"/>
                <w:sz w:val="20"/>
              </w:rPr>
              <w:t>runtime cap on collection</w:t>
            </w:r>
          </w:p>
        </w:tc>
      </w:tr>
      <w:tr>
        <w:tc>
          <w:tcPr>
            <w:tcW w:type="dxa" w:w="1872"/>
          </w:tcPr>
          <w:p>
            <w:pPr>
              <w:jc w:val="center"/>
            </w:pPr>
            <w:r/>
            <w:r>
              <w:rPr>
                <w:rFonts w:ascii="Times New Roman" w:hAnsi="Times New Roman"/>
                <w:sz w:val="20"/>
              </w:rPr>
              <w:t>Inclusion gate (≥12 mo, ≥100 rows)</w:t>
            </w:r>
          </w:p>
        </w:tc>
        <w:tc>
          <w:tcPr>
            <w:tcW w:type="dxa" w:w="1872"/>
          </w:tcPr>
          <w:p>
            <w:pPr>
              <w:jc w:val="center"/>
            </w:pPr>
            <w:r/>
            <w:r>
              <w:rPr>
                <w:rFonts w:ascii="Times New Roman" w:hAnsi="Times New Roman"/>
                <w:sz w:val="20"/>
              </w:rPr>
              <w:t>189</w:t>
            </w:r>
          </w:p>
        </w:tc>
        <w:tc>
          <w:tcPr>
            <w:tcW w:type="dxa" w:w="1872"/>
          </w:tcPr>
          <w:p>
            <w:pPr>
              <w:jc w:val="center"/>
            </w:pPr>
            <w:r/>
            <w:r>
              <w:rPr>
                <w:rFonts w:ascii="Times New Roman" w:hAnsi="Times New Roman"/>
                <w:sz w:val="20"/>
              </w:rPr>
              <w:t>257</w:t>
            </w:r>
          </w:p>
        </w:tc>
        <w:tc>
          <w:tcPr>
            <w:tcW w:type="dxa" w:w="1872"/>
          </w:tcPr>
          <w:p>
            <w:pPr>
              <w:jc w:val="center"/>
            </w:pPr>
            <w:r/>
            <w:r>
              <w:rPr>
                <w:rFonts w:ascii="Times New Roman" w:hAnsi="Times New Roman"/>
                <w:sz w:val="20"/>
              </w:rPr>
              <w:t>446</w:t>
            </w:r>
          </w:p>
        </w:tc>
        <w:tc>
          <w:tcPr>
            <w:tcW w:type="dxa" w:w="1872"/>
          </w:tcPr>
          <w:p>
            <w:pPr>
              <w:jc w:val="center"/>
            </w:pPr>
            <w:r/>
            <w:r>
              <w:rPr>
                <w:rFonts w:ascii="Times New Roman" w:hAnsi="Times New Roman"/>
                <w:sz w:val="20"/>
              </w:rPr>
              <w:t xml:space="preserve">coverage threshold → </w:t>
            </w:r>
            <w:r>
              <w:rPr>
                <w:rFonts w:ascii="Times New Roman" w:hAnsi="Times New Roman"/>
                <w:b/>
                <w:sz w:val="20"/>
              </w:rPr>
              <w:t>full panel</w:t>
            </w:r>
          </w:p>
        </w:tc>
      </w:tr>
      <w:tr>
        <w:tc>
          <w:tcPr>
            <w:tcW w:type="dxa" w:w="1872"/>
          </w:tcPr>
          <w:p>
            <w:pPr>
              <w:jc w:val="center"/>
            </w:pPr>
            <w:r/>
            <w:r>
              <w:rPr>
                <w:rFonts w:ascii="Times New Roman" w:hAnsi="Times New Roman"/>
                <w:sz w:val="20"/>
              </w:rPr>
              <w:t>PSM matched (primary panel)</w:t>
            </w:r>
          </w:p>
        </w:tc>
        <w:tc>
          <w:tcPr>
            <w:tcW w:type="dxa" w:w="1872"/>
          </w:tcPr>
          <w:p>
            <w:pPr>
              <w:jc w:val="center"/>
            </w:pPr>
            <w:r/>
            <w:r>
              <w:rPr>
                <w:rFonts w:ascii="Times New Roman" w:hAnsi="Times New Roman"/>
                <w:sz w:val="20"/>
              </w:rPr>
              <w:t>95</w:t>
            </w:r>
          </w:p>
        </w:tc>
        <w:tc>
          <w:tcPr>
            <w:tcW w:type="dxa" w:w="1872"/>
          </w:tcPr>
          <w:p>
            <w:pPr>
              <w:jc w:val="center"/>
            </w:pPr>
            <w:r/>
            <w:r>
              <w:rPr>
                <w:rFonts w:ascii="Times New Roman" w:hAnsi="Times New Roman"/>
                <w:sz w:val="20"/>
              </w:rPr>
              <w:t>86</w:t>
            </w:r>
          </w:p>
        </w:tc>
        <w:tc>
          <w:tcPr>
            <w:tcW w:type="dxa" w:w="1872"/>
          </w:tcPr>
          <w:p>
            <w:pPr>
              <w:jc w:val="center"/>
            </w:pPr>
            <w:r/>
            <w:r>
              <w:rPr>
                <w:rFonts w:ascii="Times New Roman" w:hAnsi="Times New Roman"/>
                <w:sz w:val="20"/>
              </w:rPr>
              <w:t>181</w:t>
            </w:r>
          </w:p>
        </w:tc>
        <w:tc>
          <w:tcPr>
            <w:tcW w:type="dxa" w:w="1872"/>
          </w:tcPr>
          <w:p>
            <w:pPr>
              <w:jc w:val="center"/>
            </w:pPr>
            <w:r/>
            <w:r>
              <w:rPr>
                <w:rFonts w:ascii="Times New Roman" w:hAnsi="Times New Roman"/>
                <w:sz w:val="20"/>
              </w:rPr>
              <w:t>1:1 caliper common support</w:t>
            </w:r>
          </w:p>
        </w:tc>
      </w:tr>
    </w:tbl>
    <w:p/>
    <w:p>
      <w:pPr>
        <w:spacing w:before="160" w:after="80"/>
      </w:pPr>
      <w:r>
        <w:rPr>
          <w:rFonts w:ascii="Times New Roman" w:hAnsi="Times New Roman"/>
          <w:b/>
          <w:color w:val="000000"/>
          <w:sz w:val="23"/>
        </w:rPr>
        <w:t>3.6 Outcome Metrics</w:t>
      </w:r>
    </w:p>
    <w:p>
      <w:pPr>
        <w:jc w:val="both"/>
      </w:pPr>
      <w:r>
        <w:rPr>
          <w:rFonts w:ascii="Times New Roman" w:hAnsi="Times New Roman"/>
          <w:i/>
          <w:sz w:val="22"/>
        </w:rPr>
        <w:t>A note on sample sizes and measurement.</w:t>
      </w:r>
      <w:r>
        <w:rPr>
          <w:rFonts w:ascii="Times New Roman" w:hAnsi="Times New Roman"/>
          <w:sz w:val="22"/>
        </w:rPr>
        <w:t xml:space="preserve"> The scaled study comprises </w:t>
      </w:r>
      <w:r>
        <w:rPr>
          <w:rFonts w:ascii="Times New Roman" w:hAnsi="Times New Roman"/>
          <w:b/>
          <w:sz w:val="22"/>
        </w:rPr>
        <w:t>446 repositories and 13,702 repo-months</w:t>
      </w:r>
      <w:r>
        <w:rPr>
          <w:rFonts w:ascii="Times New Roman" w:hAnsi="Times New Roman"/>
          <w:sz w:val="22"/>
        </w:rPr>
        <w:t xml:space="preserve"> (matched primary subset: 181 repos / 5,956 repo-months). All accessibility axes are computed by a single render-independent static analyzer (Section 3.6) that achieves </w:t>
      </w:r>
      <w:r>
        <w:rPr>
          <w:rFonts w:ascii="Times New Roman" w:hAnsi="Times New Roman"/>
          <w:b/>
          <w:sz w:val="22"/>
        </w:rPr>
        <w:t>100% component coverage</w:t>
      </w:r>
      <w:r>
        <w:rPr>
          <w:rFonts w:ascii="Times New Roman" w:hAnsi="Times New Roman"/>
          <w:sz w:val="22"/>
        </w:rPr>
        <w:t xml:space="preserve"> — there is no differential missingness across axes, because every component is parsed identically. This is a deliberate change from runtime axe-core measurement, which fails to render ≈60% of components; the static analyzer removes that bias and the memory/timeout fragility that capped the original collection.</w:t>
      </w:r>
    </w:p>
    <w:p>
      <w:pPr>
        <w:spacing w:before="160" w:after="80"/>
      </w:pPr>
      <w:r>
        <w:rPr>
          <w:rFonts w:ascii="Times New Roman" w:hAnsi="Times New Roman"/>
          <w:b/>
          <w:color w:val="000000"/>
          <w:sz w:val="22"/>
        </w:rPr>
        <w:t>3.6.1 A render-independent, five-axis static analyzer</w:t>
      </w:r>
    </w:p>
    <w:p>
      <w:pPr>
        <w:jc w:val="both"/>
      </w:pPr>
      <w:r>
        <w:rPr>
          <w:rFonts w:ascii="Times New Roman" w:hAnsi="Times New Roman"/>
          <w:sz w:val="22"/>
        </w:rPr>
        <w:t xml:space="preserve">We measure </w:t>
      </w:r>
      <w:r>
        <w:rPr>
          <w:rFonts w:ascii="Times New Roman" w:hAnsi="Times New Roman"/>
          <w:i/>
          <w:sz w:val="22"/>
        </w:rPr>
        <w:t>source-detectable</w:t>
      </w:r>
      <w:r>
        <w:rPr>
          <w:rFonts w:ascii="Times New Roman" w:hAnsi="Times New Roman"/>
          <w:sz w:val="22"/>
        </w:rPr>
        <w:t xml:space="preserve"> accessibility by parsing each component's TSX/JSX via a TypeScript AST and computing five candidate axes directly from the syntax tree — no rendering, no browser, deterministic, and covering </w:t>
      </w:r>
      <w:r>
        <w:rPr>
          <w:rFonts w:ascii="Times New Roman" w:hAnsi="Times New Roman"/>
          <w:b/>
          <w:sz w:val="22"/>
        </w:rPr>
        <w:t>100% of components</w:t>
      </w:r>
      <w:r>
        <w:rPr>
          <w:rFonts w:ascii="Times New Roman" w:hAnsi="Times New Roman"/>
          <w:sz w:val="22"/>
        </w:rPr>
        <w:t xml:space="preserve">. This replaces the original study's runtime axe-core / jsdom pipeline, which failed to render ≈ 60% of components (missing context providers, unavailable browser APIs) and introduced both a coverage bias and the memory/timeout fragility that capped collection. We are explicit that this instrument sees accessibility properties </w:t>
      </w:r>
      <w:r>
        <w:rPr>
          <w:rFonts w:ascii="Times New Roman" w:hAnsi="Times New Roman"/>
          <w:i/>
          <w:sz w:val="22"/>
        </w:rPr>
        <w:t>present in source</w:t>
      </w:r>
      <w:r>
        <w:rPr>
          <w:rFonts w:ascii="Times New Roman" w:hAnsi="Times New Roman"/>
          <w:sz w:val="22"/>
        </w:rPr>
        <w:t xml:space="preserve"> — semantic structure, keyboard affordances, ARIA usage — and cannot see runtime properties such as computed colour contrast or live focus order; Section 7 returns to this scope. The five candidate axes are:</w:t>
      </w:r>
    </w:p>
    <w:p>
      <w:pPr>
        <w:pStyle w:val="ListNumber"/>
      </w:pPr>
      <w:r>
        <w:rPr>
          <w:rFonts w:ascii="Times New Roman" w:hAnsi="Times New Roman"/>
          <w:b/>
          <w:sz w:val="22"/>
        </w:rPr>
        <w:t>Semantic-HTML correctness</w:t>
      </w:r>
      <w:r>
        <w:rPr>
          <w:rFonts w:ascii="Times New Roman" w:hAnsi="Times New Roman"/>
          <w:sz w:val="22"/>
        </w:rPr>
        <w:t xml:space="preserve"> ([0,1], higher better): deductions for interactive </w:t>
      </w:r>
      <w:r>
        <w:rPr>
          <w:rFonts w:ascii="Courier New" w:hAnsi="Courier New"/>
          <w:sz w:val="20"/>
        </w:rPr>
        <w:t>&lt;div&gt;</w:t>
      </w:r>
      <w:r>
        <w:rPr>
          <w:rFonts w:ascii="Times New Roman" w:hAnsi="Times New Roman"/>
          <w:sz w:val="22"/>
        </w:rPr>
        <w:t>/</w:t>
      </w:r>
      <w:r>
        <w:rPr>
          <w:rFonts w:ascii="Courier New" w:hAnsi="Courier New"/>
          <w:sz w:val="20"/>
        </w:rPr>
        <w:t>&lt;span&gt;</w:t>
      </w:r>
      <w:r>
        <w:rPr>
          <w:rFonts w:ascii="Times New Roman" w:hAnsi="Times New Roman"/>
          <w:sz w:val="22"/>
        </w:rPr>
        <w:t xml:space="preserve"> used in place of semantic elements (</w:t>
      </w:r>
      <w:r>
        <w:rPr>
          <w:rFonts w:ascii="Courier New" w:hAnsi="Courier New"/>
          <w:sz w:val="20"/>
        </w:rPr>
        <w:t>&lt;button&gt;</w:t>
      </w:r>
      <w:r>
        <w:rPr>
          <w:rFonts w:ascii="Times New Roman" w:hAnsi="Times New Roman"/>
          <w:sz w:val="22"/>
        </w:rPr>
        <w:t xml:space="preserve">, </w:t>
      </w:r>
      <w:r>
        <w:rPr>
          <w:rFonts w:ascii="Courier New" w:hAnsi="Courier New"/>
          <w:sz w:val="20"/>
        </w:rPr>
        <w:t>&lt;nav&gt;</w:t>
      </w:r>
      <w:r>
        <w:rPr>
          <w:rFonts w:ascii="Times New Roman" w:hAnsi="Times New Roman"/>
          <w:sz w:val="22"/>
        </w:rPr>
        <w:t xml:space="preserve">, </w:t>
      </w:r>
      <w:r>
        <w:rPr>
          <w:rFonts w:ascii="Courier New" w:hAnsi="Courier New"/>
          <w:sz w:val="20"/>
        </w:rPr>
        <w:t>&lt;ul&gt;/&lt;li&gt;</w:t>
      </w:r>
      <w:r>
        <w:rPr>
          <w:rFonts w:ascii="Times New Roman" w:hAnsi="Times New Roman"/>
          <w:sz w:val="22"/>
        </w:rPr>
        <w:t xml:space="preserve">), and for missing </w:t>
      </w:r>
      <w:r>
        <w:rPr>
          <w:rFonts w:ascii="Courier New" w:hAnsi="Courier New"/>
          <w:sz w:val="20"/>
        </w:rPr>
        <w:t>alt</w:t>
      </w:r>
      <w:r>
        <w:rPr>
          <w:rFonts w:ascii="Times New Roman" w:hAnsi="Times New Roman"/>
          <w:sz w:val="22"/>
        </w:rPr>
        <w:t>/labels.</w:t>
      </w:r>
    </w:p>
    <w:p>
      <w:pPr>
        <w:pStyle w:val="ListNumber"/>
      </w:pPr>
      <w:r>
        <w:rPr>
          <w:rFonts w:ascii="Times New Roman" w:hAnsi="Times New Roman"/>
          <w:b/>
          <w:sz w:val="22"/>
        </w:rPr>
        <w:t>WCAG-category violation density</w:t>
      </w:r>
      <w:r>
        <w:rPr>
          <w:rFonts w:ascii="Times New Roman" w:hAnsi="Times New Roman"/>
          <w:sz w:val="22"/>
        </w:rPr>
        <w:t xml:space="preserve"> (per element): static violations bucketed by WCAG principle — perceivable, operable, understandable, robust — so any effect can be localised to a principle.</w:t>
      </w:r>
    </w:p>
    <w:p>
      <w:pPr>
        <w:pStyle w:val="ListNumber"/>
      </w:pPr>
      <w:r>
        <w:rPr>
          <w:rFonts w:ascii="Times New Roman" w:hAnsi="Times New Roman"/>
          <w:b/>
          <w:sz w:val="22"/>
        </w:rPr>
        <w:t>Severity-weighted violation density</w:t>
      </w:r>
      <w:r>
        <w:rPr>
          <w:rFonts w:ascii="Times New Roman" w:hAnsi="Times New Roman"/>
          <w:sz w:val="22"/>
        </w:rPr>
        <w:t>: the same violations weighted 3/2/1 by critical/serious/moderate impact.</w:t>
      </w:r>
    </w:p>
    <w:p>
      <w:pPr>
        <w:pStyle w:val="ListNumber"/>
      </w:pPr>
      <w:r>
        <w:rPr>
          <w:rFonts w:ascii="Times New Roman" w:hAnsi="Times New Roman"/>
          <w:b/>
          <w:sz w:val="22"/>
        </w:rPr>
        <w:t>Keyboard/focus operability</w:t>
      </w:r>
      <w:r>
        <w:rPr>
          <w:rFonts w:ascii="Times New Roman" w:hAnsi="Times New Roman"/>
          <w:sz w:val="22"/>
        </w:rPr>
        <w:t xml:space="preserve"> ([0,1]): penalises custom-interactive elements with a click handler but no keyboard handler, positive </w:t>
      </w:r>
      <w:r>
        <w:rPr>
          <w:rFonts w:ascii="Courier New" w:hAnsi="Courier New"/>
          <w:sz w:val="20"/>
        </w:rPr>
        <w:t>tabIndex</w:t>
      </w:r>
      <w:r>
        <w:rPr>
          <w:rFonts w:ascii="Times New Roman" w:hAnsi="Times New Roman"/>
          <w:sz w:val="22"/>
        </w:rPr>
        <w:t>, and interactive elements that are not focusable.</w:t>
      </w:r>
    </w:p>
    <w:p>
      <w:pPr>
        <w:pStyle w:val="ListNumber"/>
      </w:pPr>
      <w:r>
        <w:rPr>
          <w:rFonts w:ascii="Times New Roman" w:hAnsi="Times New Roman"/>
          <w:b/>
          <w:sz w:val="22"/>
        </w:rPr>
        <w:t>ARIA correctness</w:t>
      </w:r>
      <w:r>
        <w:rPr>
          <w:rFonts w:ascii="Times New Roman" w:hAnsi="Times New Roman"/>
          <w:sz w:val="22"/>
        </w:rPr>
        <w:t xml:space="preserve"> ([0,1]): invalid roles, missing role-required attributes, redundant roles.</w:t>
      </w:r>
    </w:p>
    <w:p>
      <w:pPr>
        <w:jc w:val="both"/>
      </w:pPr>
      <w:r>
        <w:rPr>
          <w:rFonts w:ascii="Times New Roman" w:hAnsi="Times New Roman"/>
          <w:sz w:val="22"/>
        </w:rPr>
        <w:t xml:space="preserve">Of these five, the first four exhibit usable cross-repository variation and are modelled as the study's outcome axes. The fifth, ARIA correctness, is near-constant in this corpus (mean ≈ 0.9997, near-zero variance; almost no repository introduces invalid or malformed roles in component source), so it carries no identifying variation for a DiD and we report it descriptively as </w:t>
      </w:r>
      <w:r>
        <w:rPr>
          <w:rFonts w:ascii="Times New Roman" w:hAnsi="Times New Roman"/>
          <w:b/>
          <w:sz w:val="22"/>
        </w:rPr>
        <w:t>"no detectable ARIA-role variation"</w:t>
      </w:r>
      <w:r>
        <w:rPr>
          <w:rFonts w:ascii="Times New Roman" w:hAnsi="Times New Roman"/>
          <w:sz w:val="22"/>
        </w:rPr>
        <w:t xml:space="preserve"> rather than estimating a treatment effect on it. The headline therefore concerns </w:t>
      </w:r>
      <w:r>
        <w:rPr>
          <w:rFonts w:ascii="Times New Roman" w:hAnsi="Times New Roman"/>
          <w:b/>
          <w:sz w:val="22"/>
        </w:rPr>
        <w:t>four measured axes</w:t>
      </w:r>
      <w:r>
        <w:rPr>
          <w:rFonts w:ascii="Times New Roman" w:hAnsi="Times New Roman"/>
          <w:sz w:val="22"/>
        </w:rPr>
        <w:t>.</w:t>
      </w:r>
    </w:p>
    <w:p>
      <w:pPr>
        <w:jc w:val="both"/>
      </w:pPr>
      <w:r>
        <w:rPr>
          <w:rFonts w:ascii="Times New Roman" w:hAnsi="Times New Roman"/>
          <w:sz w:val="22"/>
        </w:rPr>
        <w:t>The semantic-HTML axis is construct-validated against four independent expert raters in Appendix D. The WCAG-category split also serves as the heterogeneity analysis (Section 4.5).</w:t>
      </w:r>
    </w:p>
    <w:p>
      <w:pPr>
        <w:spacing w:before="160" w:after="80"/>
      </w:pPr>
      <w:r>
        <w:rPr>
          <w:rFonts w:ascii="Times New Roman" w:hAnsi="Times New Roman"/>
          <w:b/>
          <w:color w:val="000000"/>
          <w:sz w:val="23"/>
        </w:rPr>
        <w:t>3.7 WCAG Principle Categories</w:t>
      </w:r>
    </w:p>
    <w:p>
      <w:pPr>
        <w:jc w:val="both"/>
      </w:pPr>
      <w:r>
        <w:rPr>
          <w:rFonts w:ascii="Times New Roman" w:hAnsi="Times New Roman"/>
          <w:sz w:val="22"/>
        </w:rPr>
        <w:t>The WCAG-category axis buckets static violations by the four WCAG principles — perceivable, operable, understandable, robust — following the axe-core rule-to-principle mapping. Operable (keyboard, focus, interactive naming) and robust (name-role-value, valid ARIA) carry most of the detectable mass in React/TypeScript component code.</w:t>
      </w:r>
    </w:p>
    <w:p>
      <w:pPr>
        <w:jc w:val="center"/>
      </w:pPr>
      <w:r>
        <w:rPr>
          <w:rFonts w:ascii="Times New Roman" w:hAnsi="Times New Roman"/>
          <w:b/>
          <w:sz w:val="20"/>
        </w:rPr>
        <w:t>Table 2. Mapping of static violation checks to WCAG-category buckets.</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4680"/>
        <w:gridCol w:w="4680"/>
      </w:tblGrid>
      <w:tr>
        <w:trPr>
          <w:tblHeader w:val="true"/>
        </w:trPr>
        <w:tc>
          <w:tcPr>
            <w:tcW w:type="dxa" w:w="4680"/>
          </w:tcPr>
          <w:p>
            <w:pPr>
              <w:jc w:val="center"/>
            </w:pPr>
            <w:r>
              <w:rPr>
                <w:b/>
              </w:rPr>
            </w:r>
            <w:r>
              <w:rPr>
                <w:rFonts w:ascii="Times New Roman" w:hAnsi="Times New Roman"/>
                <w:b/>
                <w:sz w:val="20"/>
              </w:rPr>
              <w:t>Category</w:t>
            </w:r>
          </w:p>
        </w:tc>
        <w:tc>
          <w:tcPr>
            <w:tcW w:type="dxa" w:w="4680"/>
          </w:tcPr>
          <w:p>
            <w:pPr>
              <w:jc w:val="center"/>
            </w:pPr>
            <w:r>
              <w:rPr>
                <w:b/>
              </w:rPr>
            </w:r>
            <w:r>
              <w:rPr>
                <w:rFonts w:ascii="Times New Roman" w:hAnsi="Times New Roman"/>
                <w:b/>
                <w:sz w:val="20"/>
              </w:rPr>
              <w:t>Axe-core rules</w:t>
            </w:r>
          </w:p>
        </w:tc>
      </w:tr>
      <w:tr>
        <w:tc>
          <w:tcPr>
            <w:tcW w:type="dxa" w:w="4680"/>
          </w:tcPr>
          <w:p>
            <w:pPr>
              <w:jc w:val="center"/>
            </w:pPr>
            <w:r/>
            <w:r>
              <w:rPr>
                <w:rFonts w:ascii="Courier New" w:hAnsi="Courier New"/>
                <w:sz w:val="18"/>
              </w:rPr>
              <w:t>semantic_naming</w:t>
            </w:r>
          </w:p>
        </w:tc>
        <w:tc>
          <w:tcPr>
            <w:tcW w:type="dxa" w:w="4680"/>
          </w:tcPr>
          <w:p>
            <w:pPr>
              <w:jc w:val="center"/>
            </w:pPr>
            <w:r/>
            <w:r>
              <w:rPr>
                <w:rFonts w:ascii="Times New Roman" w:hAnsi="Times New Roman"/>
                <w:sz w:val="20"/>
              </w:rPr>
              <w:t>button-name, label, link-name, image-alt, select-name, document-title, frame-title, role-img-alt</w:t>
            </w:r>
          </w:p>
        </w:tc>
      </w:tr>
      <w:tr>
        <w:tc>
          <w:tcPr>
            <w:tcW w:type="dxa" w:w="4680"/>
          </w:tcPr>
          <w:p>
            <w:pPr>
              <w:jc w:val="center"/>
            </w:pPr>
            <w:r/>
            <w:r>
              <w:rPr>
                <w:rFonts w:ascii="Courier New" w:hAnsi="Courier New"/>
                <w:sz w:val="18"/>
              </w:rPr>
              <w:t>aria_specific</w:t>
            </w:r>
          </w:p>
        </w:tc>
        <w:tc>
          <w:tcPr>
            <w:tcW w:type="dxa" w:w="4680"/>
          </w:tcPr>
          <w:p>
            <w:pPr>
              <w:jc w:val="center"/>
            </w:pPr>
            <w:r/>
            <w:r>
              <w:rPr>
                <w:rFonts w:ascii="Times New Roman" w:hAnsi="Times New Roman"/>
                <w:sz w:val="20"/>
              </w:rPr>
              <w:t>aria-command-name, aria-required-parent, aria-required-attr, aria-allowed-attr, aria-dialog-name, aria-input-field-name, aria-tooltip-name, aria-treeitem-name, aria-roles</w:t>
            </w:r>
          </w:p>
        </w:tc>
      </w:tr>
      <w:tr>
        <w:tc>
          <w:tcPr>
            <w:tcW w:type="dxa" w:w="4680"/>
          </w:tcPr>
          <w:p>
            <w:pPr>
              <w:jc w:val="center"/>
            </w:pPr>
            <w:r/>
            <w:r>
              <w:rPr>
                <w:rFonts w:ascii="Courier New" w:hAnsi="Courier New"/>
                <w:sz w:val="18"/>
              </w:rPr>
              <w:t>document_structure</w:t>
            </w:r>
          </w:p>
        </w:tc>
        <w:tc>
          <w:tcPr>
            <w:tcW w:type="dxa" w:w="4680"/>
          </w:tcPr>
          <w:p>
            <w:pPr>
              <w:jc w:val="center"/>
            </w:pPr>
            <w:r/>
            <w:r>
              <w:rPr>
                <w:rFonts w:ascii="Times New Roman" w:hAnsi="Times New Roman"/>
                <w:sz w:val="20"/>
              </w:rPr>
              <w:t>listitem, list, html-has-lang, dlitem, nested-interactive, duplicate-id-active</w:t>
            </w:r>
          </w:p>
        </w:tc>
      </w:tr>
    </w:tbl>
    <w:p/>
    <w:p>
      <w:pPr>
        <w:spacing w:before="240" w:after="80"/>
      </w:pPr>
      <w:r>
        <w:rPr>
          <w:rFonts w:ascii="Times New Roman" w:hAnsi="Times New Roman"/>
          <w:b/>
          <w:color w:val="000000"/>
          <w:sz w:val="26"/>
        </w:rPr>
        <w:t>4. Mean Effects</w:t>
      </w:r>
    </w:p>
    <w:p>
      <w:pPr>
        <w:spacing w:before="160" w:after="80"/>
      </w:pPr>
      <w:r>
        <w:rPr>
          <w:rFonts w:ascii="Times New Roman" w:hAnsi="Times New Roman"/>
          <w:b/>
          <w:color w:val="000000"/>
          <w:sz w:val="23"/>
        </w:rPr>
        <w:t>4.1 Propensity-Score-Matching Balance</w:t>
      </w:r>
    </w:p>
    <w:p>
      <w:pPr>
        <w:jc w:val="both"/>
      </w:pPr>
      <w:r>
        <w:rPr>
          <w:rFonts w:ascii="Times New Roman" w:hAnsi="Times New Roman"/>
          <w:sz w:val="22"/>
        </w:rPr>
        <w:t xml:space="preserve">Table 3 reports standardised mean differences before and after matching. All covariates achieve </w:t>
      </w:r>
      <w:r>
        <w:rPr>
          <w:rFonts w:ascii="Courier New" w:hAnsi="Courier New"/>
          <w:sz w:val="20"/>
        </w:rPr>
        <w:t>std_diff</w:t>
      </w:r>
      <w:r>
        <w:rPr>
          <w:rFonts w:ascii="Times New Roman" w:hAnsi="Times New Roman"/>
          <w:sz w:val="22"/>
        </w:rPr>
        <w:t xml:space="preserve"> &lt; 0.16 post-match. The pre-match imbalance on </w:t>
      </w:r>
      <w:r>
        <w:rPr>
          <w:rFonts w:ascii="Courier New" w:hAnsi="Courier New"/>
          <w:sz w:val="20"/>
        </w:rPr>
        <w:t>contributor_count</w:t>
      </w:r>
      <w:r>
        <w:rPr>
          <w:rFonts w:ascii="Times New Roman" w:hAnsi="Times New Roman"/>
          <w:sz w:val="22"/>
        </w:rPr>
        <w:t xml:space="preserve"> (std_diff = 1.10) — AI-adopting repos skew toward larger, more active projects — is corrected to 0.04 post-match, confirming that matching removes the principal selection confound.</w:t>
      </w:r>
    </w:p>
    <w:p>
      <w:pPr>
        <w:jc w:val="center"/>
      </w:pPr>
      <w:r>
        <w:rPr>
          <w:rFonts w:ascii="Times New Roman" w:hAnsi="Times New Roman"/>
          <w:b/>
          <w:sz w:val="20"/>
        </w:rPr>
        <w:t>Table 3. PSM covariate balance.</w:t>
      </w:r>
      <w:r>
        <w:rPr>
          <w:rFonts w:ascii="Times New Roman" w:hAnsi="Times New Roman"/>
          <w:sz w:val="20"/>
        </w:rPr>
        <w:t xml:space="preserve"> Pre-match values exceeding the std_diff = 0.25 threshold are corrected post-match.</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1337"/>
        <w:gridCol w:w="1337"/>
        <w:gridCol w:w="1337"/>
        <w:gridCol w:w="1337"/>
        <w:gridCol w:w="1337"/>
        <w:gridCol w:w="1337"/>
        <w:gridCol w:w="1337"/>
      </w:tblGrid>
      <w:tr>
        <w:trPr>
          <w:tblHeader w:val="true"/>
        </w:trPr>
        <w:tc>
          <w:tcPr>
            <w:tcW w:type="dxa" w:w="1337"/>
          </w:tcPr>
          <w:p>
            <w:pPr>
              <w:jc w:val="center"/>
            </w:pPr>
            <w:r>
              <w:rPr>
                <w:b/>
              </w:rPr>
            </w:r>
            <w:r>
              <w:rPr>
                <w:rFonts w:ascii="Times New Roman" w:hAnsi="Times New Roman"/>
                <w:b/>
                <w:sz w:val="20"/>
              </w:rPr>
              <w:t>Covariate</w:t>
            </w:r>
          </w:p>
        </w:tc>
        <w:tc>
          <w:tcPr>
            <w:tcW w:type="dxa" w:w="1337"/>
          </w:tcPr>
          <w:p>
            <w:pPr>
              <w:jc w:val="center"/>
            </w:pPr>
            <w:r>
              <w:rPr>
                <w:b/>
              </w:rPr>
            </w:r>
            <w:r>
              <w:rPr>
                <w:rFonts w:ascii="Times New Roman" w:hAnsi="Times New Roman"/>
                <w:b/>
                <w:sz w:val="20"/>
              </w:rPr>
              <w:t>Treated (pre)</w:t>
            </w:r>
          </w:p>
        </w:tc>
        <w:tc>
          <w:tcPr>
            <w:tcW w:type="dxa" w:w="1337"/>
          </w:tcPr>
          <w:p>
            <w:pPr>
              <w:jc w:val="center"/>
            </w:pPr>
            <w:r>
              <w:rPr>
                <w:b/>
              </w:rPr>
            </w:r>
            <w:r>
              <w:rPr>
                <w:rFonts w:ascii="Times New Roman" w:hAnsi="Times New Roman"/>
                <w:b/>
                <w:sz w:val="20"/>
              </w:rPr>
              <w:t>Control (pre)</w:t>
            </w:r>
          </w:p>
        </w:tc>
        <w:tc>
          <w:tcPr>
            <w:tcW w:type="dxa" w:w="1337"/>
          </w:tcPr>
          <w:p>
            <w:pPr>
              <w:jc w:val="center"/>
            </w:pPr>
            <w:r>
              <w:rPr>
                <w:b/>
              </w:rPr>
            </w:r>
            <w:r>
              <w:rPr>
                <w:rFonts w:ascii="Times New Roman" w:hAnsi="Times New Roman"/>
                <w:b/>
                <w:sz w:val="20"/>
              </w:rPr>
              <w:t>Std diff (pre)</w:t>
            </w:r>
          </w:p>
        </w:tc>
        <w:tc>
          <w:tcPr>
            <w:tcW w:type="dxa" w:w="1337"/>
          </w:tcPr>
          <w:p>
            <w:pPr>
              <w:jc w:val="center"/>
            </w:pPr>
            <w:r>
              <w:rPr>
                <w:b/>
              </w:rPr>
            </w:r>
            <w:r>
              <w:rPr>
                <w:rFonts w:ascii="Times New Roman" w:hAnsi="Times New Roman"/>
                <w:b/>
                <w:sz w:val="20"/>
              </w:rPr>
              <w:t>Treated (post)</w:t>
            </w:r>
          </w:p>
        </w:tc>
        <w:tc>
          <w:tcPr>
            <w:tcW w:type="dxa" w:w="1337"/>
          </w:tcPr>
          <w:p>
            <w:pPr>
              <w:jc w:val="center"/>
            </w:pPr>
            <w:r>
              <w:rPr>
                <w:b/>
              </w:rPr>
            </w:r>
            <w:r>
              <w:rPr>
                <w:rFonts w:ascii="Times New Roman" w:hAnsi="Times New Roman"/>
                <w:b/>
                <w:sz w:val="20"/>
              </w:rPr>
              <w:t>Control (post)</w:t>
            </w:r>
          </w:p>
        </w:tc>
        <w:tc>
          <w:tcPr>
            <w:tcW w:type="dxa" w:w="1337"/>
          </w:tcPr>
          <w:p>
            <w:pPr>
              <w:jc w:val="center"/>
            </w:pPr>
            <w:r>
              <w:rPr>
                <w:b/>
              </w:rPr>
            </w:r>
            <w:r>
              <w:rPr>
                <w:rFonts w:ascii="Times New Roman" w:hAnsi="Times New Roman"/>
                <w:b/>
                <w:sz w:val="20"/>
              </w:rPr>
              <w:t>Std diff (post)</w:t>
            </w:r>
          </w:p>
        </w:tc>
      </w:tr>
      <w:tr>
        <w:tc>
          <w:tcPr>
            <w:tcW w:type="dxa" w:w="1337"/>
          </w:tcPr>
          <w:p>
            <w:pPr>
              <w:jc w:val="center"/>
            </w:pPr>
            <w:r/>
            <w:r>
              <w:rPr>
                <w:rFonts w:ascii="Times New Roman" w:hAnsi="Times New Roman"/>
                <w:sz w:val="20"/>
              </w:rPr>
              <w:t>history_months</w:t>
            </w:r>
          </w:p>
        </w:tc>
        <w:tc>
          <w:tcPr>
            <w:tcW w:type="dxa" w:w="1337"/>
          </w:tcPr>
          <w:p>
            <w:pPr>
              <w:jc w:val="center"/>
            </w:pPr>
            <w:r/>
            <w:r>
              <w:rPr>
                <w:rFonts w:ascii="Times New Roman" w:hAnsi="Times New Roman"/>
                <w:sz w:val="20"/>
              </w:rPr>
              <w:t>80.36</w:t>
            </w:r>
          </w:p>
        </w:tc>
        <w:tc>
          <w:tcPr>
            <w:tcW w:type="dxa" w:w="1337"/>
          </w:tcPr>
          <w:p>
            <w:pPr>
              <w:jc w:val="center"/>
            </w:pPr>
            <w:r/>
            <w:r>
              <w:rPr>
                <w:rFonts w:ascii="Times New Roman" w:hAnsi="Times New Roman"/>
                <w:sz w:val="20"/>
              </w:rPr>
              <w:t>60.06</w:t>
            </w:r>
          </w:p>
        </w:tc>
        <w:tc>
          <w:tcPr>
            <w:tcW w:type="dxa" w:w="1337"/>
          </w:tcPr>
          <w:p>
            <w:pPr>
              <w:jc w:val="center"/>
            </w:pPr>
            <w:r/>
            <w:r>
              <w:rPr>
                <w:rFonts w:ascii="Times New Roman" w:hAnsi="Times New Roman"/>
                <w:sz w:val="20"/>
              </w:rPr>
              <w:t>0.734</w:t>
            </w:r>
          </w:p>
        </w:tc>
        <w:tc>
          <w:tcPr>
            <w:tcW w:type="dxa" w:w="1337"/>
          </w:tcPr>
          <w:p>
            <w:pPr>
              <w:jc w:val="center"/>
            </w:pPr>
            <w:r/>
            <w:r>
              <w:rPr>
                <w:rFonts w:ascii="Times New Roman" w:hAnsi="Times New Roman"/>
                <w:sz w:val="20"/>
              </w:rPr>
              <w:t>79.61</w:t>
            </w:r>
          </w:p>
        </w:tc>
        <w:tc>
          <w:tcPr>
            <w:tcW w:type="dxa" w:w="1337"/>
          </w:tcPr>
          <w:p>
            <w:pPr>
              <w:jc w:val="center"/>
            </w:pPr>
            <w:r/>
            <w:r>
              <w:rPr>
                <w:rFonts w:ascii="Times New Roman" w:hAnsi="Times New Roman"/>
                <w:sz w:val="20"/>
              </w:rPr>
              <w:t>75.33</w:t>
            </w:r>
          </w:p>
        </w:tc>
        <w:tc>
          <w:tcPr>
            <w:tcW w:type="dxa" w:w="1337"/>
          </w:tcPr>
          <w:p>
            <w:pPr>
              <w:jc w:val="center"/>
            </w:pPr>
            <w:r/>
            <w:r>
              <w:rPr>
                <w:rFonts w:ascii="Times New Roman" w:hAnsi="Times New Roman"/>
                <w:sz w:val="20"/>
              </w:rPr>
              <w:t>0.151</w:t>
            </w:r>
          </w:p>
        </w:tc>
      </w:tr>
      <w:tr>
        <w:tc>
          <w:tcPr>
            <w:tcW w:type="dxa" w:w="1337"/>
          </w:tcPr>
          <w:p>
            <w:pPr>
              <w:jc w:val="center"/>
            </w:pPr>
            <w:r/>
            <w:r>
              <w:rPr>
                <w:rFonts w:ascii="Times New Roman" w:hAnsi="Times New Roman"/>
                <w:sz w:val="20"/>
              </w:rPr>
              <w:t>tsx_file_count</w:t>
            </w:r>
          </w:p>
        </w:tc>
        <w:tc>
          <w:tcPr>
            <w:tcW w:type="dxa" w:w="1337"/>
          </w:tcPr>
          <w:p>
            <w:pPr>
              <w:jc w:val="center"/>
            </w:pPr>
            <w:r/>
            <w:r>
              <w:rPr>
                <w:rFonts w:ascii="Times New Roman" w:hAnsi="Times New Roman"/>
                <w:sz w:val="20"/>
              </w:rPr>
              <w:t>209.91</w:t>
            </w:r>
          </w:p>
        </w:tc>
        <w:tc>
          <w:tcPr>
            <w:tcW w:type="dxa" w:w="1337"/>
          </w:tcPr>
          <w:p>
            <w:pPr>
              <w:jc w:val="center"/>
            </w:pPr>
            <w:r/>
            <w:r>
              <w:rPr>
                <w:rFonts w:ascii="Times New Roman" w:hAnsi="Times New Roman"/>
                <w:sz w:val="20"/>
              </w:rPr>
              <w:t>159.90</w:t>
            </w:r>
          </w:p>
        </w:tc>
        <w:tc>
          <w:tcPr>
            <w:tcW w:type="dxa" w:w="1337"/>
          </w:tcPr>
          <w:p>
            <w:pPr>
              <w:jc w:val="center"/>
            </w:pPr>
            <w:r/>
            <w:r>
              <w:rPr>
                <w:rFonts w:ascii="Times New Roman" w:hAnsi="Times New Roman"/>
                <w:sz w:val="20"/>
              </w:rPr>
              <w:t>0.330</w:t>
            </w:r>
          </w:p>
        </w:tc>
        <w:tc>
          <w:tcPr>
            <w:tcW w:type="dxa" w:w="1337"/>
          </w:tcPr>
          <w:p>
            <w:pPr>
              <w:jc w:val="center"/>
            </w:pPr>
            <w:r/>
            <w:r>
              <w:rPr>
                <w:rFonts w:ascii="Times New Roman" w:hAnsi="Times New Roman"/>
                <w:sz w:val="20"/>
              </w:rPr>
              <w:t>182.52</w:t>
            </w:r>
          </w:p>
        </w:tc>
        <w:tc>
          <w:tcPr>
            <w:tcW w:type="dxa" w:w="1337"/>
          </w:tcPr>
          <w:p>
            <w:pPr>
              <w:jc w:val="center"/>
            </w:pPr>
            <w:r/>
            <w:r>
              <w:rPr>
                <w:rFonts w:ascii="Times New Roman" w:hAnsi="Times New Roman"/>
                <w:sz w:val="20"/>
              </w:rPr>
              <w:t>207.53</w:t>
            </w:r>
          </w:p>
        </w:tc>
        <w:tc>
          <w:tcPr>
            <w:tcW w:type="dxa" w:w="1337"/>
          </w:tcPr>
          <w:p>
            <w:pPr>
              <w:jc w:val="center"/>
            </w:pPr>
            <w:r/>
            <w:r>
              <w:rPr>
                <w:rFonts w:ascii="Times New Roman" w:hAnsi="Times New Roman"/>
                <w:sz w:val="20"/>
              </w:rPr>
              <w:t>0.136</w:t>
            </w:r>
          </w:p>
        </w:tc>
      </w:tr>
      <w:tr>
        <w:tc>
          <w:tcPr>
            <w:tcW w:type="dxa" w:w="1337"/>
          </w:tcPr>
          <w:p>
            <w:pPr>
              <w:jc w:val="center"/>
            </w:pPr>
            <w:r/>
            <w:r>
              <w:rPr>
                <w:rFonts w:ascii="Times New Roman" w:hAnsi="Times New Roman"/>
                <w:sz w:val="20"/>
              </w:rPr>
              <w:t>contributor_count</w:t>
            </w:r>
          </w:p>
        </w:tc>
        <w:tc>
          <w:tcPr>
            <w:tcW w:type="dxa" w:w="1337"/>
          </w:tcPr>
          <w:p>
            <w:pPr>
              <w:jc w:val="center"/>
            </w:pPr>
            <w:r/>
            <w:r>
              <w:rPr>
                <w:rFonts w:ascii="Times New Roman" w:hAnsi="Times New Roman"/>
                <w:sz w:val="20"/>
              </w:rPr>
              <w:t>59.92</w:t>
            </w:r>
          </w:p>
        </w:tc>
        <w:tc>
          <w:tcPr>
            <w:tcW w:type="dxa" w:w="1337"/>
          </w:tcPr>
          <w:p>
            <w:pPr>
              <w:jc w:val="center"/>
            </w:pPr>
            <w:r/>
            <w:r>
              <w:rPr>
                <w:rFonts w:ascii="Times New Roman" w:hAnsi="Times New Roman"/>
                <w:sz w:val="20"/>
              </w:rPr>
              <w:t>24.29</w:t>
            </w:r>
          </w:p>
        </w:tc>
        <w:tc>
          <w:tcPr>
            <w:tcW w:type="dxa" w:w="1337"/>
          </w:tcPr>
          <w:p>
            <w:pPr>
              <w:jc w:val="center"/>
            </w:pPr>
            <w:r/>
            <w:r>
              <w:rPr>
                <w:rFonts w:ascii="Times New Roman" w:hAnsi="Times New Roman"/>
                <w:sz w:val="20"/>
              </w:rPr>
              <w:t>1.097</w:t>
            </w:r>
          </w:p>
        </w:tc>
        <w:tc>
          <w:tcPr>
            <w:tcW w:type="dxa" w:w="1337"/>
          </w:tcPr>
          <w:p>
            <w:pPr>
              <w:jc w:val="center"/>
            </w:pPr>
            <w:r/>
            <w:r>
              <w:rPr>
                <w:rFonts w:ascii="Times New Roman" w:hAnsi="Times New Roman"/>
                <w:sz w:val="20"/>
              </w:rPr>
              <w:t>52.06</w:t>
            </w:r>
          </w:p>
        </w:tc>
        <w:tc>
          <w:tcPr>
            <w:tcW w:type="dxa" w:w="1337"/>
          </w:tcPr>
          <w:p>
            <w:pPr>
              <w:jc w:val="center"/>
            </w:pPr>
            <w:r/>
            <w:r>
              <w:rPr>
                <w:rFonts w:ascii="Times New Roman" w:hAnsi="Times New Roman"/>
                <w:sz w:val="20"/>
              </w:rPr>
              <w:t>50.62</w:t>
            </w:r>
          </w:p>
        </w:tc>
        <w:tc>
          <w:tcPr>
            <w:tcW w:type="dxa" w:w="1337"/>
          </w:tcPr>
          <w:p>
            <w:pPr>
              <w:jc w:val="center"/>
            </w:pPr>
            <w:r/>
            <w:r>
              <w:rPr>
                <w:rFonts w:ascii="Times New Roman" w:hAnsi="Times New Roman"/>
                <w:sz w:val="20"/>
              </w:rPr>
              <w:t>0.042</w:t>
            </w:r>
          </w:p>
        </w:tc>
      </w:tr>
      <w:tr>
        <w:tc>
          <w:tcPr>
            <w:tcW w:type="dxa" w:w="1337"/>
          </w:tcPr>
          <w:p>
            <w:pPr>
              <w:jc w:val="center"/>
            </w:pPr>
            <w:r/>
            <w:r>
              <w:rPr>
                <w:rFonts w:ascii="Times New Roman" w:hAnsi="Times New Roman"/>
                <w:sz w:val="20"/>
              </w:rPr>
              <w:t>commit_frequency</w:t>
            </w:r>
          </w:p>
        </w:tc>
        <w:tc>
          <w:tcPr>
            <w:tcW w:type="dxa" w:w="1337"/>
          </w:tcPr>
          <w:p>
            <w:pPr>
              <w:jc w:val="center"/>
            </w:pPr>
            <w:r/>
            <w:r>
              <w:rPr>
                <w:rFonts w:ascii="Times New Roman" w:hAnsi="Times New Roman"/>
                <w:sz w:val="20"/>
              </w:rPr>
              <w:t>4240.66</w:t>
            </w:r>
          </w:p>
        </w:tc>
        <w:tc>
          <w:tcPr>
            <w:tcW w:type="dxa" w:w="1337"/>
          </w:tcPr>
          <w:p>
            <w:pPr>
              <w:jc w:val="center"/>
            </w:pPr>
            <w:r/>
            <w:r>
              <w:rPr>
                <w:rFonts w:ascii="Times New Roman" w:hAnsi="Times New Roman"/>
                <w:sz w:val="20"/>
              </w:rPr>
              <w:t>1051.03</w:t>
            </w:r>
          </w:p>
        </w:tc>
        <w:tc>
          <w:tcPr>
            <w:tcW w:type="dxa" w:w="1337"/>
          </w:tcPr>
          <w:p>
            <w:pPr>
              <w:jc w:val="center"/>
            </w:pPr>
            <w:r/>
            <w:r>
              <w:rPr>
                <w:rFonts w:ascii="Times New Roman" w:hAnsi="Times New Roman"/>
                <w:sz w:val="20"/>
              </w:rPr>
              <w:t>0.587</w:t>
            </w:r>
          </w:p>
        </w:tc>
        <w:tc>
          <w:tcPr>
            <w:tcW w:type="dxa" w:w="1337"/>
          </w:tcPr>
          <w:p>
            <w:pPr>
              <w:jc w:val="center"/>
            </w:pPr>
            <w:r/>
            <w:r>
              <w:rPr>
                <w:rFonts w:ascii="Times New Roman" w:hAnsi="Times New Roman"/>
                <w:sz w:val="20"/>
              </w:rPr>
              <w:t>1858.91</w:t>
            </w:r>
          </w:p>
        </w:tc>
        <w:tc>
          <w:tcPr>
            <w:tcW w:type="dxa" w:w="1337"/>
          </w:tcPr>
          <w:p>
            <w:pPr>
              <w:jc w:val="center"/>
            </w:pPr>
            <w:r/>
            <w:r>
              <w:rPr>
                <w:rFonts w:ascii="Times New Roman" w:hAnsi="Times New Roman"/>
                <w:sz w:val="20"/>
              </w:rPr>
              <w:t>1822.75</w:t>
            </w:r>
          </w:p>
        </w:tc>
        <w:tc>
          <w:tcPr>
            <w:tcW w:type="dxa" w:w="1337"/>
          </w:tcPr>
          <w:p>
            <w:pPr>
              <w:jc w:val="center"/>
            </w:pPr>
            <w:r/>
            <w:r>
              <w:rPr>
                <w:rFonts w:ascii="Times New Roman" w:hAnsi="Times New Roman"/>
                <w:sz w:val="20"/>
              </w:rPr>
              <w:t>0.009</w:t>
            </w:r>
          </w:p>
        </w:tc>
      </w:tr>
    </w:tbl>
    <w:p/>
    <w:p>
      <w:pPr>
        <w:spacing w:before="160" w:after="80"/>
      </w:pPr>
      <w:r>
        <w:rPr>
          <w:rFonts w:ascii="Times New Roman" w:hAnsi="Times New Roman"/>
          <w:b/>
          <w:color w:val="000000"/>
          <w:sz w:val="23"/>
        </w:rPr>
        <w:t>4.2 Primary DiD Results (RQ1 and RQ2)</w:t>
      </w:r>
    </w:p>
    <w:p>
      <w:pPr>
        <w:jc w:val="both"/>
      </w:pPr>
      <w:r>
        <w:rPr>
          <w:rFonts w:ascii="Times New Roman" w:hAnsi="Times New Roman"/>
          <w:sz w:val="22"/>
        </w:rPr>
        <w:t>We estimate each of the four measured accessibility axes under the TWFE and Borusyak–Jaravel–Spiess (BJS) imputation estimators, on the matched primary panel (181 repos / 95 treated / 86 control) and the full robustness panel (446 repos / 189 treated / 257 control, TWFE absorbing repo+month fixed effects). Inference is repo-clustered, with a restricted wild-cluster bootstrap (Rademacher weights, B = 399) reported because the matched panel is in the small-cluster regime. Score axes (semantic, keyboard) run 0–1 with higher = better; violation-density axes (WCAG, severity) are per-element with higher = worse.</w:t>
      </w:r>
    </w:p>
    <w:p>
      <w:pPr>
        <w:jc w:val="center"/>
      </w:pPr>
      <w:r>
        <w:rPr>
          <w:rFonts w:ascii="Times New Roman" w:hAnsi="Times New Roman"/>
          <w:b/>
          <w:sz w:val="20"/>
        </w:rPr>
        <w:t>Table 4. Primary DiD estimates — four measured accessibility axes, matched panel (181 repos).</w:t>
      </w:r>
      <w:r>
        <w:rPr>
          <w:rFonts w:ascii="Times New Roman" w:hAnsi="Times New Roman"/>
          <w:sz w:val="20"/>
        </w:rPr>
        <w:t xml:space="preserve"> ATT in native units; "% base" = ATT relative to the pre-treatment treated mean. (ARIA correctness is omitted: near-constant in the corpus, no identifying variation.)</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1337"/>
        <w:gridCol w:w="1337"/>
        <w:gridCol w:w="1337"/>
        <w:gridCol w:w="1337"/>
        <w:gridCol w:w="1337"/>
        <w:gridCol w:w="1337"/>
        <w:gridCol w:w="1337"/>
      </w:tblGrid>
      <w:tr>
        <w:trPr>
          <w:tblHeader w:val="true"/>
        </w:trPr>
        <w:tc>
          <w:tcPr>
            <w:tcW w:type="dxa" w:w="1337"/>
          </w:tcPr>
          <w:p>
            <w:pPr>
              <w:jc w:val="center"/>
            </w:pPr>
            <w:r>
              <w:rPr>
                <w:b/>
              </w:rPr>
            </w:r>
            <w:r>
              <w:rPr>
                <w:rFonts w:ascii="Times New Roman" w:hAnsi="Times New Roman"/>
                <w:b/>
                <w:sz w:val="20"/>
              </w:rPr>
              <w:t>Axis</w:t>
            </w:r>
          </w:p>
        </w:tc>
        <w:tc>
          <w:tcPr>
            <w:tcW w:type="dxa" w:w="1337"/>
          </w:tcPr>
          <w:p>
            <w:pPr>
              <w:jc w:val="center"/>
            </w:pPr>
            <w:r>
              <w:rPr>
                <w:b/>
              </w:rPr>
            </w:r>
            <w:r>
              <w:rPr>
                <w:rFonts w:ascii="Times New Roman" w:hAnsi="Times New Roman"/>
                <w:b/>
                <w:sz w:val="20"/>
              </w:rPr>
              <w:t>TWFE ATT</w:t>
            </w:r>
          </w:p>
        </w:tc>
        <w:tc>
          <w:tcPr>
            <w:tcW w:type="dxa" w:w="1337"/>
          </w:tcPr>
          <w:p>
            <w:pPr>
              <w:jc w:val="center"/>
            </w:pPr>
            <w:r>
              <w:rPr>
                <w:b/>
              </w:rPr>
            </w:r>
            <w:r>
              <w:rPr>
                <w:rFonts w:ascii="Times New Roman" w:hAnsi="Times New Roman"/>
                <w:b/>
                <w:sz w:val="20"/>
              </w:rPr>
              <w:t>SE</w:t>
            </w:r>
          </w:p>
        </w:tc>
        <w:tc>
          <w:tcPr>
            <w:tcW w:type="dxa" w:w="1337"/>
          </w:tcPr>
          <w:p>
            <w:pPr>
              <w:jc w:val="center"/>
            </w:pPr>
            <w:r>
              <w:rPr>
                <w:b/>
              </w:rPr>
            </w:r>
            <w:r>
              <w:rPr>
                <w:rFonts w:ascii="Times New Roman" w:hAnsi="Times New Roman"/>
                <w:b/>
                <w:sz w:val="20"/>
              </w:rPr>
              <w:t>analytic p</w:t>
            </w:r>
          </w:p>
        </w:tc>
        <w:tc>
          <w:tcPr>
            <w:tcW w:type="dxa" w:w="1337"/>
          </w:tcPr>
          <w:p>
            <w:pPr>
              <w:jc w:val="center"/>
            </w:pPr>
            <w:r>
              <w:rPr>
                <w:b/>
              </w:rPr>
            </w:r>
            <w:r>
              <w:rPr>
                <w:rFonts w:ascii="Times New Roman" w:hAnsi="Times New Roman"/>
                <w:b/>
                <w:sz w:val="20"/>
              </w:rPr>
              <w:t>wild-cluster p</w:t>
            </w:r>
          </w:p>
        </w:tc>
        <w:tc>
          <w:tcPr>
            <w:tcW w:type="dxa" w:w="1337"/>
          </w:tcPr>
          <w:p>
            <w:pPr>
              <w:jc w:val="center"/>
            </w:pPr>
            <w:r>
              <w:rPr>
                <w:b/>
              </w:rPr>
            </w:r>
            <w:r>
              <w:rPr>
                <w:rFonts w:ascii="Times New Roman" w:hAnsi="Times New Roman"/>
                <w:b/>
                <w:sz w:val="20"/>
              </w:rPr>
              <w:t>BJS ATT</w:t>
            </w:r>
          </w:p>
        </w:tc>
        <w:tc>
          <w:tcPr>
            <w:tcW w:type="dxa" w:w="1337"/>
          </w:tcPr>
          <w:p>
            <w:pPr>
              <w:jc w:val="center"/>
            </w:pPr>
            <w:r>
              <w:rPr>
                <w:b/>
              </w:rPr>
            </w:r>
            <w:r>
              <w:rPr>
                <w:rFonts w:ascii="Times New Roman" w:hAnsi="Times New Roman"/>
                <w:b/>
                <w:sz w:val="20"/>
              </w:rPr>
              <w:t>% base</w:t>
            </w:r>
          </w:p>
        </w:tc>
      </w:tr>
      <w:tr>
        <w:tc>
          <w:tcPr>
            <w:tcW w:type="dxa" w:w="1337"/>
          </w:tcPr>
          <w:p>
            <w:pPr>
              <w:jc w:val="center"/>
            </w:pPr>
            <w:r/>
            <w:r>
              <w:rPr>
                <w:rFonts w:ascii="Times New Roman" w:hAnsi="Times New Roman"/>
                <w:sz w:val="20"/>
              </w:rPr>
              <w:t>Semantic HTML</w:t>
            </w:r>
          </w:p>
        </w:tc>
        <w:tc>
          <w:tcPr>
            <w:tcW w:type="dxa" w:w="1337"/>
          </w:tcPr>
          <w:p>
            <w:pPr>
              <w:jc w:val="center"/>
            </w:pPr>
            <w:r/>
            <w:r>
              <w:rPr>
                <w:rFonts w:ascii="Times New Roman" w:hAnsi="Times New Roman"/>
                <w:sz w:val="20"/>
              </w:rPr>
              <w:t>−0.0043</w:t>
            </w:r>
          </w:p>
        </w:tc>
        <w:tc>
          <w:tcPr>
            <w:tcW w:type="dxa" w:w="1337"/>
          </w:tcPr>
          <w:p>
            <w:pPr>
              <w:jc w:val="center"/>
            </w:pPr>
            <w:r/>
            <w:r>
              <w:rPr>
                <w:rFonts w:ascii="Times New Roman" w:hAnsi="Times New Roman"/>
                <w:sz w:val="20"/>
              </w:rPr>
              <w:t>0.0040</w:t>
            </w:r>
          </w:p>
        </w:tc>
        <w:tc>
          <w:tcPr>
            <w:tcW w:type="dxa" w:w="1337"/>
          </w:tcPr>
          <w:p>
            <w:pPr>
              <w:jc w:val="center"/>
            </w:pPr>
            <w:r/>
            <w:r>
              <w:rPr>
                <w:rFonts w:ascii="Times New Roman" w:hAnsi="Times New Roman"/>
                <w:sz w:val="20"/>
              </w:rPr>
              <w:t>0.285</w:t>
            </w:r>
          </w:p>
        </w:tc>
        <w:tc>
          <w:tcPr>
            <w:tcW w:type="dxa" w:w="1337"/>
          </w:tcPr>
          <w:p>
            <w:pPr>
              <w:jc w:val="center"/>
            </w:pPr>
            <w:r/>
            <w:r>
              <w:rPr>
                <w:rFonts w:ascii="Times New Roman" w:hAnsi="Times New Roman"/>
                <w:sz w:val="20"/>
              </w:rPr>
              <w:t>0.357</w:t>
            </w:r>
          </w:p>
        </w:tc>
        <w:tc>
          <w:tcPr>
            <w:tcW w:type="dxa" w:w="1337"/>
          </w:tcPr>
          <w:p>
            <w:pPr>
              <w:jc w:val="center"/>
            </w:pPr>
            <w:r/>
            <w:r>
              <w:rPr>
                <w:rFonts w:ascii="Times New Roman" w:hAnsi="Times New Roman"/>
                <w:sz w:val="20"/>
              </w:rPr>
              <w:t>−0.0031</w:t>
            </w:r>
          </w:p>
        </w:tc>
        <w:tc>
          <w:tcPr>
            <w:tcW w:type="dxa" w:w="1337"/>
          </w:tcPr>
          <w:p>
            <w:pPr>
              <w:jc w:val="center"/>
            </w:pPr>
            <w:r/>
            <w:r>
              <w:rPr>
                <w:rFonts w:ascii="Times New Roman" w:hAnsi="Times New Roman"/>
                <w:sz w:val="20"/>
              </w:rPr>
              <w:t>−0.5%</w:t>
            </w:r>
          </w:p>
        </w:tc>
      </w:tr>
      <w:tr>
        <w:tc>
          <w:tcPr>
            <w:tcW w:type="dxa" w:w="1337"/>
          </w:tcPr>
          <w:p>
            <w:pPr>
              <w:jc w:val="center"/>
            </w:pPr>
            <w:r/>
            <w:r>
              <w:rPr>
                <w:rFonts w:ascii="Times New Roman" w:hAnsi="Times New Roman"/>
                <w:sz w:val="20"/>
              </w:rPr>
              <w:t>Keyboard/focus</w:t>
            </w:r>
          </w:p>
        </w:tc>
        <w:tc>
          <w:tcPr>
            <w:tcW w:type="dxa" w:w="1337"/>
          </w:tcPr>
          <w:p>
            <w:pPr>
              <w:jc w:val="center"/>
            </w:pPr>
            <w:r/>
            <w:r>
              <w:rPr>
                <w:rFonts w:ascii="Times New Roman" w:hAnsi="Times New Roman"/>
                <w:sz w:val="20"/>
              </w:rPr>
              <w:t>−0.0016</w:t>
            </w:r>
          </w:p>
        </w:tc>
        <w:tc>
          <w:tcPr>
            <w:tcW w:type="dxa" w:w="1337"/>
          </w:tcPr>
          <w:p>
            <w:pPr>
              <w:jc w:val="center"/>
            </w:pPr>
            <w:r/>
            <w:r>
              <w:rPr>
                <w:rFonts w:ascii="Times New Roman" w:hAnsi="Times New Roman"/>
                <w:sz w:val="20"/>
              </w:rPr>
              <w:t>0.0037</w:t>
            </w:r>
          </w:p>
        </w:tc>
        <w:tc>
          <w:tcPr>
            <w:tcW w:type="dxa" w:w="1337"/>
          </w:tcPr>
          <w:p>
            <w:pPr>
              <w:jc w:val="center"/>
            </w:pPr>
            <w:r/>
            <w:r>
              <w:rPr>
                <w:rFonts w:ascii="Times New Roman" w:hAnsi="Times New Roman"/>
                <w:sz w:val="20"/>
              </w:rPr>
              <w:t>0.658</w:t>
            </w:r>
          </w:p>
        </w:tc>
        <w:tc>
          <w:tcPr>
            <w:tcW w:type="dxa" w:w="1337"/>
          </w:tcPr>
          <w:p>
            <w:pPr>
              <w:jc w:val="center"/>
            </w:pPr>
            <w:r/>
            <w:r>
              <w:rPr>
                <w:rFonts w:ascii="Times New Roman" w:hAnsi="Times New Roman"/>
                <w:sz w:val="20"/>
              </w:rPr>
              <w:t>0.688</w:t>
            </w:r>
          </w:p>
        </w:tc>
        <w:tc>
          <w:tcPr>
            <w:tcW w:type="dxa" w:w="1337"/>
          </w:tcPr>
          <w:p>
            <w:pPr>
              <w:jc w:val="center"/>
            </w:pPr>
            <w:r/>
            <w:r>
              <w:rPr>
                <w:rFonts w:ascii="Times New Roman" w:hAnsi="Times New Roman"/>
                <w:sz w:val="20"/>
              </w:rPr>
              <w:t>−0.0011</w:t>
            </w:r>
          </w:p>
        </w:tc>
        <w:tc>
          <w:tcPr>
            <w:tcW w:type="dxa" w:w="1337"/>
          </w:tcPr>
          <w:p>
            <w:pPr>
              <w:jc w:val="center"/>
            </w:pPr>
            <w:r/>
            <w:r>
              <w:rPr>
                <w:rFonts w:ascii="Times New Roman" w:hAnsi="Times New Roman"/>
                <w:sz w:val="20"/>
              </w:rPr>
              <w:t>−0.2%</w:t>
            </w:r>
          </w:p>
        </w:tc>
      </w:tr>
      <w:tr>
        <w:tc>
          <w:tcPr>
            <w:tcW w:type="dxa" w:w="1337"/>
          </w:tcPr>
          <w:p>
            <w:pPr>
              <w:jc w:val="center"/>
            </w:pPr>
            <w:r/>
            <w:r>
              <w:rPr>
                <w:rFonts w:ascii="Times New Roman" w:hAnsi="Times New Roman"/>
                <w:sz w:val="20"/>
              </w:rPr>
              <w:t>WCAG total density</w:t>
            </w:r>
          </w:p>
        </w:tc>
        <w:tc>
          <w:tcPr>
            <w:tcW w:type="dxa" w:w="1337"/>
          </w:tcPr>
          <w:p>
            <w:pPr>
              <w:jc w:val="center"/>
            </w:pPr>
            <w:r/>
            <w:r>
              <w:rPr>
                <w:rFonts w:ascii="Times New Roman" w:hAnsi="Times New Roman"/>
                <w:sz w:val="20"/>
              </w:rPr>
              <w:t>−0.0016</w:t>
            </w:r>
          </w:p>
        </w:tc>
        <w:tc>
          <w:tcPr>
            <w:tcW w:type="dxa" w:w="1337"/>
          </w:tcPr>
          <w:p>
            <w:pPr>
              <w:jc w:val="center"/>
            </w:pPr>
            <w:r/>
            <w:r>
              <w:rPr>
                <w:rFonts w:ascii="Times New Roman" w:hAnsi="Times New Roman"/>
                <w:sz w:val="20"/>
              </w:rPr>
              <w:t>0.0023</w:t>
            </w:r>
          </w:p>
        </w:tc>
        <w:tc>
          <w:tcPr>
            <w:tcW w:type="dxa" w:w="1337"/>
          </w:tcPr>
          <w:p>
            <w:pPr>
              <w:jc w:val="center"/>
            </w:pPr>
            <w:r/>
            <w:r>
              <w:rPr>
                <w:rFonts w:ascii="Times New Roman" w:hAnsi="Times New Roman"/>
                <w:sz w:val="20"/>
              </w:rPr>
              <w:t>0.493</w:t>
            </w:r>
          </w:p>
        </w:tc>
        <w:tc>
          <w:tcPr>
            <w:tcW w:type="dxa" w:w="1337"/>
          </w:tcPr>
          <w:p>
            <w:pPr>
              <w:jc w:val="center"/>
            </w:pPr>
            <w:r/>
            <w:r>
              <w:rPr>
                <w:rFonts w:ascii="Times New Roman" w:hAnsi="Times New Roman"/>
                <w:sz w:val="20"/>
              </w:rPr>
              <w:t>0.520</w:t>
            </w:r>
          </w:p>
        </w:tc>
        <w:tc>
          <w:tcPr>
            <w:tcW w:type="dxa" w:w="1337"/>
          </w:tcPr>
          <w:p>
            <w:pPr>
              <w:jc w:val="center"/>
            </w:pPr>
            <w:r/>
            <w:r>
              <w:rPr>
                <w:rFonts w:ascii="Times New Roman" w:hAnsi="Times New Roman"/>
                <w:sz w:val="20"/>
              </w:rPr>
              <w:t>−0.0015</w:t>
            </w:r>
          </w:p>
        </w:tc>
        <w:tc>
          <w:tcPr>
            <w:tcW w:type="dxa" w:w="1337"/>
          </w:tcPr>
          <w:p>
            <w:pPr>
              <w:jc w:val="center"/>
            </w:pPr>
            <w:r/>
            <w:r>
              <w:rPr>
                <w:rFonts w:ascii="Times New Roman" w:hAnsi="Times New Roman"/>
                <w:sz w:val="20"/>
              </w:rPr>
              <w:t>−4.6%</w:t>
            </w:r>
          </w:p>
        </w:tc>
      </w:tr>
      <w:tr>
        <w:tc>
          <w:tcPr>
            <w:tcW w:type="dxa" w:w="1337"/>
          </w:tcPr>
          <w:p>
            <w:pPr>
              <w:jc w:val="center"/>
            </w:pPr>
            <w:r/>
            <w:r>
              <w:rPr>
                <w:rFonts w:ascii="Times New Roman" w:hAnsi="Times New Roman"/>
                <w:sz w:val="20"/>
              </w:rPr>
              <w:t>WCAG operable density</w:t>
            </w:r>
          </w:p>
        </w:tc>
        <w:tc>
          <w:tcPr>
            <w:tcW w:type="dxa" w:w="1337"/>
          </w:tcPr>
          <w:p>
            <w:pPr>
              <w:jc w:val="center"/>
            </w:pPr>
            <w:r/>
            <w:r>
              <w:rPr>
                <w:rFonts w:ascii="Times New Roman" w:hAnsi="Times New Roman"/>
                <w:sz w:val="20"/>
              </w:rPr>
              <w:t>−0.0016</w:t>
            </w:r>
          </w:p>
        </w:tc>
        <w:tc>
          <w:tcPr>
            <w:tcW w:type="dxa" w:w="1337"/>
          </w:tcPr>
          <w:p>
            <w:pPr>
              <w:jc w:val="center"/>
            </w:pPr>
            <w:r/>
            <w:r>
              <w:rPr>
                <w:rFonts w:ascii="Times New Roman" w:hAnsi="Times New Roman"/>
                <w:sz w:val="20"/>
              </w:rPr>
              <w:t>0.0019</w:t>
            </w:r>
          </w:p>
        </w:tc>
        <w:tc>
          <w:tcPr>
            <w:tcW w:type="dxa" w:w="1337"/>
          </w:tcPr>
          <w:p>
            <w:pPr>
              <w:jc w:val="center"/>
            </w:pPr>
            <w:r/>
            <w:r>
              <w:rPr>
                <w:rFonts w:ascii="Times New Roman" w:hAnsi="Times New Roman"/>
                <w:sz w:val="20"/>
              </w:rPr>
              <w:t>0.414</w:t>
            </w:r>
          </w:p>
        </w:tc>
        <w:tc>
          <w:tcPr>
            <w:tcW w:type="dxa" w:w="1337"/>
          </w:tcPr>
          <w:p>
            <w:pPr>
              <w:jc w:val="center"/>
            </w:pPr>
            <w:r/>
            <w:r>
              <w:rPr>
                <w:rFonts w:ascii="Times New Roman" w:hAnsi="Times New Roman"/>
                <w:sz w:val="20"/>
              </w:rPr>
              <w:t>0.435</w:t>
            </w:r>
          </w:p>
        </w:tc>
        <w:tc>
          <w:tcPr>
            <w:tcW w:type="dxa" w:w="1337"/>
          </w:tcPr>
          <w:p>
            <w:pPr>
              <w:jc w:val="center"/>
            </w:pPr>
            <w:r/>
            <w:r>
              <w:rPr>
                <w:rFonts w:ascii="Times New Roman" w:hAnsi="Times New Roman"/>
                <w:sz w:val="20"/>
              </w:rPr>
              <w:t>−0.0018</w:t>
            </w:r>
          </w:p>
        </w:tc>
        <w:tc>
          <w:tcPr>
            <w:tcW w:type="dxa" w:w="1337"/>
          </w:tcPr>
          <w:p>
            <w:pPr>
              <w:jc w:val="center"/>
            </w:pPr>
            <w:r/>
            <w:r>
              <w:rPr>
                <w:rFonts w:ascii="Times New Roman" w:hAnsi="Times New Roman"/>
                <w:sz w:val="20"/>
              </w:rPr>
              <w:t>−8.6%</w:t>
            </w:r>
          </w:p>
        </w:tc>
      </w:tr>
      <w:tr>
        <w:tc>
          <w:tcPr>
            <w:tcW w:type="dxa" w:w="1337"/>
          </w:tcPr>
          <w:p>
            <w:pPr>
              <w:jc w:val="center"/>
            </w:pPr>
            <w:r/>
            <w:r>
              <w:rPr>
                <w:rFonts w:ascii="Times New Roman" w:hAnsi="Times New Roman"/>
                <w:sz w:val="20"/>
              </w:rPr>
              <w:t>Severity-weighted</w:t>
            </w:r>
          </w:p>
        </w:tc>
        <w:tc>
          <w:tcPr>
            <w:tcW w:type="dxa" w:w="1337"/>
          </w:tcPr>
          <w:p>
            <w:pPr>
              <w:jc w:val="center"/>
            </w:pPr>
            <w:r/>
            <w:r>
              <w:rPr>
                <w:rFonts w:ascii="Times New Roman" w:hAnsi="Times New Roman"/>
                <w:sz w:val="20"/>
              </w:rPr>
              <w:t>−0.0029</w:t>
            </w:r>
          </w:p>
        </w:tc>
        <w:tc>
          <w:tcPr>
            <w:tcW w:type="dxa" w:w="1337"/>
          </w:tcPr>
          <w:p>
            <w:pPr>
              <w:jc w:val="center"/>
            </w:pPr>
            <w:r/>
            <w:r>
              <w:rPr>
                <w:rFonts w:ascii="Times New Roman" w:hAnsi="Times New Roman"/>
                <w:sz w:val="20"/>
              </w:rPr>
              <w:t>0.0048</w:t>
            </w:r>
          </w:p>
        </w:tc>
        <w:tc>
          <w:tcPr>
            <w:tcW w:type="dxa" w:w="1337"/>
          </w:tcPr>
          <w:p>
            <w:pPr>
              <w:jc w:val="center"/>
            </w:pPr>
            <w:r/>
            <w:r>
              <w:rPr>
                <w:rFonts w:ascii="Times New Roman" w:hAnsi="Times New Roman"/>
                <w:sz w:val="20"/>
              </w:rPr>
              <w:t>0.552</w:t>
            </w:r>
          </w:p>
        </w:tc>
        <w:tc>
          <w:tcPr>
            <w:tcW w:type="dxa" w:w="1337"/>
          </w:tcPr>
          <w:p>
            <w:pPr>
              <w:jc w:val="center"/>
            </w:pPr>
            <w:r/>
            <w:r>
              <w:rPr>
                <w:rFonts w:ascii="Times New Roman" w:hAnsi="Times New Roman"/>
                <w:sz w:val="20"/>
              </w:rPr>
              <w:t>0.565</w:t>
            </w:r>
          </w:p>
        </w:tc>
        <w:tc>
          <w:tcPr>
            <w:tcW w:type="dxa" w:w="1337"/>
          </w:tcPr>
          <w:p>
            <w:pPr>
              <w:jc w:val="center"/>
            </w:pPr>
            <w:r/>
            <w:r>
              <w:rPr>
                <w:rFonts w:ascii="Times New Roman" w:hAnsi="Times New Roman"/>
                <w:sz w:val="20"/>
              </w:rPr>
              <w:t>−0.0022</w:t>
            </w:r>
          </w:p>
        </w:tc>
        <w:tc>
          <w:tcPr>
            <w:tcW w:type="dxa" w:w="1337"/>
          </w:tcPr>
          <w:p>
            <w:pPr>
              <w:jc w:val="center"/>
            </w:pPr>
            <w:r/>
            <w:r>
              <w:rPr>
                <w:rFonts w:ascii="Times New Roman" w:hAnsi="Times New Roman"/>
                <w:sz w:val="20"/>
              </w:rPr>
              <w:t>−3.6%</w:t>
            </w:r>
          </w:p>
        </w:tc>
      </w:tr>
    </w:tbl>
    <w:p/>
    <w:p>
      <w:pPr>
        <w:jc w:val="center"/>
      </w:pPr>
      <w:r>
        <w:rPr>
          <w:rFonts w:ascii="Times New Roman" w:hAnsi="Times New Roman"/>
          <w:b/>
          <w:sz w:val="20"/>
        </w:rPr>
        <w:t>Table 4a. Robustness — same four axes, full panel (446 repos, 13,702 repo-months).</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1560"/>
        <w:gridCol w:w="1560"/>
        <w:gridCol w:w="1560"/>
        <w:gridCol w:w="1560"/>
        <w:gridCol w:w="1560"/>
        <w:gridCol w:w="1560"/>
      </w:tblGrid>
      <w:tr>
        <w:trPr>
          <w:tblHeader w:val="true"/>
        </w:trPr>
        <w:tc>
          <w:tcPr>
            <w:tcW w:type="dxa" w:w="1560"/>
          </w:tcPr>
          <w:p>
            <w:pPr>
              <w:jc w:val="center"/>
            </w:pPr>
            <w:r>
              <w:rPr>
                <w:b/>
              </w:rPr>
            </w:r>
            <w:r>
              <w:rPr>
                <w:rFonts w:ascii="Times New Roman" w:hAnsi="Times New Roman"/>
                <w:b/>
                <w:sz w:val="20"/>
              </w:rPr>
              <w:t>Axis</w:t>
            </w:r>
          </w:p>
        </w:tc>
        <w:tc>
          <w:tcPr>
            <w:tcW w:type="dxa" w:w="1560"/>
          </w:tcPr>
          <w:p>
            <w:pPr>
              <w:jc w:val="center"/>
            </w:pPr>
            <w:r>
              <w:rPr>
                <w:b/>
              </w:rPr>
            </w:r>
            <w:r>
              <w:rPr>
                <w:rFonts w:ascii="Times New Roman" w:hAnsi="Times New Roman"/>
                <w:b/>
                <w:sz w:val="20"/>
              </w:rPr>
              <w:t>TWFE ATT</w:t>
            </w:r>
          </w:p>
        </w:tc>
        <w:tc>
          <w:tcPr>
            <w:tcW w:type="dxa" w:w="1560"/>
          </w:tcPr>
          <w:p>
            <w:pPr>
              <w:jc w:val="center"/>
            </w:pPr>
            <w:r>
              <w:rPr>
                <w:b/>
              </w:rPr>
            </w:r>
            <w:r>
              <w:rPr>
                <w:rFonts w:ascii="Times New Roman" w:hAnsi="Times New Roman"/>
                <w:b/>
                <w:sz w:val="20"/>
              </w:rPr>
              <w:t>SE</w:t>
            </w:r>
          </w:p>
        </w:tc>
        <w:tc>
          <w:tcPr>
            <w:tcW w:type="dxa" w:w="1560"/>
          </w:tcPr>
          <w:p>
            <w:pPr>
              <w:jc w:val="center"/>
            </w:pPr>
            <w:r>
              <w:rPr>
                <w:b/>
              </w:rPr>
            </w:r>
            <w:r>
              <w:rPr>
                <w:rFonts w:ascii="Times New Roman" w:hAnsi="Times New Roman"/>
                <w:b/>
                <w:sz w:val="20"/>
              </w:rPr>
              <w:t>analytic p</w:t>
            </w:r>
          </w:p>
        </w:tc>
        <w:tc>
          <w:tcPr>
            <w:tcW w:type="dxa" w:w="1560"/>
          </w:tcPr>
          <w:p>
            <w:pPr>
              <w:jc w:val="center"/>
            </w:pPr>
            <w:r>
              <w:rPr>
                <w:b/>
              </w:rPr>
            </w:r>
            <w:r>
              <w:rPr>
                <w:rFonts w:ascii="Times New Roman" w:hAnsi="Times New Roman"/>
                <w:b/>
                <w:sz w:val="20"/>
              </w:rPr>
              <w:t>wild-cluster p</w:t>
            </w:r>
          </w:p>
        </w:tc>
        <w:tc>
          <w:tcPr>
            <w:tcW w:type="dxa" w:w="1560"/>
          </w:tcPr>
          <w:p>
            <w:pPr>
              <w:jc w:val="center"/>
            </w:pPr>
            <w:r>
              <w:rPr>
                <w:b/>
              </w:rPr>
            </w:r>
            <w:r>
              <w:rPr>
                <w:rFonts w:ascii="Times New Roman" w:hAnsi="Times New Roman"/>
                <w:b/>
                <w:sz w:val="20"/>
              </w:rPr>
              <w:t>BJS ATT</w:t>
            </w:r>
          </w:p>
        </w:tc>
      </w:tr>
      <w:tr>
        <w:tc>
          <w:tcPr>
            <w:tcW w:type="dxa" w:w="1560"/>
          </w:tcPr>
          <w:p>
            <w:pPr>
              <w:jc w:val="center"/>
            </w:pPr>
            <w:r/>
            <w:r>
              <w:rPr>
                <w:rFonts w:ascii="Times New Roman" w:hAnsi="Times New Roman"/>
                <w:sz w:val="20"/>
              </w:rPr>
              <w:t>Semantic HTML</w:t>
            </w:r>
          </w:p>
        </w:tc>
        <w:tc>
          <w:tcPr>
            <w:tcW w:type="dxa" w:w="1560"/>
          </w:tcPr>
          <w:p>
            <w:pPr>
              <w:jc w:val="center"/>
            </w:pPr>
            <w:r/>
            <w:r>
              <w:rPr>
                <w:rFonts w:ascii="Times New Roman" w:hAnsi="Times New Roman"/>
                <w:sz w:val="20"/>
              </w:rPr>
              <w:t>−0.0019</w:t>
            </w:r>
          </w:p>
        </w:tc>
        <w:tc>
          <w:tcPr>
            <w:tcW w:type="dxa" w:w="1560"/>
          </w:tcPr>
          <w:p>
            <w:pPr>
              <w:jc w:val="center"/>
            </w:pPr>
            <w:r/>
            <w:r>
              <w:rPr>
                <w:rFonts w:ascii="Times New Roman" w:hAnsi="Times New Roman"/>
                <w:sz w:val="20"/>
              </w:rPr>
              <w:t>0.0023</w:t>
            </w:r>
          </w:p>
        </w:tc>
        <w:tc>
          <w:tcPr>
            <w:tcW w:type="dxa" w:w="1560"/>
          </w:tcPr>
          <w:p>
            <w:pPr>
              <w:jc w:val="center"/>
            </w:pPr>
            <w:r/>
            <w:r>
              <w:rPr>
                <w:rFonts w:ascii="Times New Roman" w:hAnsi="Times New Roman"/>
                <w:sz w:val="20"/>
              </w:rPr>
              <w:t>0.408</w:t>
            </w:r>
          </w:p>
        </w:tc>
        <w:tc>
          <w:tcPr>
            <w:tcW w:type="dxa" w:w="1560"/>
          </w:tcPr>
          <w:p>
            <w:pPr>
              <w:jc w:val="center"/>
            </w:pPr>
            <w:r/>
            <w:r>
              <w:rPr>
                <w:rFonts w:ascii="Times New Roman" w:hAnsi="Times New Roman"/>
                <w:sz w:val="20"/>
              </w:rPr>
              <w:t>0.440</w:t>
            </w:r>
          </w:p>
        </w:tc>
        <w:tc>
          <w:tcPr>
            <w:tcW w:type="dxa" w:w="1560"/>
          </w:tcPr>
          <w:p>
            <w:pPr>
              <w:jc w:val="center"/>
            </w:pPr>
            <w:r/>
            <w:r>
              <w:rPr>
                <w:rFonts w:ascii="Times New Roman" w:hAnsi="Times New Roman"/>
                <w:sz w:val="20"/>
              </w:rPr>
              <w:t>−0.0023</w:t>
            </w:r>
          </w:p>
        </w:tc>
      </w:tr>
      <w:tr>
        <w:tc>
          <w:tcPr>
            <w:tcW w:type="dxa" w:w="1560"/>
          </w:tcPr>
          <w:p>
            <w:pPr>
              <w:jc w:val="center"/>
            </w:pPr>
            <w:r/>
            <w:r>
              <w:rPr>
                <w:rFonts w:ascii="Times New Roman" w:hAnsi="Times New Roman"/>
                <w:sz w:val="20"/>
              </w:rPr>
              <w:t>Keyboard/focus</w:t>
            </w:r>
          </w:p>
        </w:tc>
        <w:tc>
          <w:tcPr>
            <w:tcW w:type="dxa" w:w="1560"/>
          </w:tcPr>
          <w:p>
            <w:pPr>
              <w:jc w:val="center"/>
            </w:pPr>
            <w:r/>
            <w:r>
              <w:rPr>
                <w:rFonts w:ascii="Times New Roman" w:hAnsi="Times New Roman"/>
                <w:sz w:val="20"/>
              </w:rPr>
              <w:t>−0.0005</w:t>
            </w:r>
          </w:p>
        </w:tc>
        <w:tc>
          <w:tcPr>
            <w:tcW w:type="dxa" w:w="1560"/>
          </w:tcPr>
          <w:p>
            <w:pPr>
              <w:jc w:val="center"/>
            </w:pPr>
            <w:r/>
            <w:r>
              <w:rPr>
                <w:rFonts w:ascii="Times New Roman" w:hAnsi="Times New Roman"/>
                <w:sz w:val="20"/>
              </w:rPr>
              <w:t>0.0020</w:t>
            </w:r>
          </w:p>
        </w:tc>
        <w:tc>
          <w:tcPr>
            <w:tcW w:type="dxa" w:w="1560"/>
          </w:tcPr>
          <w:p>
            <w:pPr>
              <w:jc w:val="center"/>
            </w:pPr>
            <w:r/>
            <w:r>
              <w:rPr>
                <w:rFonts w:ascii="Times New Roman" w:hAnsi="Times New Roman"/>
                <w:sz w:val="20"/>
              </w:rPr>
              <w:t>0.815</w:t>
            </w:r>
          </w:p>
        </w:tc>
        <w:tc>
          <w:tcPr>
            <w:tcW w:type="dxa" w:w="1560"/>
          </w:tcPr>
          <w:p>
            <w:pPr>
              <w:jc w:val="center"/>
            </w:pPr>
            <w:r/>
            <w:r>
              <w:rPr>
                <w:rFonts w:ascii="Times New Roman" w:hAnsi="Times New Roman"/>
                <w:sz w:val="20"/>
              </w:rPr>
              <w:t>0.830</w:t>
            </w:r>
          </w:p>
        </w:tc>
        <w:tc>
          <w:tcPr>
            <w:tcW w:type="dxa" w:w="1560"/>
          </w:tcPr>
          <w:p>
            <w:pPr>
              <w:jc w:val="center"/>
            </w:pPr>
            <w:r/>
            <w:r>
              <w:rPr>
                <w:rFonts w:ascii="Times New Roman" w:hAnsi="Times New Roman"/>
                <w:sz w:val="20"/>
              </w:rPr>
              <w:t>+0.0011</w:t>
            </w:r>
          </w:p>
        </w:tc>
      </w:tr>
      <w:tr>
        <w:tc>
          <w:tcPr>
            <w:tcW w:type="dxa" w:w="1560"/>
          </w:tcPr>
          <w:p>
            <w:pPr>
              <w:jc w:val="center"/>
            </w:pPr>
            <w:r/>
            <w:r>
              <w:rPr>
                <w:rFonts w:ascii="Times New Roman" w:hAnsi="Times New Roman"/>
                <w:sz w:val="20"/>
              </w:rPr>
              <w:t>WCAG total density</w:t>
            </w:r>
          </w:p>
        </w:tc>
        <w:tc>
          <w:tcPr>
            <w:tcW w:type="dxa" w:w="1560"/>
          </w:tcPr>
          <w:p>
            <w:pPr>
              <w:jc w:val="center"/>
            </w:pPr>
            <w:r/>
            <w:r>
              <w:rPr>
                <w:rFonts w:ascii="Times New Roman" w:hAnsi="Times New Roman"/>
                <w:sz w:val="20"/>
              </w:rPr>
              <w:t>−0.0005</w:t>
            </w:r>
          </w:p>
        </w:tc>
        <w:tc>
          <w:tcPr>
            <w:tcW w:type="dxa" w:w="1560"/>
          </w:tcPr>
          <w:p>
            <w:pPr>
              <w:jc w:val="center"/>
            </w:pPr>
            <w:r/>
            <w:r>
              <w:rPr>
                <w:rFonts w:ascii="Times New Roman" w:hAnsi="Times New Roman"/>
                <w:sz w:val="20"/>
              </w:rPr>
              <w:t>0.0014</w:t>
            </w:r>
          </w:p>
        </w:tc>
        <w:tc>
          <w:tcPr>
            <w:tcW w:type="dxa" w:w="1560"/>
          </w:tcPr>
          <w:p>
            <w:pPr>
              <w:jc w:val="center"/>
            </w:pPr>
            <w:r/>
            <w:r>
              <w:rPr>
                <w:rFonts w:ascii="Times New Roman" w:hAnsi="Times New Roman"/>
                <w:sz w:val="20"/>
              </w:rPr>
              <w:t>0.698</w:t>
            </w:r>
          </w:p>
        </w:tc>
        <w:tc>
          <w:tcPr>
            <w:tcW w:type="dxa" w:w="1560"/>
          </w:tcPr>
          <w:p>
            <w:pPr>
              <w:jc w:val="center"/>
            </w:pPr>
            <w:r/>
            <w:r>
              <w:rPr>
                <w:rFonts w:ascii="Times New Roman" w:hAnsi="Times New Roman"/>
                <w:sz w:val="20"/>
              </w:rPr>
              <w:t>0.698</w:t>
            </w:r>
          </w:p>
        </w:tc>
        <w:tc>
          <w:tcPr>
            <w:tcW w:type="dxa" w:w="1560"/>
          </w:tcPr>
          <w:p>
            <w:pPr>
              <w:jc w:val="center"/>
            </w:pPr>
            <w:r/>
            <w:r>
              <w:rPr>
                <w:rFonts w:ascii="Times New Roman" w:hAnsi="Times New Roman"/>
                <w:sz w:val="20"/>
              </w:rPr>
              <w:t>−0.0010</w:t>
            </w:r>
          </w:p>
        </w:tc>
      </w:tr>
      <w:tr>
        <w:tc>
          <w:tcPr>
            <w:tcW w:type="dxa" w:w="1560"/>
          </w:tcPr>
          <w:p>
            <w:pPr>
              <w:jc w:val="center"/>
            </w:pPr>
            <w:r/>
            <w:r>
              <w:rPr>
                <w:rFonts w:ascii="Times New Roman" w:hAnsi="Times New Roman"/>
                <w:sz w:val="20"/>
              </w:rPr>
              <w:t>WCAG operable density</w:t>
            </w:r>
          </w:p>
        </w:tc>
        <w:tc>
          <w:tcPr>
            <w:tcW w:type="dxa" w:w="1560"/>
          </w:tcPr>
          <w:p>
            <w:pPr>
              <w:jc w:val="center"/>
            </w:pPr>
            <w:r/>
            <w:r>
              <w:rPr>
                <w:rFonts w:ascii="Times New Roman" w:hAnsi="Times New Roman"/>
                <w:sz w:val="20"/>
              </w:rPr>
              <w:t>−0.0003</w:t>
            </w:r>
          </w:p>
        </w:tc>
        <w:tc>
          <w:tcPr>
            <w:tcW w:type="dxa" w:w="1560"/>
          </w:tcPr>
          <w:p>
            <w:pPr>
              <w:jc w:val="center"/>
            </w:pPr>
            <w:r/>
            <w:r>
              <w:rPr>
                <w:rFonts w:ascii="Times New Roman" w:hAnsi="Times New Roman"/>
                <w:sz w:val="20"/>
              </w:rPr>
              <w:t>0.0011</w:t>
            </w:r>
          </w:p>
        </w:tc>
        <w:tc>
          <w:tcPr>
            <w:tcW w:type="dxa" w:w="1560"/>
          </w:tcPr>
          <w:p>
            <w:pPr>
              <w:jc w:val="center"/>
            </w:pPr>
            <w:r/>
            <w:r>
              <w:rPr>
                <w:rFonts w:ascii="Times New Roman" w:hAnsi="Times New Roman"/>
                <w:sz w:val="20"/>
              </w:rPr>
              <w:t>0.815</w:t>
            </w:r>
          </w:p>
        </w:tc>
        <w:tc>
          <w:tcPr>
            <w:tcW w:type="dxa" w:w="1560"/>
          </w:tcPr>
          <w:p>
            <w:pPr>
              <w:jc w:val="center"/>
            </w:pPr>
            <w:r/>
            <w:r>
              <w:rPr>
                <w:rFonts w:ascii="Times New Roman" w:hAnsi="Times New Roman"/>
                <w:sz w:val="20"/>
              </w:rPr>
              <w:t>0.795</w:t>
            </w:r>
          </w:p>
        </w:tc>
        <w:tc>
          <w:tcPr>
            <w:tcW w:type="dxa" w:w="1560"/>
          </w:tcPr>
          <w:p>
            <w:pPr>
              <w:jc w:val="center"/>
            </w:pPr>
            <w:r/>
            <w:r>
              <w:rPr>
                <w:rFonts w:ascii="Times New Roman" w:hAnsi="Times New Roman"/>
                <w:sz w:val="20"/>
              </w:rPr>
              <w:t>−0.0017</w:t>
            </w:r>
          </w:p>
        </w:tc>
      </w:tr>
      <w:tr>
        <w:tc>
          <w:tcPr>
            <w:tcW w:type="dxa" w:w="1560"/>
          </w:tcPr>
          <w:p>
            <w:pPr>
              <w:jc w:val="center"/>
            </w:pPr>
            <w:r/>
            <w:r>
              <w:rPr>
                <w:rFonts w:ascii="Times New Roman" w:hAnsi="Times New Roman"/>
                <w:sz w:val="20"/>
              </w:rPr>
              <w:t>Severity-weighted</w:t>
            </w:r>
          </w:p>
        </w:tc>
        <w:tc>
          <w:tcPr>
            <w:tcW w:type="dxa" w:w="1560"/>
          </w:tcPr>
          <w:p>
            <w:pPr>
              <w:jc w:val="center"/>
            </w:pPr>
            <w:r/>
            <w:r>
              <w:rPr>
                <w:rFonts w:ascii="Times New Roman" w:hAnsi="Times New Roman"/>
                <w:sz w:val="20"/>
              </w:rPr>
              <w:t>−0.0012</w:t>
            </w:r>
          </w:p>
        </w:tc>
        <w:tc>
          <w:tcPr>
            <w:tcW w:type="dxa" w:w="1560"/>
          </w:tcPr>
          <w:p>
            <w:pPr>
              <w:jc w:val="center"/>
            </w:pPr>
            <w:r/>
            <w:r>
              <w:rPr>
                <w:rFonts w:ascii="Times New Roman" w:hAnsi="Times New Roman"/>
                <w:sz w:val="20"/>
              </w:rPr>
              <w:t>0.0030</w:t>
            </w:r>
          </w:p>
        </w:tc>
        <w:tc>
          <w:tcPr>
            <w:tcW w:type="dxa" w:w="1560"/>
          </w:tcPr>
          <w:p>
            <w:pPr>
              <w:jc w:val="center"/>
            </w:pPr>
            <w:r/>
            <w:r>
              <w:rPr>
                <w:rFonts w:ascii="Times New Roman" w:hAnsi="Times New Roman"/>
                <w:sz w:val="20"/>
              </w:rPr>
              <w:t>0.693</w:t>
            </w:r>
          </w:p>
        </w:tc>
        <w:tc>
          <w:tcPr>
            <w:tcW w:type="dxa" w:w="1560"/>
          </w:tcPr>
          <w:p>
            <w:pPr>
              <w:jc w:val="center"/>
            </w:pPr>
            <w:r/>
            <w:r>
              <w:rPr>
                <w:rFonts w:ascii="Times New Roman" w:hAnsi="Times New Roman"/>
                <w:sz w:val="20"/>
              </w:rPr>
              <w:t>0.725</w:t>
            </w:r>
          </w:p>
        </w:tc>
        <w:tc>
          <w:tcPr>
            <w:tcW w:type="dxa" w:w="1560"/>
          </w:tcPr>
          <w:p>
            <w:pPr>
              <w:jc w:val="center"/>
            </w:pPr>
            <w:r/>
            <w:r>
              <w:rPr>
                <w:rFonts w:ascii="Times New Roman" w:hAnsi="Times New Roman"/>
                <w:sz w:val="20"/>
              </w:rPr>
              <w:t>−0.0005</w:t>
            </w:r>
          </w:p>
        </w:tc>
      </w:tr>
    </w:tbl>
    <w:p/>
    <w:p>
      <w:pPr>
        <w:jc w:val="both"/>
      </w:pPr>
      <w:r>
        <w:rPr>
          <w:rFonts w:ascii="Times New Roman" w:hAnsi="Times New Roman"/>
          <w:sz w:val="22"/>
        </w:rPr>
        <w:t xml:space="preserve">Across all four measured axes, both panels, and both estimators, </w:t>
      </w:r>
      <w:r>
        <w:rPr>
          <w:rFonts w:ascii="Times New Roman" w:hAnsi="Times New Roman"/>
          <w:b/>
          <w:sz w:val="22"/>
        </w:rPr>
        <w:t>no ATT approaches significance</w:t>
      </w:r>
      <w:r>
        <w:rPr>
          <w:rFonts w:ascii="Times New Roman" w:hAnsi="Times New Roman"/>
          <w:sz w:val="22"/>
        </w:rPr>
        <w:t xml:space="preserve"> (every analytic and wild-cluster </w:t>
      </w:r>
      <w:r>
        <w:rPr>
          <w:rFonts w:ascii="Times New Roman" w:hAnsi="Times New Roman"/>
          <w:i/>
          <w:sz w:val="22"/>
        </w:rPr>
        <w:t>p</w:t>
      </w:r>
      <w:r>
        <w:rPr>
          <w:rFonts w:ascii="Times New Roman" w:hAnsi="Times New Roman"/>
          <w:sz w:val="22"/>
        </w:rPr>
        <w:t xml:space="preserve"> &gt; 0.28), and the point estimates are uniformly small and slightly negative — i.e. if anything, adoption is associated with marginally </w:t>
      </w:r>
      <w:r>
        <w:rPr>
          <w:rFonts w:ascii="Times New Roman" w:hAnsi="Times New Roman"/>
          <w:i/>
          <w:sz w:val="22"/>
        </w:rPr>
        <w:t>fewer</w:t>
      </w:r>
      <w:r>
        <w:rPr>
          <w:rFonts w:ascii="Times New Roman" w:hAnsi="Times New Roman"/>
          <w:sz w:val="22"/>
        </w:rPr>
        <w:t xml:space="preserve"> accessibility issues, though never significantly. The wild-cluster </w:t>
      </w:r>
      <w:r>
        <w:rPr>
          <w:rFonts w:ascii="Times New Roman" w:hAnsi="Times New Roman"/>
          <w:i/>
          <w:sz w:val="22"/>
        </w:rPr>
        <w:t>p</w:t>
      </w:r>
      <w:r>
        <w:rPr>
          <w:rFonts w:ascii="Times New Roman" w:hAnsi="Times New Roman"/>
          <w:sz w:val="22"/>
        </w:rPr>
        <w:t>-values track the analytic values throughout, confirming the null is not an artifact of small-cluster asymptotics. The fifth candidate axis, ARIA correctness, is omitted from the tables because the static analyzer finds essentially no ARIA-role violations in this corpus (mean score 0.9997, near-zero variance); we report it as "no detectable ARIA-role variation" rather than fit a degenerate model. Figure 7 plots the per-axis ATTs (as % of baseline) with 95% CIs for both panels.</w:t>
      </w:r>
    </w:p>
    <w:p>
      <w:pPr>
        <w:jc w:val="center"/>
      </w:pPr>
      <w:r>
        <w:drawing>
          <wp:inline xmlns:a="http://schemas.openxmlformats.org/drawingml/2006/main" xmlns:pic="http://schemas.openxmlformats.org/drawingml/2006/picture">
            <wp:extent cx="4754880" cy="2905760"/>
            <wp:docPr id="1" name="Picture 1"/>
            <wp:cNvGraphicFramePr>
              <a:graphicFrameLocks noChangeAspect="1"/>
            </wp:cNvGraphicFramePr>
            <a:graphic>
              <a:graphicData uri="http://schemas.openxmlformats.org/drawingml/2006/picture">
                <pic:pic>
                  <pic:nvPicPr>
                    <pic:cNvPr id="0" name="fig8_axes_forest.png"/>
                    <pic:cNvPicPr/>
                  </pic:nvPicPr>
                  <pic:blipFill>
                    <a:blip r:embed="rId10"/>
                    <a:stretch>
                      <a:fillRect/>
                    </a:stretch>
                  </pic:blipFill>
                  <pic:spPr>
                    <a:xfrm>
                      <a:off x="0" y="0"/>
                      <a:ext cx="4754880" cy="2905760"/>
                    </a:xfrm>
                    <a:prstGeom prst="rect"/>
                  </pic:spPr>
                </pic:pic>
              </a:graphicData>
            </a:graphic>
          </wp:inline>
        </w:drawing>
      </w:r>
    </w:p>
    <w:p>
      <w:pPr>
        <w:jc w:val="center"/>
      </w:pPr>
      <w:r>
        <w:rPr>
          <w:rFonts w:ascii="Times New Roman" w:hAnsi="Times New Roman"/>
          <w:i/>
          <w:color w:val="555555"/>
          <w:sz w:val="19"/>
        </w:rPr>
        <w:t>Figure 7. Per-axis ATTs as a percentage of pre-treatment baseline, matched (181-repo) and full (446-repo) panels, with 95% CIs. All intervals span zero; the semantic-HTML and keyboard axes fall inside the ±5% equivalence band (shaded).</w:t>
      </w:r>
    </w:p>
    <w:p>
      <w:pPr>
        <w:jc w:val="both"/>
      </w:pPr>
      <w:r>
        <w:rPr>
          <w:rFonts w:ascii="Times New Roman" w:hAnsi="Times New Roman"/>
          <w:b/>
          <w:sz w:val="22"/>
        </w:rPr>
        <w:t>Control-arm validity.</w:t>
      </w:r>
      <w:r>
        <w:rPr>
          <w:rFonts w:ascii="Times New Roman" w:hAnsi="Times New Roman"/>
          <w:sz w:val="22"/>
        </w:rPr>
        <w:t xml:space="preserve"> A standing concern in any DiD is that the control arm behaves differently from treated for reasons unrelated to treatment. Treated and control repositories in the matched panel show comparable post-period coverage — a mean of 22.8 observed post-period repo-months for treated versus 20.2 for control (medians 23 and 21.5) — so the control group is not systematically less-active or under-observed and functions as a clean counterfactual.</w:t>
      </w:r>
    </w:p>
    <w:p>
      <w:pPr>
        <w:jc w:val="both"/>
      </w:pPr>
      <w:r>
        <w:rPr>
          <w:rFonts w:ascii="Times New Roman" w:hAnsi="Times New Roman"/>
          <w:b/>
          <w:sz w:val="22"/>
        </w:rPr>
        <w:t>Equivalence: how small an effect can we exclude?</w:t>
      </w:r>
      <w:r>
        <w:rPr>
          <w:rFonts w:ascii="Times New Roman" w:hAnsi="Times New Roman"/>
          <w:sz w:val="22"/>
        </w:rPr>
        <w:t xml:space="preserve"> A null is only as informative as the effect sizes it rules out, so we restate it as a </w:t>
      </w:r>
      <w:r>
        <w:rPr>
          <w:rFonts w:ascii="Times New Roman" w:hAnsi="Times New Roman"/>
          <w:i/>
          <w:sz w:val="22"/>
        </w:rPr>
        <w:t>positive</w:t>
      </w:r>
      <w:r>
        <w:rPr>
          <w:rFonts w:ascii="Times New Roman" w:hAnsi="Times New Roman"/>
          <w:sz w:val="22"/>
        </w:rPr>
        <w:t xml:space="preserve"> equivalence claim via two one-sided tests (TOST) against a smallest-effect-of-interest (SESOI) expressed as a percentage of each axis's pre-treatment treated baseline. Table 4b reports, per axis, the tightest bound at which equivalence is certified (</w:t>
      </w:r>
      <w:r>
        <w:rPr>
          <w:rFonts w:ascii="Times New Roman" w:hAnsi="Times New Roman"/>
          <w:i/>
          <w:sz w:val="22"/>
        </w:rPr>
        <w:t>p</w:t>
      </w:r>
      <w:r>
        <w:rPr>
          <w:rFonts w:ascii="Times New Roman" w:hAnsi="Times New Roman"/>
          <w:sz w:val="22"/>
        </w:rPr>
        <w:t>~TOST~ &lt; 0.05).</w:t>
      </w:r>
    </w:p>
    <w:p>
      <w:pPr>
        <w:jc w:val="center"/>
      </w:pPr>
      <w:r>
        <w:rPr>
          <w:rFonts w:ascii="Times New Roman" w:hAnsi="Times New Roman"/>
          <w:b/>
          <w:sz w:val="20"/>
        </w:rPr>
        <w:t>Table 4b. Equivalence (TOST) — tightest certifiable bound, as % of pre-treatment baseline.</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3120"/>
        <w:gridCol w:w="3120"/>
        <w:gridCol w:w="3120"/>
      </w:tblGrid>
      <w:tr>
        <w:trPr>
          <w:tblHeader w:val="true"/>
        </w:trPr>
        <w:tc>
          <w:tcPr>
            <w:tcW w:type="dxa" w:w="3120"/>
          </w:tcPr>
          <w:p>
            <w:pPr>
              <w:jc w:val="center"/>
            </w:pPr>
            <w:r>
              <w:rPr>
                <w:b/>
              </w:rPr>
            </w:r>
            <w:r>
              <w:rPr>
                <w:rFonts w:ascii="Times New Roman" w:hAnsi="Times New Roman"/>
                <w:b/>
                <w:sz w:val="20"/>
              </w:rPr>
              <w:t>Axis</w:t>
            </w:r>
          </w:p>
        </w:tc>
        <w:tc>
          <w:tcPr>
            <w:tcW w:type="dxa" w:w="3120"/>
          </w:tcPr>
          <w:p>
            <w:pPr>
              <w:jc w:val="center"/>
            </w:pPr>
            <w:r>
              <w:rPr>
                <w:b/>
              </w:rPr>
            </w:r>
            <w:r>
              <w:rPr>
                <w:rFonts w:ascii="Times New Roman" w:hAnsi="Times New Roman"/>
                <w:b/>
                <w:sz w:val="20"/>
              </w:rPr>
              <w:t>Matched panel</w:t>
            </w:r>
          </w:p>
        </w:tc>
        <w:tc>
          <w:tcPr>
            <w:tcW w:type="dxa" w:w="3120"/>
          </w:tcPr>
          <w:p>
            <w:pPr>
              <w:jc w:val="center"/>
            </w:pPr>
            <w:r>
              <w:rPr>
                <w:b/>
              </w:rPr>
            </w:r>
            <w:r>
              <w:rPr>
                <w:rFonts w:ascii="Times New Roman" w:hAnsi="Times New Roman"/>
                <w:b/>
                <w:sz w:val="20"/>
              </w:rPr>
              <w:t>Full panel</w:t>
            </w:r>
          </w:p>
        </w:tc>
      </w:tr>
      <w:tr>
        <w:tc>
          <w:tcPr>
            <w:tcW w:type="dxa" w:w="3120"/>
          </w:tcPr>
          <w:p>
            <w:pPr>
              <w:jc w:val="center"/>
            </w:pPr>
            <w:r/>
            <w:r>
              <w:rPr>
                <w:rFonts w:ascii="Times New Roman" w:hAnsi="Times New Roman"/>
                <w:sz w:val="20"/>
              </w:rPr>
              <w:t>Semantic HTML</w:t>
            </w:r>
          </w:p>
        </w:tc>
        <w:tc>
          <w:tcPr>
            <w:tcW w:type="dxa" w:w="3120"/>
          </w:tcPr>
          <w:p>
            <w:pPr>
              <w:jc w:val="center"/>
            </w:pPr>
            <w:r/>
            <w:r>
              <w:rPr>
                <w:rFonts w:ascii="Times New Roman" w:hAnsi="Times New Roman"/>
                <w:sz w:val="20"/>
              </w:rPr>
              <w:t>±5%</w:t>
            </w:r>
          </w:p>
        </w:tc>
        <w:tc>
          <w:tcPr>
            <w:tcW w:type="dxa" w:w="3120"/>
          </w:tcPr>
          <w:p>
            <w:pPr>
              <w:jc w:val="center"/>
            </w:pPr>
            <w:r/>
            <w:r>
              <w:rPr>
                <w:rFonts w:ascii="Times New Roman" w:hAnsi="Times New Roman"/>
                <w:sz w:val="20"/>
              </w:rPr>
              <w:t>±5%</w:t>
            </w:r>
          </w:p>
        </w:tc>
      </w:tr>
      <w:tr>
        <w:tc>
          <w:tcPr>
            <w:tcW w:type="dxa" w:w="3120"/>
          </w:tcPr>
          <w:p>
            <w:pPr>
              <w:jc w:val="center"/>
            </w:pPr>
            <w:r/>
            <w:r>
              <w:rPr>
                <w:rFonts w:ascii="Times New Roman" w:hAnsi="Times New Roman"/>
                <w:sz w:val="20"/>
              </w:rPr>
              <w:t>Keyboard/focus</w:t>
            </w:r>
          </w:p>
        </w:tc>
        <w:tc>
          <w:tcPr>
            <w:tcW w:type="dxa" w:w="3120"/>
          </w:tcPr>
          <w:p>
            <w:pPr>
              <w:jc w:val="center"/>
            </w:pPr>
            <w:r/>
            <w:r>
              <w:rPr>
                <w:rFonts w:ascii="Times New Roman" w:hAnsi="Times New Roman"/>
                <w:sz w:val="20"/>
              </w:rPr>
              <w:t>±5%</w:t>
            </w:r>
          </w:p>
        </w:tc>
        <w:tc>
          <w:tcPr>
            <w:tcW w:type="dxa" w:w="3120"/>
          </w:tcPr>
          <w:p>
            <w:pPr>
              <w:jc w:val="center"/>
            </w:pPr>
            <w:r/>
            <w:r>
              <w:rPr>
                <w:rFonts w:ascii="Times New Roman" w:hAnsi="Times New Roman"/>
                <w:sz w:val="20"/>
              </w:rPr>
              <w:t>±5%</w:t>
            </w:r>
          </w:p>
        </w:tc>
      </w:tr>
      <w:tr>
        <w:tc>
          <w:tcPr>
            <w:tcW w:type="dxa" w:w="3120"/>
          </w:tcPr>
          <w:p>
            <w:pPr>
              <w:jc w:val="center"/>
            </w:pPr>
            <w:r/>
            <w:r>
              <w:rPr>
                <w:rFonts w:ascii="Times New Roman" w:hAnsi="Times New Roman"/>
                <w:sz w:val="20"/>
              </w:rPr>
              <w:t>WCAG total density</w:t>
            </w:r>
          </w:p>
        </w:tc>
        <w:tc>
          <w:tcPr>
            <w:tcW w:type="dxa" w:w="3120"/>
          </w:tcPr>
          <w:p>
            <w:pPr>
              <w:jc w:val="center"/>
            </w:pPr>
            <w:r/>
            <w:r>
              <w:rPr>
                <w:rFonts w:ascii="Times New Roman" w:hAnsi="Times New Roman"/>
                <w:sz w:val="20"/>
              </w:rPr>
              <w:t>±20%</w:t>
            </w:r>
          </w:p>
        </w:tc>
        <w:tc>
          <w:tcPr>
            <w:tcW w:type="dxa" w:w="3120"/>
          </w:tcPr>
          <w:p>
            <w:pPr>
              <w:jc w:val="center"/>
            </w:pPr>
            <w:r/>
            <w:r>
              <w:rPr>
                <w:rFonts w:ascii="Times New Roman" w:hAnsi="Times New Roman"/>
                <w:sz w:val="20"/>
              </w:rPr>
              <w:t>±15%</w:t>
            </w:r>
          </w:p>
        </w:tc>
      </w:tr>
      <w:tr>
        <w:tc>
          <w:tcPr>
            <w:tcW w:type="dxa" w:w="3120"/>
          </w:tcPr>
          <w:p>
            <w:pPr>
              <w:jc w:val="center"/>
            </w:pPr>
            <w:r/>
            <w:r>
              <w:rPr>
                <w:rFonts w:ascii="Times New Roman" w:hAnsi="Times New Roman"/>
                <w:sz w:val="20"/>
              </w:rPr>
              <w:t>WCAG operable density</w:t>
            </w:r>
          </w:p>
        </w:tc>
        <w:tc>
          <w:tcPr>
            <w:tcW w:type="dxa" w:w="3120"/>
          </w:tcPr>
          <w:p>
            <w:pPr>
              <w:jc w:val="center"/>
            </w:pPr>
            <w:r/>
            <w:r>
              <w:rPr>
                <w:rFonts w:ascii="Times New Roman" w:hAnsi="Times New Roman"/>
                <w:sz w:val="20"/>
              </w:rPr>
              <w:t>±30%</w:t>
            </w:r>
          </w:p>
        </w:tc>
        <w:tc>
          <w:tcPr>
            <w:tcW w:type="dxa" w:w="3120"/>
          </w:tcPr>
          <w:p>
            <w:pPr>
              <w:jc w:val="center"/>
            </w:pPr>
            <w:r/>
            <w:r>
              <w:rPr>
                <w:rFonts w:ascii="Times New Roman" w:hAnsi="Times New Roman"/>
                <w:sz w:val="20"/>
              </w:rPr>
              <w:t>±20%</w:t>
            </w:r>
          </w:p>
        </w:tc>
      </w:tr>
      <w:tr>
        <w:tc>
          <w:tcPr>
            <w:tcW w:type="dxa" w:w="3120"/>
          </w:tcPr>
          <w:p>
            <w:pPr>
              <w:jc w:val="center"/>
            </w:pPr>
            <w:r/>
            <w:r>
              <w:rPr>
                <w:rFonts w:ascii="Times New Roman" w:hAnsi="Times New Roman"/>
                <w:sz w:val="20"/>
              </w:rPr>
              <w:t>Severity-weighted</w:t>
            </w:r>
          </w:p>
        </w:tc>
        <w:tc>
          <w:tcPr>
            <w:tcW w:type="dxa" w:w="3120"/>
          </w:tcPr>
          <w:p>
            <w:pPr>
              <w:jc w:val="center"/>
            </w:pPr>
            <w:r/>
            <w:r>
              <w:rPr>
                <w:rFonts w:ascii="Times New Roman" w:hAnsi="Times New Roman"/>
                <w:sz w:val="20"/>
              </w:rPr>
              <w:t>±15%</w:t>
            </w:r>
          </w:p>
        </w:tc>
        <w:tc>
          <w:tcPr>
            <w:tcW w:type="dxa" w:w="3120"/>
          </w:tcPr>
          <w:p>
            <w:pPr>
              <w:jc w:val="center"/>
            </w:pPr>
            <w:r/>
            <w:r>
              <w:rPr>
                <w:rFonts w:ascii="Times New Roman" w:hAnsi="Times New Roman"/>
                <w:sz w:val="20"/>
              </w:rPr>
              <w:t>±10%</w:t>
            </w:r>
          </w:p>
        </w:tc>
      </w:tr>
    </w:tbl>
    <w:p/>
    <w:p>
      <w:pPr>
        <w:jc w:val="both"/>
      </w:pPr>
      <w:r>
        <w:rPr>
          <w:rFonts w:ascii="Times New Roman" w:hAnsi="Times New Roman"/>
          <w:sz w:val="22"/>
        </w:rPr>
        <w:t xml:space="preserve">This is the payoff of scale. On the two dense, high-baseline score axes (semantic HTML and keyboard/focus), we </w:t>
      </w:r>
      <w:r>
        <w:rPr>
          <w:rFonts w:ascii="Times New Roman" w:hAnsi="Times New Roman"/>
          <w:b/>
          <w:sz w:val="22"/>
        </w:rPr>
        <w:t>statistically exclude any effect larger than ±5% of baseline</w:t>
      </w:r>
      <w:r>
        <w:rPr>
          <w:rFonts w:ascii="Times New Roman" w:hAnsi="Times New Roman"/>
          <w:sz w:val="22"/>
        </w:rPr>
        <w:t xml:space="preserve"> — an order of magnitude tighter than a small panel can support. The violation-density axes certify only at ±10–30%, and it is worth being precise about </w:t>
      </w:r>
      <w:r>
        <w:rPr>
          <w:rFonts w:ascii="Times New Roman" w:hAnsi="Times New Roman"/>
          <w:i/>
          <w:sz w:val="22"/>
        </w:rPr>
        <w:t>why</w:t>
      </w:r>
      <w:r>
        <w:rPr>
          <w:rFonts w:ascii="Times New Roman" w:hAnsi="Times New Roman"/>
          <w:sz w:val="22"/>
        </w:rPr>
        <w:t xml:space="preserve">, because the reason is not insufficient data. The equivalence bound is the confidence half-width expressed as a fraction of the pre-treatment baseline. The two score axes sit near 0.95, so their (already small) absolute half-widths are a tiny percentage of baseline. The density axes are </w:t>
      </w:r>
      <w:r>
        <w:rPr>
          <w:rFonts w:ascii="Times New Roman" w:hAnsi="Times New Roman"/>
          <w:b/>
          <w:sz w:val="22"/>
        </w:rPr>
        <w:t>rare-event, zero-inflated counts</w:t>
      </w:r>
      <w:r>
        <w:rPr>
          <w:rFonts w:ascii="Times New Roman" w:hAnsi="Times New Roman"/>
          <w:sz w:val="22"/>
        </w:rPr>
        <w:t xml:space="preserve"> whose baseline means are near zero (e.g. WCAG-operable density ≈ 0.018; most components carry no violations at all): their </w:t>
      </w:r>
      <w:r>
        <w:rPr>
          <w:rFonts w:ascii="Times New Roman" w:hAnsi="Times New Roman"/>
          <w:i/>
          <w:sz w:val="22"/>
        </w:rPr>
        <w:t>absolute</w:t>
      </w:r>
      <w:r>
        <w:rPr>
          <w:rFonts w:ascii="Times New Roman" w:hAnsi="Times New Roman"/>
          <w:sz w:val="22"/>
        </w:rPr>
        <w:t xml:space="preserve"> confidence half-widths are comparable to — in fact smaller than — those of the score axes, but dividing by a near-zero baseline inflates the </w:t>
      </w:r>
      <w:r>
        <w:rPr>
          <w:rFonts w:ascii="Times New Roman" w:hAnsi="Times New Roman"/>
          <w:i/>
          <w:sz w:val="22"/>
        </w:rPr>
        <w:t>percentage</w:t>
      </w:r>
      <w:r>
        <w:rPr>
          <w:rFonts w:ascii="Times New Roman" w:hAnsi="Times New Roman"/>
          <w:sz w:val="22"/>
        </w:rPr>
        <w:t xml:space="preserve"> bound to ±10–30%. The looseness is therefore a property of the phenomenon (violations are rare, so there is little baseline to express an effect as a fraction of), not of statistical power. More repositories would help only at the usual sqrtN rate and would not change the underlying sparsity; the cleaner lever, pursued in the per-commit follow-up of Section 7.3, is finer temporal resolution that captures the within-month introduce-and-fix events the monthly snapshot averages away. In plain terms: AI-tool adoption produces no large regression on any axis, and not even a </w:t>
      </w:r>
      <w:r>
        <w:rPr>
          <w:rFonts w:ascii="Times New Roman" w:hAnsi="Times New Roman"/>
          <w:i/>
          <w:sz w:val="22"/>
        </w:rPr>
        <w:t>modest</w:t>
      </w:r>
      <w:r>
        <w:rPr>
          <w:rFonts w:ascii="Times New Roman" w:hAnsi="Times New Roman"/>
          <w:sz w:val="22"/>
        </w:rPr>
        <w:t xml:space="preserve"> one along the dimensions where most components carry signal; on the rare-violation axes we can rule out large effects but not small ones, by the arithmetic of a near-zero baseline.</w:t>
      </w:r>
    </w:p>
    <w:p>
      <w:pPr>
        <w:jc w:val="both"/>
      </w:pPr>
      <w:r>
        <w:rPr>
          <w:rFonts w:ascii="Times New Roman" w:hAnsi="Times New Roman"/>
          <w:b/>
          <w:sz w:val="22"/>
        </w:rPr>
        <w:t>A note on what underpins this result.</w:t>
      </w:r>
      <w:r>
        <w:rPr>
          <w:rFonts w:ascii="Times New Roman" w:hAnsi="Times New Roman"/>
          <w:sz w:val="22"/>
        </w:rPr>
        <w:t xml:space="preserve"> Because a DiD estimate is a difference of trends, it is sensitive to control-arm movement. On the enriched panel the arms start comparable on every axis (Appendix A) and show comparable post-period maintenance activity (§8.1), and the heterogeneity-robust estimators (Table 4a) — which difference treated changes against never-treated controls — agree with TWFE throughout, so the null does not rest on a treated–control cancellation. Where both arms drift together (e.g. the upper-tail decline of §6) the treated-vs-control contrast nets that shared movement out.</w:t>
      </w:r>
    </w:p>
    <w:p>
      <w:pPr>
        <w:spacing w:before="160" w:after="80"/>
      </w:pPr>
      <w:r>
        <w:rPr>
          <w:rFonts w:ascii="Times New Roman" w:hAnsi="Times New Roman"/>
          <w:b/>
          <w:color w:val="000000"/>
          <w:sz w:val="23"/>
        </w:rPr>
        <w:t>4.3 Parallel-Trends Test</w:t>
      </w:r>
    </w:p>
    <w:p>
      <w:pPr>
        <w:jc w:val="both"/>
      </w:pPr>
      <w:r>
        <w:rPr>
          <w:rFonts w:ascii="Times New Roman" w:hAnsi="Times New Roman"/>
          <w:sz w:val="22"/>
        </w:rPr>
        <w:t xml:space="preserve">On the enriched matched panel, the joint F-test on pre-treatment event-study coefficients at k = -6, -3, -2 (semantic-HTML axis) yields </w:t>
      </w:r>
      <w:r>
        <w:rPr>
          <w:rFonts w:ascii="Times New Roman" w:hAnsi="Times New Roman"/>
          <w:b/>
          <w:sz w:val="22"/>
        </w:rPr>
        <w:t>F = 0.46 (3 df, p ≈ 0.71)</w:t>
      </w:r>
      <w:r>
        <w:rPr>
          <w:rFonts w:ascii="Times New Roman" w:hAnsi="Times New Roman"/>
          <w:sz w:val="22"/>
        </w:rPr>
        <w:t xml:space="preserve"> — no evidence against parallel trends, and a cleaner pre-period than the original small-panel study afforded. Figure 1 shows the pre-treatment βₖ scattering tightly around zero with every 95% CI spanning it and no trend toward the treatment date. The larger, propensity-matched panel removes the small positive pre-period offset that the original study had to caveat: here the pre-trend is clean on its own terms.</w:t>
      </w:r>
    </w:p>
    <w:p>
      <w:pPr>
        <w:jc w:val="center"/>
      </w:pPr>
      <w:r>
        <w:drawing>
          <wp:inline xmlns:a="http://schemas.openxmlformats.org/drawingml/2006/main" xmlns:pic="http://schemas.openxmlformats.org/drawingml/2006/picture">
            <wp:extent cx="4754880" cy="2717074"/>
            <wp:docPr id="2" name="Picture 2"/>
            <wp:cNvGraphicFramePr>
              <a:graphicFrameLocks noChangeAspect="1"/>
            </wp:cNvGraphicFramePr>
            <a:graphic>
              <a:graphicData uri="http://schemas.openxmlformats.org/drawingml/2006/picture">
                <pic:pic>
                  <pic:nvPicPr>
                    <pic:cNvPr id="0" name="fig1_parallel_trends.png"/>
                    <pic:cNvPicPr/>
                  </pic:nvPicPr>
                  <pic:blipFill>
                    <a:blip r:embed="rId11"/>
                    <a:stretch>
                      <a:fillRect/>
                    </a:stretch>
                  </pic:blipFill>
                  <pic:spPr>
                    <a:xfrm>
                      <a:off x="0" y="0"/>
                      <a:ext cx="4754880" cy="2717074"/>
                    </a:xfrm>
                    <a:prstGeom prst="rect"/>
                  </pic:spPr>
                </pic:pic>
              </a:graphicData>
            </a:graphic>
          </wp:inline>
        </w:drawing>
      </w:r>
    </w:p>
    <w:p>
      <w:pPr>
        <w:jc w:val="center"/>
      </w:pPr>
      <w:r>
        <w:rPr>
          <w:rFonts w:ascii="Times New Roman" w:hAnsi="Times New Roman"/>
          <w:i/>
          <w:color w:val="555555"/>
          <w:sz w:val="19"/>
        </w:rPr>
        <w:t>Figure 1. Pre-trend event study (enriched matched panel, semantic-HTML axis): pre-treatment event-study coefficients βₖ scatter around zero with all 95% CIs spanning zero; joint F-test on k=-6,-3,-2 does not reject parallel trends (F = 0.46, 3 df, p ≈ 0.71).</w:t>
      </w:r>
    </w:p>
    <w:p>
      <w:pPr>
        <w:spacing w:before="160" w:after="80"/>
      </w:pPr>
      <w:r>
        <w:rPr>
          <w:rFonts w:ascii="Times New Roman" w:hAnsi="Times New Roman"/>
          <w:b/>
          <w:color w:val="000000"/>
          <w:sz w:val="23"/>
        </w:rPr>
        <w:t>4.4 Dynamic DiD Over Time (RQ4)</w:t>
      </w:r>
    </w:p>
    <w:p>
      <w:pPr>
        <w:jc w:val="both"/>
      </w:pPr>
      <w:r>
        <w:rPr>
          <w:rFonts w:ascii="Times New Roman" w:hAnsi="Times New Roman"/>
          <w:sz w:val="22"/>
        </w:rPr>
        <w:t xml:space="preserve">The full event study (k ∈ [-12, +12], semantic-HTML axis, Figure 2) shows no treatment-induced accumulation: the coefficients stay near zero throughout the post-period, with a slight downward drift to β₊₁₂ ≈ -0.010 (i.e. if anything marginally </w:t>
      </w:r>
      <w:r>
        <w:rPr>
          <w:rFonts w:ascii="Times New Roman" w:hAnsi="Times New Roman"/>
          <w:i/>
          <w:sz w:val="22"/>
        </w:rPr>
        <w:t>fewer</w:t>
      </w:r>
      <w:r>
        <w:rPr>
          <w:rFonts w:ascii="Times New Roman" w:hAnsi="Times New Roman"/>
          <w:sz w:val="22"/>
        </w:rPr>
        <w:t xml:space="preserve"> semantic issues) that no individual bin renders significant. The other axes behave identically. There is no evidence of accessibility debt accumulating over the twelve post-treatment months.</w:t>
      </w:r>
    </w:p>
    <w:p>
      <w:pPr>
        <w:jc w:val="center"/>
      </w:pPr>
      <w:r>
        <w:drawing>
          <wp:inline xmlns:a="http://schemas.openxmlformats.org/drawingml/2006/main" xmlns:pic="http://schemas.openxmlformats.org/drawingml/2006/picture">
            <wp:extent cx="4754880" cy="2535936"/>
            <wp:docPr id="3" name="Picture 3"/>
            <wp:cNvGraphicFramePr>
              <a:graphicFrameLocks noChangeAspect="1"/>
            </wp:cNvGraphicFramePr>
            <a:graphic>
              <a:graphicData uri="http://schemas.openxmlformats.org/drawingml/2006/picture">
                <pic:pic>
                  <pic:nvPicPr>
                    <pic:cNvPr id="0" name="fig2_dynamic_did.png"/>
                    <pic:cNvPicPr/>
                  </pic:nvPicPr>
                  <pic:blipFill>
                    <a:blip r:embed="rId12"/>
                    <a:stretch>
                      <a:fillRect/>
                    </a:stretch>
                  </pic:blipFill>
                  <pic:spPr>
                    <a:xfrm>
                      <a:off x="0" y="0"/>
                      <a:ext cx="4754880" cy="2535936"/>
                    </a:xfrm>
                    <a:prstGeom prst="rect"/>
                  </pic:spPr>
                </pic:pic>
              </a:graphicData>
            </a:graphic>
          </wp:inline>
        </w:drawing>
      </w:r>
    </w:p>
    <w:p>
      <w:pPr>
        <w:jc w:val="center"/>
      </w:pPr>
      <w:r>
        <w:rPr>
          <w:rFonts w:ascii="Times New Roman" w:hAnsi="Times New Roman"/>
          <w:i/>
          <w:color w:val="555555"/>
          <w:sz w:val="19"/>
        </w:rPr>
        <w:t>Figure 2. Dynamic DiD event study, enriched matched panel (semantic-HTML axis), k ∈ [-12, +12] months relative to adoption; all coefficients near zero, none individually significant.</w:t>
      </w:r>
    </w:p>
    <w:p>
      <w:pPr>
        <w:spacing w:before="160" w:after="80"/>
      </w:pPr>
      <w:r>
        <w:rPr>
          <w:rFonts w:ascii="Times New Roman" w:hAnsi="Times New Roman"/>
          <w:b/>
          <w:color w:val="000000"/>
          <w:sz w:val="23"/>
        </w:rPr>
        <w:t>4.5 Multiplicity Across the Measured Axes</w:t>
      </w:r>
    </w:p>
    <w:p>
      <w:pPr>
        <w:jc w:val="both"/>
      </w:pPr>
      <w:r>
        <w:rPr>
          <w:rFonts w:ascii="Times New Roman" w:hAnsi="Times New Roman"/>
          <w:sz w:val="22"/>
        </w:rPr>
        <w:t xml:space="preserve">We apply a Benjamini–Hochberg correction across the family of axis-level TWFE </w:t>
      </w:r>
      <w:r>
        <w:rPr>
          <w:rFonts w:ascii="Times New Roman" w:hAnsi="Times New Roman"/>
          <w:i/>
          <w:sz w:val="22"/>
        </w:rPr>
        <w:t>p</w:t>
      </w:r>
      <w:r>
        <w:rPr>
          <w:rFonts w:ascii="Times New Roman" w:hAnsi="Times New Roman"/>
          <w:sz w:val="22"/>
        </w:rPr>
        <w:t xml:space="preserve">-values (matched panel; the WCAG-density axis enters as both its total and operable forms, giving five tested </w:t>
      </w:r>
      <w:r>
        <w:rPr>
          <w:rFonts w:ascii="Times New Roman" w:hAnsi="Times New Roman"/>
          <w:i/>
          <w:sz w:val="22"/>
        </w:rPr>
        <w:t>p</w:t>
      </w:r>
      <w:r>
        <w:rPr>
          <w:rFonts w:ascii="Times New Roman" w:hAnsi="Times New Roman"/>
          <w:sz w:val="22"/>
        </w:rPr>
        <w:t xml:space="preserve">-values). The smallest raw </w:t>
      </w:r>
      <w:r>
        <w:rPr>
          <w:rFonts w:ascii="Times New Roman" w:hAnsi="Times New Roman"/>
          <w:i/>
          <w:sz w:val="22"/>
        </w:rPr>
        <w:t>p</w:t>
      </w:r>
      <w:r>
        <w:rPr>
          <w:rFonts w:ascii="Times New Roman" w:hAnsi="Times New Roman"/>
          <w:sz w:val="22"/>
        </w:rPr>
        <w:t xml:space="preserve"> is 0.285 (semantic HTML); every BH-adjusted </w:t>
      </w:r>
      <w:r>
        <w:rPr>
          <w:rFonts w:ascii="Times New Roman" w:hAnsi="Times New Roman"/>
          <w:i/>
          <w:sz w:val="22"/>
        </w:rPr>
        <w:t>q</w:t>
      </w:r>
      <w:r>
        <w:rPr>
          <w:rFonts w:ascii="Times New Roman" w:hAnsi="Times New Roman"/>
          <w:sz w:val="22"/>
        </w:rPr>
        <w:t xml:space="preserve"> equals </w:t>
      </w:r>
      <w:r>
        <w:rPr>
          <w:rFonts w:ascii="Times New Roman" w:hAnsi="Times New Roman"/>
          <w:b/>
          <w:sz w:val="22"/>
        </w:rPr>
        <w:t>0.658</w:t>
      </w:r>
      <w:r>
        <w:rPr>
          <w:rFonts w:ascii="Times New Roman" w:hAnsi="Times New Roman"/>
          <w:sz w:val="22"/>
        </w:rPr>
        <w:t>, so no axis is remotely close to the corrected bar. Multiplicity here only reinforces the null — adding axes to a family of uniformly null results cannot manufacture a rejection — so "no corrected-significant effect on any accessibility axis" is robust to the number of axes examined. The WCAG-category split (perceivable / operable / understandable / robust) functions as the heterogeneity analysis: no principle shows an effect, and the operable axis (which subsumes keyboard and structure) is the one a future study should keep watching, as it carries the most violation mass.</w:t>
      </w:r>
    </w:p>
    <w:p>
      <w:pPr>
        <w:jc w:val="center"/>
      </w:pPr>
      <w:r>
        <w:rPr>
          <w:rFonts w:ascii="Times New Roman" w:hAnsi="Times New Roman"/>
          <w:b/>
          <w:sz w:val="20"/>
        </w:rPr>
        <w:t>Table 5. Benjamini–Hochberg multiplicity correction across the measured accessibility axes</w:t>
      </w:r>
      <w:r>
        <w:rPr>
          <w:rFonts w:ascii="Times New Roman" w:hAnsi="Times New Roman"/>
          <w:sz w:val="20"/>
        </w:rPr>
        <w:t xml:space="preserve"> (matched panel, TWFE </w:t>
      </w:r>
      <w:r>
        <w:rPr>
          <w:rFonts w:ascii="Times New Roman" w:hAnsi="Times New Roman"/>
          <w:i/>
          <w:sz w:val="20"/>
        </w:rPr>
        <w:t>p</w:t>
      </w:r>
      <w:r>
        <w:rPr>
          <w:rFonts w:ascii="Times New Roman" w:hAnsi="Times New Roman"/>
          <w:sz w:val="20"/>
        </w:rPr>
        <w:t xml:space="preserve">; the WCAG-density axis is shown as both its total and its operable sub-axis, giving five tested </w:t>
      </w:r>
      <w:r>
        <w:rPr>
          <w:rFonts w:ascii="Times New Roman" w:hAnsi="Times New Roman"/>
          <w:i/>
          <w:sz w:val="20"/>
        </w:rPr>
        <w:t>p</w:t>
      </w:r>
      <w:r>
        <w:rPr>
          <w:rFonts w:ascii="Times New Roman" w:hAnsi="Times New Roman"/>
          <w:sz w:val="20"/>
        </w:rPr>
        <w:t>-values).</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2340"/>
        <w:gridCol w:w="2340"/>
        <w:gridCol w:w="2340"/>
        <w:gridCol w:w="2340"/>
      </w:tblGrid>
      <w:tr>
        <w:trPr>
          <w:tblHeader w:val="true"/>
        </w:trPr>
        <w:tc>
          <w:tcPr>
            <w:tcW w:type="dxa" w:w="2340"/>
          </w:tcPr>
          <w:p>
            <w:pPr>
              <w:jc w:val="center"/>
            </w:pPr>
            <w:r>
              <w:rPr>
                <w:b/>
              </w:rPr>
            </w:r>
            <w:r>
              <w:rPr>
                <w:rFonts w:ascii="Times New Roman" w:hAnsi="Times New Roman"/>
                <w:b/>
                <w:sz w:val="20"/>
              </w:rPr>
              <w:t>Axis</w:t>
            </w:r>
          </w:p>
        </w:tc>
        <w:tc>
          <w:tcPr>
            <w:tcW w:type="dxa" w:w="2340"/>
          </w:tcPr>
          <w:p>
            <w:pPr>
              <w:jc w:val="center"/>
            </w:pPr>
            <w:r>
              <w:rPr>
                <w:b/>
              </w:rPr>
            </w:r>
            <w:r>
              <w:rPr>
                <w:rFonts w:ascii="Times New Roman" w:hAnsi="Times New Roman"/>
                <w:b/>
                <w:i/>
                <w:sz w:val="20"/>
              </w:rPr>
              <w:t>p</w:t>
            </w:r>
          </w:p>
        </w:tc>
        <w:tc>
          <w:tcPr>
            <w:tcW w:type="dxa" w:w="2340"/>
          </w:tcPr>
          <w:p>
            <w:pPr>
              <w:jc w:val="center"/>
            </w:pPr>
            <w:r>
              <w:rPr>
                <w:b/>
              </w:rPr>
            </w:r>
            <w:r>
              <w:rPr>
                <w:rFonts w:ascii="Times New Roman" w:hAnsi="Times New Roman"/>
                <w:b/>
                <w:sz w:val="20"/>
              </w:rPr>
              <w:t xml:space="preserve">BH </w:t>
            </w:r>
            <w:r>
              <w:rPr>
                <w:rFonts w:ascii="Times New Roman" w:hAnsi="Times New Roman"/>
                <w:b/>
                <w:i/>
                <w:sz w:val="20"/>
              </w:rPr>
              <w:t>q</w:t>
            </w:r>
          </w:p>
        </w:tc>
        <w:tc>
          <w:tcPr>
            <w:tcW w:type="dxa" w:w="2340"/>
          </w:tcPr>
          <w:p>
            <w:pPr>
              <w:jc w:val="center"/>
            </w:pPr>
            <w:r>
              <w:rPr>
                <w:b/>
              </w:rPr>
            </w:r>
            <w:r>
              <w:rPr>
                <w:rFonts w:ascii="Times New Roman" w:hAnsi="Times New Roman"/>
                <w:b/>
                <w:sz w:val="20"/>
              </w:rPr>
              <w:t>significant at .05?</w:t>
            </w:r>
          </w:p>
        </w:tc>
      </w:tr>
      <w:tr>
        <w:tc>
          <w:tcPr>
            <w:tcW w:type="dxa" w:w="2340"/>
          </w:tcPr>
          <w:p>
            <w:pPr>
              <w:jc w:val="center"/>
            </w:pPr>
            <w:r/>
            <w:r>
              <w:rPr>
                <w:rFonts w:ascii="Times New Roman" w:hAnsi="Times New Roman"/>
                <w:sz w:val="20"/>
              </w:rPr>
              <w:t>Semantic HTML</w:t>
            </w:r>
          </w:p>
        </w:tc>
        <w:tc>
          <w:tcPr>
            <w:tcW w:type="dxa" w:w="2340"/>
          </w:tcPr>
          <w:p>
            <w:pPr>
              <w:jc w:val="center"/>
            </w:pPr>
            <w:r/>
            <w:r>
              <w:rPr>
                <w:rFonts w:ascii="Times New Roman" w:hAnsi="Times New Roman"/>
                <w:sz w:val="20"/>
              </w:rPr>
              <w:t>0.285</w:t>
            </w:r>
          </w:p>
        </w:tc>
        <w:tc>
          <w:tcPr>
            <w:tcW w:type="dxa" w:w="2340"/>
          </w:tcPr>
          <w:p>
            <w:pPr>
              <w:jc w:val="center"/>
            </w:pPr>
            <w:r/>
            <w:r>
              <w:rPr>
                <w:rFonts w:ascii="Times New Roman" w:hAnsi="Times New Roman"/>
                <w:sz w:val="20"/>
              </w:rPr>
              <w:t>0.658</w:t>
            </w:r>
          </w:p>
        </w:tc>
        <w:tc>
          <w:tcPr>
            <w:tcW w:type="dxa" w:w="2340"/>
          </w:tcPr>
          <w:p>
            <w:pPr>
              <w:jc w:val="center"/>
            </w:pPr>
            <w:r/>
            <w:r>
              <w:rPr>
                <w:rFonts w:ascii="Times New Roman" w:hAnsi="Times New Roman"/>
                <w:sz w:val="20"/>
              </w:rPr>
              <w:t>no</w:t>
            </w:r>
          </w:p>
        </w:tc>
      </w:tr>
      <w:tr>
        <w:tc>
          <w:tcPr>
            <w:tcW w:type="dxa" w:w="2340"/>
          </w:tcPr>
          <w:p>
            <w:pPr>
              <w:jc w:val="center"/>
            </w:pPr>
            <w:r/>
            <w:r>
              <w:rPr>
                <w:rFonts w:ascii="Times New Roman" w:hAnsi="Times New Roman"/>
                <w:sz w:val="20"/>
              </w:rPr>
              <w:t>Keyboard/focus</w:t>
            </w:r>
          </w:p>
        </w:tc>
        <w:tc>
          <w:tcPr>
            <w:tcW w:type="dxa" w:w="2340"/>
          </w:tcPr>
          <w:p>
            <w:pPr>
              <w:jc w:val="center"/>
            </w:pPr>
            <w:r/>
            <w:r>
              <w:rPr>
                <w:rFonts w:ascii="Times New Roman" w:hAnsi="Times New Roman"/>
                <w:sz w:val="20"/>
              </w:rPr>
              <w:t>0.658</w:t>
            </w:r>
          </w:p>
        </w:tc>
        <w:tc>
          <w:tcPr>
            <w:tcW w:type="dxa" w:w="2340"/>
          </w:tcPr>
          <w:p>
            <w:pPr>
              <w:jc w:val="center"/>
            </w:pPr>
            <w:r/>
            <w:r>
              <w:rPr>
                <w:rFonts w:ascii="Times New Roman" w:hAnsi="Times New Roman"/>
                <w:sz w:val="20"/>
              </w:rPr>
              <w:t>0.658</w:t>
            </w:r>
          </w:p>
        </w:tc>
        <w:tc>
          <w:tcPr>
            <w:tcW w:type="dxa" w:w="2340"/>
          </w:tcPr>
          <w:p>
            <w:pPr>
              <w:jc w:val="center"/>
            </w:pPr>
            <w:r/>
            <w:r>
              <w:rPr>
                <w:rFonts w:ascii="Times New Roman" w:hAnsi="Times New Roman"/>
                <w:sz w:val="20"/>
              </w:rPr>
              <w:t>no</w:t>
            </w:r>
          </w:p>
        </w:tc>
      </w:tr>
      <w:tr>
        <w:tc>
          <w:tcPr>
            <w:tcW w:type="dxa" w:w="2340"/>
          </w:tcPr>
          <w:p>
            <w:pPr>
              <w:jc w:val="center"/>
            </w:pPr>
            <w:r/>
            <w:r>
              <w:rPr>
                <w:rFonts w:ascii="Times New Roman" w:hAnsi="Times New Roman"/>
                <w:sz w:val="20"/>
              </w:rPr>
              <w:t>WCAG total density</w:t>
            </w:r>
          </w:p>
        </w:tc>
        <w:tc>
          <w:tcPr>
            <w:tcW w:type="dxa" w:w="2340"/>
          </w:tcPr>
          <w:p>
            <w:pPr>
              <w:jc w:val="center"/>
            </w:pPr>
            <w:r/>
            <w:r>
              <w:rPr>
                <w:rFonts w:ascii="Times New Roman" w:hAnsi="Times New Roman"/>
                <w:sz w:val="20"/>
              </w:rPr>
              <w:t>0.493</w:t>
            </w:r>
          </w:p>
        </w:tc>
        <w:tc>
          <w:tcPr>
            <w:tcW w:type="dxa" w:w="2340"/>
          </w:tcPr>
          <w:p>
            <w:pPr>
              <w:jc w:val="center"/>
            </w:pPr>
            <w:r/>
            <w:r>
              <w:rPr>
                <w:rFonts w:ascii="Times New Roman" w:hAnsi="Times New Roman"/>
                <w:sz w:val="20"/>
              </w:rPr>
              <w:t>0.658</w:t>
            </w:r>
          </w:p>
        </w:tc>
        <w:tc>
          <w:tcPr>
            <w:tcW w:type="dxa" w:w="2340"/>
          </w:tcPr>
          <w:p>
            <w:pPr>
              <w:jc w:val="center"/>
            </w:pPr>
            <w:r/>
            <w:r>
              <w:rPr>
                <w:rFonts w:ascii="Times New Roman" w:hAnsi="Times New Roman"/>
                <w:sz w:val="20"/>
              </w:rPr>
              <w:t>no</w:t>
            </w:r>
          </w:p>
        </w:tc>
      </w:tr>
      <w:tr>
        <w:tc>
          <w:tcPr>
            <w:tcW w:type="dxa" w:w="2340"/>
          </w:tcPr>
          <w:p>
            <w:pPr>
              <w:jc w:val="center"/>
            </w:pPr>
            <w:r/>
            <w:r>
              <w:rPr>
                <w:rFonts w:ascii="Times New Roman" w:hAnsi="Times New Roman"/>
                <w:sz w:val="20"/>
              </w:rPr>
              <w:t>WCAG operable density</w:t>
            </w:r>
          </w:p>
        </w:tc>
        <w:tc>
          <w:tcPr>
            <w:tcW w:type="dxa" w:w="2340"/>
          </w:tcPr>
          <w:p>
            <w:pPr>
              <w:jc w:val="center"/>
            </w:pPr>
            <w:r/>
            <w:r>
              <w:rPr>
                <w:rFonts w:ascii="Times New Roman" w:hAnsi="Times New Roman"/>
                <w:sz w:val="20"/>
              </w:rPr>
              <w:t>0.414</w:t>
            </w:r>
          </w:p>
        </w:tc>
        <w:tc>
          <w:tcPr>
            <w:tcW w:type="dxa" w:w="2340"/>
          </w:tcPr>
          <w:p>
            <w:pPr>
              <w:jc w:val="center"/>
            </w:pPr>
            <w:r/>
            <w:r>
              <w:rPr>
                <w:rFonts w:ascii="Times New Roman" w:hAnsi="Times New Roman"/>
                <w:sz w:val="20"/>
              </w:rPr>
              <w:t>0.658</w:t>
            </w:r>
          </w:p>
        </w:tc>
        <w:tc>
          <w:tcPr>
            <w:tcW w:type="dxa" w:w="2340"/>
          </w:tcPr>
          <w:p>
            <w:pPr>
              <w:jc w:val="center"/>
            </w:pPr>
            <w:r/>
            <w:r>
              <w:rPr>
                <w:rFonts w:ascii="Times New Roman" w:hAnsi="Times New Roman"/>
                <w:sz w:val="20"/>
              </w:rPr>
              <w:t>no</w:t>
            </w:r>
          </w:p>
        </w:tc>
      </w:tr>
      <w:tr>
        <w:tc>
          <w:tcPr>
            <w:tcW w:type="dxa" w:w="2340"/>
          </w:tcPr>
          <w:p>
            <w:pPr>
              <w:jc w:val="center"/>
            </w:pPr>
            <w:r/>
            <w:r>
              <w:rPr>
                <w:rFonts w:ascii="Times New Roman" w:hAnsi="Times New Roman"/>
                <w:sz w:val="20"/>
              </w:rPr>
              <w:t>Severity-weighted</w:t>
            </w:r>
          </w:p>
        </w:tc>
        <w:tc>
          <w:tcPr>
            <w:tcW w:type="dxa" w:w="2340"/>
          </w:tcPr>
          <w:p>
            <w:pPr>
              <w:jc w:val="center"/>
            </w:pPr>
            <w:r/>
            <w:r>
              <w:rPr>
                <w:rFonts w:ascii="Times New Roman" w:hAnsi="Times New Roman"/>
                <w:sz w:val="20"/>
              </w:rPr>
              <w:t>0.552</w:t>
            </w:r>
          </w:p>
        </w:tc>
        <w:tc>
          <w:tcPr>
            <w:tcW w:type="dxa" w:w="2340"/>
          </w:tcPr>
          <w:p>
            <w:pPr>
              <w:jc w:val="center"/>
            </w:pPr>
            <w:r/>
            <w:r>
              <w:rPr>
                <w:rFonts w:ascii="Times New Roman" w:hAnsi="Times New Roman"/>
                <w:sz w:val="20"/>
              </w:rPr>
              <w:t>0.658</w:t>
            </w:r>
          </w:p>
        </w:tc>
        <w:tc>
          <w:tcPr>
            <w:tcW w:type="dxa" w:w="2340"/>
          </w:tcPr>
          <w:p>
            <w:pPr>
              <w:jc w:val="center"/>
            </w:pPr>
            <w:r/>
            <w:r>
              <w:rPr>
                <w:rFonts w:ascii="Times New Roman" w:hAnsi="Times New Roman"/>
                <w:sz w:val="20"/>
              </w:rPr>
              <w:t>no</w:t>
            </w:r>
          </w:p>
        </w:tc>
      </w:tr>
    </w:tbl>
    <w:p/>
    <w:p>
      <w:pPr>
        <w:spacing w:before="160" w:after="80"/>
      </w:pPr>
      <w:r>
        <w:rPr>
          <w:rFonts w:ascii="Times New Roman" w:hAnsi="Times New Roman"/>
          <w:b/>
          <w:color w:val="000000"/>
          <w:sz w:val="23"/>
        </w:rPr>
        <w:t>4.6 Robustness Checks</w:t>
      </w:r>
    </w:p>
    <w:p>
      <w:pPr>
        <w:jc w:val="both"/>
      </w:pPr>
      <w:r>
        <w:rPr>
          <w:rFonts w:ascii="Times New Roman" w:hAnsi="Times New Roman"/>
          <w:sz w:val="22"/>
        </w:rPr>
        <w:t>The null is stable across alternative specifications of the semantic-HTML axis on the matched panel (Table 6); the other axes behave identically and are in the replication package.</w:t>
      </w:r>
    </w:p>
    <w:p>
      <w:pPr>
        <w:jc w:val="center"/>
      </w:pPr>
      <w:r>
        <w:rPr>
          <w:rFonts w:ascii="Times New Roman" w:hAnsi="Times New Roman"/>
          <w:b/>
          <w:sz w:val="20"/>
        </w:rPr>
        <w:t>Table 6. Robustness checks (semantic-HTML axis, matched panel).</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3120"/>
        <w:gridCol w:w="3120"/>
        <w:gridCol w:w="3120"/>
      </w:tblGrid>
      <w:tr>
        <w:trPr>
          <w:tblHeader w:val="true"/>
        </w:trPr>
        <w:tc>
          <w:tcPr>
            <w:tcW w:type="dxa" w:w="3120"/>
          </w:tcPr>
          <w:p>
            <w:pPr>
              <w:jc w:val="center"/>
            </w:pPr>
            <w:r>
              <w:rPr>
                <w:b/>
              </w:rPr>
            </w:r>
            <w:r>
              <w:rPr>
                <w:rFonts w:ascii="Times New Roman" w:hAnsi="Times New Roman"/>
                <w:b/>
                <w:sz w:val="20"/>
              </w:rPr>
              <w:t>Specification</w:t>
            </w:r>
          </w:p>
        </w:tc>
        <w:tc>
          <w:tcPr>
            <w:tcW w:type="dxa" w:w="3120"/>
          </w:tcPr>
          <w:p>
            <w:pPr>
              <w:jc w:val="center"/>
            </w:pPr>
            <w:r>
              <w:rPr>
                <w:b/>
              </w:rPr>
            </w:r>
            <w:r>
              <w:rPr>
                <w:rFonts w:ascii="Times New Roman" w:hAnsi="Times New Roman"/>
                <w:b/>
                <w:sz w:val="20"/>
              </w:rPr>
              <w:t>TWFE ATT</w:t>
            </w:r>
          </w:p>
        </w:tc>
        <w:tc>
          <w:tcPr>
            <w:tcW w:type="dxa" w:w="3120"/>
          </w:tcPr>
          <w:p>
            <w:pPr>
              <w:jc w:val="center"/>
            </w:pPr>
            <w:r>
              <w:rPr>
                <w:b/>
              </w:rPr>
            </w:r>
            <w:r>
              <w:rPr>
                <w:rFonts w:ascii="Times New Roman" w:hAnsi="Times New Roman"/>
                <w:b/>
                <w:sz w:val="20"/>
              </w:rPr>
              <w:t>p</w:t>
            </w:r>
          </w:p>
        </w:tc>
      </w:tr>
      <w:tr>
        <w:tc>
          <w:tcPr>
            <w:tcW w:type="dxa" w:w="3120"/>
          </w:tcPr>
          <w:p>
            <w:pPr>
              <w:jc w:val="center"/>
            </w:pPr>
            <w:r/>
            <w:r>
              <w:rPr>
                <w:rFonts w:ascii="Times New Roman" w:hAnsi="Times New Roman"/>
                <w:sz w:val="20"/>
              </w:rPr>
              <w:t>Main specification</w:t>
            </w:r>
          </w:p>
        </w:tc>
        <w:tc>
          <w:tcPr>
            <w:tcW w:type="dxa" w:w="3120"/>
          </w:tcPr>
          <w:p>
            <w:pPr>
              <w:jc w:val="center"/>
            </w:pPr>
            <w:r/>
            <w:r>
              <w:rPr>
                <w:rFonts w:ascii="Times New Roman" w:hAnsi="Times New Roman"/>
                <w:sz w:val="20"/>
              </w:rPr>
              <w:t>−0.0043</w:t>
            </w:r>
          </w:p>
        </w:tc>
        <w:tc>
          <w:tcPr>
            <w:tcW w:type="dxa" w:w="3120"/>
          </w:tcPr>
          <w:p>
            <w:pPr>
              <w:jc w:val="center"/>
            </w:pPr>
            <w:r/>
            <w:r>
              <w:rPr>
                <w:rFonts w:ascii="Times New Roman" w:hAnsi="Times New Roman"/>
                <w:sz w:val="20"/>
              </w:rPr>
              <w:t>0.285</w:t>
            </w:r>
          </w:p>
        </w:tc>
      </w:tr>
      <w:tr>
        <w:tc>
          <w:tcPr>
            <w:tcW w:type="dxa" w:w="3120"/>
          </w:tcPr>
          <w:p>
            <w:pPr>
              <w:jc w:val="center"/>
            </w:pPr>
            <w:r/>
            <w:r>
              <w:rPr>
                <w:rFonts w:ascii="Times New Roman" w:hAnsi="Times New Roman"/>
                <w:sz w:val="20"/>
              </w:rPr>
              <w:t>Shift treatment −1 month</w:t>
            </w:r>
          </w:p>
        </w:tc>
        <w:tc>
          <w:tcPr>
            <w:tcW w:type="dxa" w:w="3120"/>
          </w:tcPr>
          <w:p>
            <w:pPr>
              <w:jc w:val="center"/>
            </w:pPr>
            <w:r/>
            <w:r>
              <w:rPr>
                <w:rFonts w:ascii="Times New Roman" w:hAnsi="Times New Roman"/>
                <w:sz w:val="20"/>
              </w:rPr>
              <w:t>−0.0039</w:t>
            </w:r>
          </w:p>
        </w:tc>
        <w:tc>
          <w:tcPr>
            <w:tcW w:type="dxa" w:w="3120"/>
          </w:tcPr>
          <w:p>
            <w:pPr>
              <w:jc w:val="center"/>
            </w:pPr>
            <w:r/>
            <w:r>
              <w:rPr>
                <w:rFonts w:ascii="Times New Roman" w:hAnsi="Times New Roman"/>
                <w:sz w:val="20"/>
              </w:rPr>
              <w:t>0.345</w:t>
            </w:r>
          </w:p>
        </w:tc>
      </w:tr>
      <w:tr>
        <w:tc>
          <w:tcPr>
            <w:tcW w:type="dxa" w:w="3120"/>
          </w:tcPr>
          <w:p>
            <w:pPr>
              <w:jc w:val="center"/>
            </w:pPr>
            <w:r/>
            <w:r>
              <w:rPr>
                <w:rFonts w:ascii="Times New Roman" w:hAnsi="Times New Roman"/>
                <w:sz w:val="20"/>
              </w:rPr>
              <w:t>Shift treatment +1 month</w:t>
            </w:r>
          </w:p>
        </w:tc>
        <w:tc>
          <w:tcPr>
            <w:tcW w:type="dxa" w:w="3120"/>
          </w:tcPr>
          <w:p>
            <w:pPr>
              <w:jc w:val="center"/>
            </w:pPr>
            <w:r/>
            <w:r>
              <w:rPr>
                <w:rFonts w:ascii="Times New Roman" w:hAnsi="Times New Roman"/>
                <w:sz w:val="20"/>
              </w:rPr>
              <w:t>−0.0053</w:t>
            </w:r>
          </w:p>
        </w:tc>
        <w:tc>
          <w:tcPr>
            <w:tcW w:type="dxa" w:w="3120"/>
          </w:tcPr>
          <w:p>
            <w:pPr>
              <w:jc w:val="center"/>
            </w:pPr>
            <w:r/>
            <w:r>
              <w:rPr>
                <w:rFonts w:ascii="Times New Roman" w:hAnsi="Times New Roman"/>
                <w:sz w:val="20"/>
              </w:rPr>
              <w:t>0.168</w:t>
            </w:r>
          </w:p>
        </w:tc>
      </w:tr>
      <w:tr>
        <w:tc>
          <w:tcPr>
            <w:tcW w:type="dxa" w:w="3120"/>
          </w:tcPr>
          <w:p>
            <w:pPr>
              <w:jc w:val="center"/>
            </w:pPr>
            <w:r/>
            <w:r>
              <w:rPr>
                <w:rFonts w:ascii="Times New Roman" w:hAnsi="Times New Roman"/>
                <w:sz w:val="20"/>
              </w:rPr>
              <w:t>Drop repos with &lt;18 months coverage</w:t>
            </w:r>
          </w:p>
        </w:tc>
        <w:tc>
          <w:tcPr>
            <w:tcW w:type="dxa" w:w="3120"/>
          </w:tcPr>
          <w:p>
            <w:pPr>
              <w:jc w:val="center"/>
            </w:pPr>
            <w:r/>
            <w:r>
              <w:rPr>
                <w:rFonts w:ascii="Times New Roman" w:hAnsi="Times New Roman"/>
                <w:sz w:val="20"/>
              </w:rPr>
              <w:t>−0.0042</w:t>
            </w:r>
          </w:p>
        </w:tc>
        <w:tc>
          <w:tcPr>
            <w:tcW w:type="dxa" w:w="3120"/>
          </w:tcPr>
          <w:p>
            <w:pPr>
              <w:jc w:val="center"/>
            </w:pPr>
            <w:r/>
            <w:r>
              <w:rPr>
                <w:rFonts w:ascii="Times New Roman" w:hAnsi="Times New Roman"/>
                <w:sz w:val="20"/>
              </w:rPr>
              <w:t>0.293</w:t>
            </w:r>
          </w:p>
        </w:tc>
      </w:tr>
      <w:tr>
        <w:tc>
          <w:tcPr>
            <w:tcW w:type="dxa" w:w="3120"/>
          </w:tcPr>
          <w:p>
            <w:pPr>
              <w:jc w:val="center"/>
            </w:pPr>
            <w:r/>
            <w:r>
              <w:rPr>
                <w:rFonts w:ascii="Times New Roman" w:hAnsi="Times New Roman"/>
                <w:sz w:val="20"/>
              </w:rPr>
              <w:t>Tier-1 (hard-config) treated only</w:t>
            </w:r>
          </w:p>
        </w:tc>
        <w:tc>
          <w:tcPr>
            <w:tcW w:type="dxa" w:w="3120"/>
          </w:tcPr>
          <w:p>
            <w:pPr>
              <w:jc w:val="center"/>
            </w:pPr>
            <w:r/>
            <w:r>
              <w:rPr>
                <w:rFonts w:ascii="Times New Roman" w:hAnsi="Times New Roman"/>
                <w:sz w:val="20"/>
              </w:rPr>
              <w:t>−0.0010</w:t>
            </w:r>
          </w:p>
        </w:tc>
        <w:tc>
          <w:tcPr>
            <w:tcW w:type="dxa" w:w="3120"/>
          </w:tcPr>
          <w:p>
            <w:pPr>
              <w:jc w:val="center"/>
            </w:pPr>
            <w:r/>
            <w:r>
              <w:rPr>
                <w:rFonts w:ascii="Times New Roman" w:hAnsi="Times New Roman"/>
                <w:sz w:val="20"/>
              </w:rPr>
              <w:t>0.897</w:t>
            </w:r>
          </w:p>
        </w:tc>
      </w:tr>
    </w:tbl>
    <w:p/>
    <w:p>
      <w:pPr>
        <w:jc w:val="both"/>
      </w:pPr>
      <w:r>
        <w:rPr>
          <w:rFonts w:ascii="Times New Roman" w:hAnsi="Times New Roman"/>
          <w:sz w:val="22"/>
        </w:rPr>
        <w:t xml:space="preserve">The result survives ±1-month treatment-date shifts and dropping short-history repos. As a further check we restrict the treated arm to the repositories with </w:t>
      </w:r>
      <w:r>
        <w:rPr>
          <w:rFonts w:ascii="Times New Roman" w:hAnsi="Times New Roman"/>
          <w:i/>
          <w:sz w:val="22"/>
        </w:rPr>
        <w:t>hard configuration-artifact</w:t>
      </w:r>
      <w:r>
        <w:rPr>
          <w:rFonts w:ascii="Times New Roman" w:hAnsi="Times New Roman"/>
          <w:sz w:val="22"/>
        </w:rPr>
        <w:t xml:space="preserve"> adoption signals (the most unambiguous adopters); the estimate stays near zero (β = −0.001, p = 0.90), though we note this subset is small (n = 10 treated) and so the check is directionally consistent but low-powered rather than confirmatory. No specification produces a significant effect in either direction.</w:t>
      </w:r>
    </w:p>
    <w:p>
      <w:pPr>
        <w:jc w:val="both"/>
      </w:pPr>
      <w:r>
        <w:rPr>
          <w:rFonts w:ascii="Times New Roman" w:hAnsi="Times New Roman"/>
          <w:sz w:val="22"/>
        </w:rPr>
        <w:t xml:space="preserve">All five specifications return qualitatively identical (null) results, with every point estimate small and negative and no </w:t>
      </w:r>
      <w:r>
        <w:rPr>
          <w:rFonts w:ascii="Times New Roman" w:hAnsi="Times New Roman"/>
          <w:i/>
          <w:sz w:val="22"/>
        </w:rPr>
        <w:t>p</w:t>
      </w:r>
      <w:r>
        <w:rPr>
          <w:rFonts w:ascii="Times New Roman" w:hAnsi="Times New Roman"/>
          <w:sz w:val="22"/>
        </w:rPr>
        <w:t xml:space="preserve"> below 0.16. The null does not depend on the exact treatment-date assignment, the coverage gate, or the strictness of the adoption-signal definition.</w:t>
      </w:r>
    </w:p>
    <w:p>
      <w:pPr>
        <w:spacing w:before="240" w:after="80"/>
      </w:pPr>
      <w:r>
        <w:rPr>
          <w:rFonts w:ascii="Times New Roman" w:hAnsi="Times New Roman"/>
          <w:b/>
          <w:color w:val="000000"/>
          <w:sz w:val="26"/>
        </w:rPr>
        <w:t>5. Dynamics: Does the Generative Process Change? (RQ5)</w:t>
      </w:r>
    </w:p>
    <w:p>
      <w:pPr>
        <w:jc w:val="both"/>
      </w:pPr>
      <w:r>
        <w:rPr>
          <w:rFonts w:ascii="Times New Roman" w:hAnsi="Times New Roman"/>
          <w:sz w:val="22"/>
        </w:rPr>
        <w:t xml:space="preserve">A null average treatment effect need not imply an unchanged generative process. Two regimes can share an expected value while differing in volatility, in the persistence of degraded states, in upper-tail risk, or in the balance of error introduction and removal. Section 4 left a loose thread that makes this concern concrete: the dynamic event study showed small, never-per-bin-significant post-treatment coefficients that wander on either side of zero (drifting to β₊₁₂ ≈ -0.010 on the semantic axis) rather than sitting flat — a near-zero mean that could nonetheless coexist with a changed </w:t>
      </w:r>
      <w:r>
        <w:rPr>
          <w:rFonts w:ascii="Times New Roman" w:hAnsi="Times New Roman"/>
          <w:i/>
          <w:sz w:val="22"/>
        </w:rPr>
        <w:t>process</w:t>
      </w:r>
      <w:r>
        <w:rPr>
          <w:rFonts w:ascii="Times New Roman" w:hAnsi="Times New Roman"/>
          <w:sz w:val="22"/>
        </w:rPr>
        <w:t>, exactly the possibility a difference-in-means cannot rule out. We test that possibility here.</w:t>
      </w:r>
    </w:p>
    <w:p>
      <w:pPr>
        <w:jc w:val="both"/>
      </w:pPr>
      <w:r>
        <w:rPr>
          <w:rFonts w:ascii="Times New Roman" w:hAnsi="Times New Roman"/>
          <w:sz w:val="22"/>
        </w:rPr>
        <w:t>We state the hypothesis up front, because the contribution of this section is to test it honestly:</w:t>
      </w:r>
    </w:p>
    <w:p>
      <w:pPr>
        <w:ind w:left="504" w:right="288"/>
      </w:pPr>
      <w:r>
        <w:rPr>
          <w:rFonts w:ascii="Times New Roman" w:hAnsi="Times New Roman"/>
          <w:b/>
          <w:i/>
          <w:sz w:val="20"/>
        </w:rPr>
        <w:t>H (dynamics hypothesis).</w:t>
      </w:r>
      <w:r>
        <w:rPr>
          <w:rFonts w:ascii="Times New Roman" w:hAnsi="Times New Roman"/>
          <w:i/>
          <w:sz w:val="20"/>
        </w:rPr>
        <w:t xml:space="preserve"> AI-tool adoption reshapes the stochastic dynamics of accessibility quality — its volatility, the persistence of degraded states, the heaviness of the upper tail, and the balance of violation introduction versus removal — even where the static mean is unchanged. Concretely, adoption raises the introduction rate relative to the fix rate, pushing the queueing utilization ρ = λ/μ toward and past the instability boundary ρ = 1, producing slow backlog accumulation visible to a dynamic event study but invisible to a difference-in-means.</w:t>
      </w:r>
    </w:p>
    <w:p>
      <w:pPr>
        <w:jc w:val="both"/>
      </w:pPr>
      <w:r>
        <w:rPr>
          <w:rFonts w:ascii="Times New Roman" w:hAnsi="Times New Roman"/>
          <w:sz w:val="22"/>
        </w:rPr>
        <w:t xml:space="preserve">The hypothesis is falsifiable, and the design fixed in advance the disposition of a null: if ρpost ≈ ρpre and volatility/persistence are statistically indistinguishable, </w:t>
      </w:r>
      <w:r>
        <w:rPr>
          <w:rFonts w:ascii="Times New Roman" w:hAnsi="Times New Roman"/>
          <w:b/>
          <w:sz w:val="22"/>
        </w:rPr>
        <w:t>H is rejected — and that is a publishable, honest result.</w:t>
      </w:r>
      <w:r>
        <w:rPr>
          <w:rFonts w:ascii="Times New Roman" w:hAnsi="Times New Roman"/>
          <w:sz w:val="22"/>
        </w:rPr>
        <w:t xml:space="preserve"> We report exactly that outcome.</w:t>
      </w:r>
    </w:p>
    <w:p>
      <w:pPr>
        <w:spacing w:before="160" w:after="80"/>
      </w:pPr>
      <w:r>
        <w:rPr>
          <w:rFonts w:ascii="Times New Roman" w:hAnsi="Times New Roman"/>
          <w:b/>
          <w:color w:val="000000"/>
          <w:sz w:val="23"/>
        </w:rPr>
        <w:t>5.1 Formal Models</w:t>
      </w:r>
    </w:p>
    <w:p>
      <w:pPr>
        <w:jc w:val="both"/>
      </w:pPr>
      <w:r>
        <w:rPr>
          <w:rFonts w:ascii="Times New Roman" w:hAnsi="Times New Roman"/>
          <w:sz w:val="22"/>
        </w:rPr>
        <w:t>We model each repo's monthly trajectory of WCAG violation density — one of the Section 4 axes. The panel is monthly: one snapshot per repo-month at that month's representative commit. The monthly resolution is a deliberate and consequential choice whose implications for the birth–death model we make explicit below and revisit in Section 8.</w:t>
      </w:r>
    </w:p>
    <w:p>
      <w:pPr>
        <w:jc w:val="both"/>
      </w:pPr>
      <w:r>
        <w:rPr>
          <w:rFonts w:ascii="Times New Roman" w:hAnsi="Times New Roman"/>
          <w:b/>
          <w:sz w:val="22"/>
        </w:rPr>
        <w:t>State space.</w:t>
      </w:r>
      <w:r>
        <w:rPr>
          <w:rFonts w:ascii="Times New Roman" w:hAnsi="Times New Roman"/>
          <w:sz w:val="22"/>
        </w:rPr>
        <w:t xml:space="preserve"> We discretise violation density into ordered states using pooled quantiles of the combined pre+post distribution, balancing state occupancy. A material data feature constrains this: the violation-density axes are </w:t>
      </w:r>
      <w:r>
        <w:rPr>
          <w:rFonts w:ascii="Times New Roman" w:hAnsi="Times New Roman"/>
          <w:b/>
          <w:sz w:val="22"/>
        </w:rPr>
        <w:t>zero-inflated</w:t>
      </w:r>
      <w:r>
        <w:rPr>
          <w:rFonts w:ascii="Times New Roman" w:hAnsi="Times New Roman"/>
          <w:sz w:val="22"/>
        </w:rPr>
        <w:t xml:space="preserve"> — depending on the axis, between 13% and 34% of repo-months sit at exactly zero violations (e.g. 34.3% on the WCAG-operable density axis). When the zero mass exceeds 1/k for a requested k-state partition, the lower pooled-quantile cutpoints coincide at zero and the partition collapses: on the operable axis a requested 4-state binning yields only 3 distinct occupied states and a 5-state request yields 4. We report 3- and 4-state partitions as the substantive specifications and treat the collapse as a property of a zero-inflated outcome. Critically, this collapse also creates a </w:t>
      </w:r>
      <w:r>
        <w:rPr>
          <w:rFonts w:ascii="Times New Roman" w:hAnsi="Times New Roman"/>
          <w:i/>
          <w:sz w:val="22"/>
        </w:rPr>
        <w:t>phantom never-occupied state</w:t>
      </w:r>
      <w:r>
        <w:rPr>
          <w:rFonts w:ascii="Times New Roman" w:hAnsi="Times New Roman"/>
          <w:sz w:val="22"/>
        </w:rPr>
        <w:t xml:space="preserve"> that inflates the degrees of freedom of the Markov tests unless corrected; Section 5.2 documents the correction, which is essential to the validity of the test.</w:t>
      </w:r>
    </w:p>
    <w:p>
      <w:pPr>
        <w:jc w:val="both"/>
      </w:pPr>
      <w:r>
        <w:rPr>
          <w:rFonts w:ascii="Times New Roman" w:hAnsi="Times New Roman"/>
          <w:b/>
          <w:sz w:val="22"/>
        </w:rPr>
        <w:t>Discrete-time Markov chain.</w:t>
      </w:r>
      <w:r>
        <w:rPr>
          <w:rFonts w:ascii="Times New Roman" w:hAnsi="Times New Roman"/>
          <w:sz w:val="22"/>
        </w:rPr>
        <w:t xml:space="preserve"> For each regime r ∈ pre, post we estimate the transition matrix P^(r) with entries Pᵢⱼ = Pr(stateₜ₊₁ = j mid stateₜ = i) by closed-form maximum likelihood, Pᵢⱼ = nᵢⱼ / Σₖ nᵢₖ, where nᵢⱼ counts i → j transitions pooled across repos within the regime. Transitions are counted only between consecutive calendar months within a single regime for a single repo, so no transition straddles the adoption boundary or a coverage gap. From P we derive the stationary distribution π (π P = π, Σ π = 1), persistence (self-transition Pᵢᵢ, dwell time 1/(1 - Pᵢᵢ)), and the spectral gap 1 - |λ₂| governing mixing speed. Under H, the post regime should mix more slowly (smaller gap).</w:t>
      </w:r>
    </w:p>
    <w:p>
      <w:pPr>
        <w:jc w:val="both"/>
      </w:pPr>
      <w:r>
        <w:rPr>
          <w:rFonts w:ascii="Times New Roman" w:hAnsi="Times New Roman"/>
          <w:b/>
          <w:sz w:val="22"/>
        </w:rPr>
        <w:t>Birth–death process and utilization.</w:t>
      </w:r>
      <w:r>
        <w:rPr>
          <w:rFonts w:ascii="Times New Roman" w:hAnsi="Times New Roman"/>
          <w:sz w:val="22"/>
        </w:rPr>
        <w:t xml:space="preserve"> Let N(t) be a repo's outstanding violation count at month t, evolving as a discrete-time birth–death process with regime-specific rates: introduction rate λ (mean new violations introduced per repo-month, summed over files whose count rose between consecutive months) and removal rate μ (mean removed per repo-month, over files whose count fell). The utilization ρ = λ/μ is the object of interest. In the M/M/1 analogue, ρ &lt; 1 yields a stationary geometric backlog with finite mean ρ/(1-ρ); ρ ≥ 1 yields unbounded accumulation. Under H, ρpost &gt; ρpre and ρpost crosses 1.</w:t>
      </w:r>
    </w:p>
    <w:p>
      <w:pPr>
        <w:jc w:val="both"/>
      </w:pPr>
      <w:r>
        <w:rPr>
          <w:rFonts w:ascii="Times New Roman" w:hAnsi="Times New Roman"/>
          <w:sz w:val="22"/>
        </w:rPr>
        <w:t xml:space="preserve">Two modelling-honesty points prove decisive. First, λ and μ </w:t>
      </w:r>
      <w:r>
        <w:rPr>
          <w:rFonts w:ascii="Times New Roman" w:hAnsi="Times New Roman"/>
          <w:b/>
          <w:sz w:val="22"/>
        </w:rPr>
        <w:t>must be normalised by the same exposure</w:t>
      </w:r>
      <w:r>
        <w:rPr>
          <w:rFonts w:ascii="Times New Roman" w:hAnsi="Times New Roman"/>
          <w:sz w:val="22"/>
        </w:rPr>
        <w:t xml:space="preserve"> (all repo-months) for ρ = λ/μ to be a well-defined rate ratio; an earlier version conditioned μ on a non-empty backlog while leaving λ over all months — mismatched denominators that manufactured a spurious crossover (Section 6). Second, with one commit per month we cannot observe inter-event timing, so the continuous-time M/M/1 is an interpretive frame only; we estimate a discrete-time birth–death model and defer the continuous per-commit M/M/1 with goodness-of-fit to future work. We do not oversell M/M/1.</w:t>
      </w:r>
    </w:p>
    <w:p>
      <w:pPr>
        <w:spacing w:before="160" w:after="80"/>
      </w:pPr>
      <w:r>
        <w:rPr>
          <w:rFonts w:ascii="Times New Roman" w:hAnsi="Times New Roman"/>
          <w:b/>
          <w:color w:val="000000"/>
          <w:sz w:val="23"/>
        </w:rPr>
        <w:t>5.2 Estimation and Inference</w:t>
      </w:r>
    </w:p>
    <w:p>
      <w:pPr>
        <w:jc w:val="both"/>
      </w:pPr>
      <w:r>
        <w:rPr>
          <w:rFonts w:ascii="Times New Roman" w:hAnsi="Times New Roman"/>
          <w:sz w:val="22"/>
        </w:rPr>
        <w:t>The dynamics analysis runs on the same enriched matched panel (181 repos, 5,956 repo-months) as the mean analysis, using the WCAG violation-density axis as the state variable. Transitions are counted only between consecutive calendar months within a single regime for a single repo, so no transition straddles the adoption boundary or a coverage gap.</w:t>
      </w:r>
    </w:p>
    <w:p>
      <w:pPr>
        <w:jc w:val="both"/>
      </w:pPr>
      <w:r>
        <w:rPr>
          <w:rFonts w:ascii="Times New Roman" w:hAnsi="Times New Roman"/>
          <w:sz w:val="22"/>
        </w:rPr>
        <w:t xml:space="preserve">Transition matrices use the closed-form MLE. We run two likelihood-ratio tests — homogeneity (H₀: P^pre = P^post) and order (first vs. second) — </w:t>
      </w:r>
      <w:r>
        <w:rPr>
          <w:rFonts w:ascii="Times New Roman" w:hAnsi="Times New Roman"/>
          <w:b/>
          <w:sz w:val="22"/>
        </w:rPr>
        <w:t>with degrees of freedom corrected for the state-occupancy degeneracy.</w:t>
      </w:r>
      <w:r>
        <w:rPr>
          <w:rFonts w:ascii="Times New Roman" w:hAnsi="Times New Roman"/>
          <w:sz w:val="22"/>
        </w:rPr>
        <w:t xml:space="preserve"> That the df of a Markov LR test should count only estimable parameters — i.e. reachable transitions among occupied states — is itself standard (the homogeneity and order LR tests follow Anderson and Goodman 1957); the textbook n(n-1) (homogeneity) and n(n-1)² (order) are upper bounds that assume every nominal state is occupied with full reachable support. What is specific here, and what makes the correction a prerequisite rather than a refinement, is </w:t>
      </w:r>
      <w:r>
        <w:rPr>
          <w:rFonts w:ascii="Times New Roman" w:hAnsi="Times New Roman"/>
          <w:i/>
          <w:sz w:val="22"/>
        </w:rPr>
        <w:t>why</w:t>
      </w:r>
      <w:r>
        <w:rPr>
          <w:rFonts w:ascii="Times New Roman" w:hAnsi="Times New Roman"/>
          <w:sz w:val="22"/>
        </w:rPr>
        <w:t xml:space="preserve"> the degeneracy arises and how severe it is: the outcome is </w:t>
      </w:r>
      <w:r>
        <w:rPr>
          <w:rFonts w:ascii="Times New Roman" w:hAnsi="Times New Roman"/>
          <w:b/>
          <w:sz w:val="22"/>
        </w:rPr>
        <w:t>zero-inflated</w:t>
      </w:r>
      <w:r>
        <w:rPr>
          <w:rFonts w:ascii="Times New Roman" w:hAnsi="Times New Roman"/>
          <w:sz w:val="22"/>
        </w:rPr>
        <w:t xml:space="preserve"> in a way endemic to software-quality metrics — on the operable-density axis 34.3% of repo-months sit at exactly zero violations, comfortably above the 1/k threshold — so the lower pooled-quantile cutpoints collapse onto zero and a nominal k-state partition silently yields a </w:t>
      </w:r>
      <w:r>
        <w:rPr>
          <w:rFonts w:ascii="Times New Roman" w:hAnsi="Times New Roman"/>
          <w:i/>
          <w:sz w:val="22"/>
        </w:rPr>
        <w:t>phantom never-occupied state</w:t>
      </w:r>
      <w:r>
        <w:rPr>
          <w:rFonts w:ascii="Times New Roman" w:hAnsi="Times New Roman"/>
          <w:sz w:val="22"/>
        </w:rPr>
        <w:t xml:space="preserve"> plus sparse rows (the requested 4-state partition occupies only 3 states; the 5-state request only 4). The uncorrected df then over-counts free parameters by a wide margin, and the consequence is not mild conservatism but </w:t>
      </w:r>
      <w:r>
        <w:rPr>
          <w:rFonts w:ascii="Times New Roman" w:hAnsi="Times New Roman"/>
          <w:b/>
          <w:sz w:val="22"/>
        </w:rPr>
        <w:t>mechanical non-rejection</w:t>
      </w:r>
      <w:r>
        <w:rPr>
          <w:rFonts w:ascii="Times New Roman" w:hAnsi="Times New Roman"/>
          <w:sz w:val="22"/>
        </w:rPr>
        <w:t xml:space="preserve">: at 4 states the uncorrected order-test df is 36, forcing p ≈ 1 regardless of the data. We instead compute df from occupied support only — for homogeneity, the sum over "from" states present in both regimes of (reachable "to" columns − 1) — changing the homogeneity df from 6→2 (3-state) and 12→6 (4-state) on the collapsing axis. The contribution is therefore not the general principle (count estimable parameters) but the SE-panel diagnosis: zero-inflation in repository metrics induces this degeneracy </w:t>
      </w:r>
      <w:r>
        <w:rPr>
          <w:rFonts w:ascii="Times New Roman" w:hAnsi="Times New Roman"/>
          <w:i/>
          <w:sz w:val="22"/>
        </w:rPr>
        <w:t>by construction</w:t>
      </w:r>
      <w:r>
        <w:rPr>
          <w:rFonts w:ascii="Times New Roman" w:hAnsi="Times New Roman"/>
          <w:sz w:val="22"/>
        </w:rPr>
        <w:t xml:space="preserve"> under quantile binning, it is easy to miss, and uncorrected it renders any Markov regime test on such data vacuous — so reporting it is necessary for the field, not a tuning choice for this paper.</w:t>
      </w:r>
    </w:p>
    <w:p>
      <w:pPr>
        <w:ind w:left="504" w:right="288"/>
      </w:pPr>
      <w:r>
        <w:rPr>
          <w:rFonts w:ascii="Times New Roman" w:hAnsi="Times New Roman"/>
          <w:b/>
          <w:i/>
          <w:sz w:val="20"/>
        </w:rPr>
        <w:t>Result 1 (zero-inflation df degeneracy under quantile binning).</w:t>
      </w:r>
      <w:r>
        <w:rPr>
          <w:rFonts w:ascii="Times New Roman" w:hAnsi="Times New Roman"/>
          <w:i/>
          <w:sz w:val="20"/>
        </w:rPr>
        <w:t xml:space="preserve"> Let an ordered-state Markov chain be formed by binning a zero-inflated outcome at pooled quantiles, with a fraction z of observations at the lower bound. When z exceeds 1/k for a requested k-state partition, two or more lower cutpoints coincide at the bound, so at least one nominal state is never occupied. The homogeneity/order likelihood-ratio tests computed with the textbook degrees of freedom n(n-1) and n(n-1)² then over-count free parameters and the test is driven toward non-rejection (p → 1 as the over-count grows). Counting df from occupied, reachable support only restores a valid test. In repository panels z is routinely large (here z = 0.343 on the operable-density axis, so that z &gt; 1/4 and the 4-state partition collapses), so this degeneracy is endemic and must be checked before any Markov regime test is interpreted.</w:t>
      </w:r>
    </w:p>
    <w:p>
      <w:pPr>
        <w:jc w:val="both"/>
      </w:pPr>
      <w:r>
        <w:rPr>
          <w:rFonts w:ascii="Times New Roman" w:hAnsi="Times New Roman"/>
          <w:sz w:val="22"/>
        </w:rPr>
        <w:t xml:space="preserve">All regime contrasts — the spectral-gap difference and the ρ difference — receive 95% confidence intervals by </w:t>
      </w:r>
      <w:r>
        <w:rPr>
          <w:rFonts w:ascii="Times New Roman" w:hAnsi="Times New Roman"/>
          <w:b/>
          <w:sz w:val="22"/>
        </w:rPr>
        <w:t>repo-level block bootstrap</w:t>
      </w:r>
      <w:r>
        <w:rPr>
          <w:rFonts w:ascii="Times New Roman" w:hAnsi="Times New Roman"/>
          <w:sz w:val="22"/>
        </w:rPr>
        <w:t xml:space="preserve"> (2,000 replicates, fixed seed), resampling whole repositories with replacement, never individual repo-months, respecting within-repo dependence (the same reason Section 4 clustered SEs at the repo level). A </w:t>
      </w:r>
      <w:r>
        <w:rPr>
          <w:rFonts w:ascii="Times New Roman" w:hAnsi="Times New Roman"/>
          <w:b/>
          <w:sz w:val="22"/>
        </w:rPr>
        <w:t>negative control</w:t>
      </w:r>
      <w:r>
        <w:rPr>
          <w:rFonts w:ascii="Times New Roman" w:hAnsi="Times New Roman"/>
          <w:sz w:val="22"/>
        </w:rPr>
        <w:t xml:space="preserve"> applies the same Markov machinery to a stylistic metric — monthly component count (repo size) — for which adoption has no a-priori reason to alter dynamics (Section 5.6).</w:t>
      </w:r>
    </w:p>
    <w:p>
      <w:pPr>
        <w:spacing w:before="160" w:after="80"/>
      </w:pPr>
      <w:r>
        <w:rPr>
          <w:rFonts w:ascii="Times New Roman" w:hAnsi="Times New Roman"/>
          <w:b/>
          <w:color w:val="000000"/>
          <w:sz w:val="23"/>
        </w:rPr>
        <w:t>5.3 Transition Structure Is Statistically Unchanged</w:t>
      </w:r>
    </w:p>
    <w:p>
      <w:pPr>
        <w:jc w:val="both"/>
      </w:pPr>
      <w:r>
        <w:rPr>
          <w:rFonts w:ascii="Times New Roman" w:hAnsi="Times New Roman"/>
          <w:sz w:val="22"/>
        </w:rPr>
        <w:t>The chains are persistence-dominated — once in a violation-density band, a repo overwhelmingly stays there month to month (self-transition Pᵢᵢ = 0.94–0.99, Table 7), as expected for slowly-changing quality at monthly cadence.</w:t>
      </w:r>
    </w:p>
    <w:p>
      <w:pPr>
        <w:jc w:val="center"/>
      </w:pPr>
      <w:r>
        <w:rPr>
          <w:rFonts w:ascii="Times New Roman" w:hAnsi="Times New Roman"/>
          <w:b/>
          <w:sz w:val="20"/>
        </w:rPr>
        <w:t>Table 7. Self-transition probabilities Pᵢᵢ on the violation-density state variable, by regime.</w:t>
      </w:r>
      <w:r>
        <w:rPr>
          <w:rFonts w:ascii="Times New Roman" w:hAnsi="Times New Roman"/>
          <w:sz w:val="20"/>
        </w:rPr>
        <w:t xml:space="preserve"> States are quantile bands of monthly WCAG violation density (S1 = lowest/near-zero violations, ascending). The diagonals rise on every occupied state from pre to post, the signature of the increased persistence reported in Section 5.4. (At the 4-state binning of a zero-inflated outcome the lowest quantile cutpoints can coincide at zero, collapsing the support and reducing the effective degrees of freedom; this is the mechanism behind Result 1, Section 5.2.)</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1560"/>
        <w:gridCol w:w="1560"/>
        <w:gridCol w:w="1560"/>
        <w:gridCol w:w="1560"/>
        <w:gridCol w:w="1560"/>
        <w:gridCol w:w="1560"/>
      </w:tblGrid>
      <w:tr>
        <w:trPr>
          <w:tblHeader w:val="true"/>
        </w:trPr>
        <w:tc>
          <w:tcPr>
            <w:tcW w:type="dxa" w:w="1560"/>
          </w:tcPr>
          <w:p>
            <w:pPr>
              <w:jc w:val="center"/>
            </w:pPr>
            <w:r>
              <w:rPr>
                <w:b/>
              </w:rPr>
            </w:r>
            <w:r>
              <w:rPr>
                <w:rFonts w:ascii="Times New Roman" w:hAnsi="Times New Roman"/>
                <w:b/>
                <w:sz w:val="20"/>
              </w:rPr>
              <w:t>States</w:t>
            </w:r>
          </w:p>
        </w:tc>
        <w:tc>
          <w:tcPr>
            <w:tcW w:type="dxa" w:w="1560"/>
          </w:tcPr>
          <w:p>
            <w:pPr>
              <w:jc w:val="center"/>
            </w:pPr>
            <w:r>
              <w:rPr>
                <w:b/>
              </w:rPr>
            </w:r>
            <w:r>
              <w:rPr>
                <w:rFonts w:ascii="Times New Roman" w:hAnsi="Times New Roman"/>
                <w:b/>
                <w:sz w:val="20"/>
              </w:rPr>
              <w:t>Regime</w:t>
            </w:r>
          </w:p>
        </w:tc>
        <w:tc>
          <w:tcPr>
            <w:tcW w:type="dxa" w:w="1560"/>
          </w:tcPr>
          <w:p>
            <w:pPr>
              <w:jc w:val="center"/>
            </w:pPr>
            <w:r>
              <w:rPr>
                <w:b/>
              </w:rPr>
            </w:r>
            <w:r>
              <w:rPr>
                <w:rFonts w:ascii="Times New Roman" w:hAnsi="Times New Roman"/>
                <w:b/>
                <w:sz w:val="20"/>
              </w:rPr>
              <w:t>P₁₁</w:t>
            </w:r>
          </w:p>
        </w:tc>
        <w:tc>
          <w:tcPr>
            <w:tcW w:type="dxa" w:w="1560"/>
          </w:tcPr>
          <w:p>
            <w:pPr>
              <w:jc w:val="center"/>
            </w:pPr>
            <w:r>
              <w:rPr>
                <w:b/>
              </w:rPr>
            </w:r>
            <w:r>
              <w:rPr>
                <w:rFonts w:ascii="Times New Roman" w:hAnsi="Times New Roman"/>
                <w:b/>
                <w:sz w:val="20"/>
              </w:rPr>
              <w:t>P₂₂</w:t>
            </w:r>
          </w:p>
        </w:tc>
        <w:tc>
          <w:tcPr>
            <w:tcW w:type="dxa" w:w="1560"/>
          </w:tcPr>
          <w:p>
            <w:pPr>
              <w:jc w:val="center"/>
            </w:pPr>
            <w:r>
              <w:rPr>
                <w:b/>
              </w:rPr>
            </w:r>
            <w:r>
              <w:rPr>
                <w:rFonts w:ascii="Times New Roman" w:hAnsi="Times New Roman"/>
                <w:b/>
                <w:sz w:val="20"/>
              </w:rPr>
              <w:t>P₃₃</w:t>
            </w:r>
          </w:p>
        </w:tc>
        <w:tc>
          <w:tcPr>
            <w:tcW w:type="dxa" w:w="1560"/>
          </w:tcPr>
          <w:p>
            <w:pPr>
              <w:jc w:val="center"/>
            </w:pPr>
            <w:r>
              <w:rPr>
                <w:b/>
              </w:rPr>
            </w:r>
            <w:r>
              <w:rPr>
                <w:rFonts w:ascii="Times New Roman" w:hAnsi="Times New Roman"/>
                <w:b/>
                <w:sz w:val="20"/>
              </w:rPr>
              <w:t>P₄₄</w:t>
            </w:r>
          </w:p>
        </w:tc>
      </w:tr>
      <w:tr>
        <w:tc>
          <w:tcPr>
            <w:tcW w:type="dxa" w:w="1560"/>
          </w:tcPr>
          <w:p>
            <w:pPr>
              <w:jc w:val="center"/>
            </w:pPr>
            <w:r/>
            <w:r>
              <w:rPr>
                <w:rFonts w:ascii="Times New Roman" w:hAnsi="Times New Roman"/>
                <w:sz w:val="20"/>
              </w:rPr>
              <w:t>3</w:t>
            </w:r>
          </w:p>
        </w:tc>
        <w:tc>
          <w:tcPr>
            <w:tcW w:type="dxa" w:w="1560"/>
          </w:tcPr>
          <w:p>
            <w:pPr>
              <w:jc w:val="center"/>
            </w:pPr>
            <w:r/>
            <w:r>
              <w:rPr>
                <w:rFonts w:ascii="Times New Roman" w:hAnsi="Times New Roman"/>
                <w:sz w:val="20"/>
              </w:rPr>
              <w:t>pre</w:t>
            </w:r>
          </w:p>
        </w:tc>
        <w:tc>
          <w:tcPr>
            <w:tcW w:type="dxa" w:w="1560"/>
          </w:tcPr>
          <w:p>
            <w:pPr>
              <w:jc w:val="center"/>
            </w:pPr>
            <w:r/>
            <w:r>
              <w:rPr>
                <w:rFonts w:ascii="Times New Roman" w:hAnsi="Times New Roman"/>
                <w:sz w:val="20"/>
              </w:rPr>
              <w:t>0.946</w:t>
            </w:r>
          </w:p>
        </w:tc>
        <w:tc>
          <w:tcPr>
            <w:tcW w:type="dxa" w:w="1560"/>
          </w:tcPr>
          <w:p>
            <w:pPr>
              <w:jc w:val="center"/>
            </w:pPr>
            <w:r/>
            <w:r>
              <w:rPr>
                <w:rFonts w:ascii="Times New Roman" w:hAnsi="Times New Roman"/>
                <w:sz w:val="20"/>
              </w:rPr>
              <w:t>0.931</w:t>
            </w:r>
          </w:p>
        </w:tc>
        <w:tc>
          <w:tcPr>
            <w:tcW w:type="dxa" w:w="1560"/>
          </w:tcPr>
          <w:p>
            <w:pPr>
              <w:jc w:val="center"/>
            </w:pPr>
            <w:r/>
            <w:r>
              <w:rPr>
                <w:rFonts w:ascii="Times New Roman" w:hAnsi="Times New Roman"/>
                <w:sz w:val="20"/>
              </w:rPr>
              <w:t>0.974</w:t>
            </w:r>
          </w:p>
        </w:tc>
        <w:tc>
          <w:tcPr>
            <w:tcW w:type="dxa" w:w="1560"/>
          </w:tcPr>
          <w:p>
            <w:pPr>
              <w:jc w:val="center"/>
            </w:pPr>
            <w:r/>
            <w:r>
              <w:rPr>
                <w:rFonts w:ascii="Times New Roman" w:hAnsi="Times New Roman"/>
                <w:sz w:val="20"/>
              </w:rPr>
              <w:t>—</w:t>
            </w:r>
          </w:p>
        </w:tc>
      </w:tr>
      <w:tr>
        <w:tc>
          <w:tcPr>
            <w:tcW w:type="dxa" w:w="1560"/>
          </w:tcPr>
          <w:p>
            <w:pPr>
              <w:jc w:val="center"/>
            </w:pPr>
            <w:r/>
            <w:r>
              <w:rPr>
                <w:rFonts w:ascii="Times New Roman" w:hAnsi="Times New Roman"/>
                <w:sz w:val="20"/>
              </w:rPr>
              <w:t>3</w:t>
            </w:r>
          </w:p>
        </w:tc>
        <w:tc>
          <w:tcPr>
            <w:tcW w:type="dxa" w:w="1560"/>
          </w:tcPr>
          <w:p>
            <w:pPr>
              <w:jc w:val="center"/>
            </w:pPr>
            <w:r/>
            <w:r>
              <w:rPr>
                <w:rFonts w:ascii="Times New Roman" w:hAnsi="Times New Roman"/>
                <w:sz w:val="20"/>
              </w:rPr>
              <w:t>post</w:t>
            </w:r>
          </w:p>
        </w:tc>
        <w:tc>
          <w:tcPr>
            <w:tcW w:type="dxa" w:w="1560"/>
          </w:tcPr>
          <w:p>
            <w:pPr>
              <w:jc w:val="center"/>
            </w:pPr>
            <w:r/>
            <w:r>
              <w:rPr>
                <w:rFonts w:ascii="Times New Roman" w:hAnsi="Times New Roman"/>
                <w:sz w:val="20"/>
              </w:rPr>
              <w:t>0.982</w:t>
            </w:r>
          </w:p>
        </w:tc>
        <w:tc>
          <w:tcPr>
            <w:tcW w:type="dxa" w:w="1560"/>
          </w:tcPr>
          <w:p>
            <w:pPr>
              <w:jc w:val="center"/>
            </w:pPr>
            <w:r/>
            <w:r>
              <w:rPr>
                <w:rFonts w:ascii="Times New Roman" w:hAnsi="Times New Roman"/>
                <w:sz w:val="20"/>
              </w:rPr>
              <w:t>0.968</w:t>
            </w:r>
          </w:p>
        </w:tc>
        <w:tc>
          <w:tcPr>
            <w:tcW w:type="dxa" w:w="1560"/>
          </w:tcPr>
          <w:p>
            <w:pPr>
              <w:jc w:val="center"/>
            </w:pPr>
            <w:r/>
            <w:r>
              <w:rPr>
                <w:rFonts w:ascii="Times New Roman" w:hAnsi="Times New Roman"/>
                <w:sz w:val="20"/>
              </w:rPr>
              <w:t>0.983</w:t>
            </w:r>
          </w:p>
        </w:tc>
        <w:tc>
          <w:tcPr>
            <w:tcW w:type="dxa" w:w="1560"/>
          </w:tcPr>
          <w:p>
            <w:pPr>
              <w:jc w:val="center"/>
            </w:pPr>
            <w:r/>
            <w:r>
              <w:rPr>
                <w:rFonts w:ascii="Times New Roman" w:hAnsi="Times New Roman"/>
                <w:sz w:val="20"/>
              </w:rPr>
              <w:t>—</w:t>
            </w:r>
          </w:p>
        </w:tc>
      </w:tr>
      <w:tr>
        <w:tc>
          <w:tcPr>
            <w:tcW w:type="dxa" w:w="1560"/>
          </w:tcPr>
          <w:p>
            <w:pPr>
              <w:jc w:val="center"/>
            </w:pPr>
            <w:r/>
            <w:r>
              <w:rPr>
                <w:rFonts w:ascii="Times New Roman" w:hAnsi="Times New Roman"/>
                <w:sz w:val="20"/>
              </w:rPr>
              <w:t>4</w:t>
            </w:r>
          </w:p>
        </w:tc>
        <w:tc>
          <w:tcPr>
            <w:tcW w:type="dxa" w:w="1560"/>
          </w:tcPr>
          <w:p>
            <w:pPr>
              <w:jc w:val="center"/>
            </w:pPr>
            <w:r/>
            <w:r>
              <w:rPr>
                <w:rFonts w:ascii="Times New Roman" w:hAnsi="Times New Roman"/>
                <w:sz w:val="20"/>
              </w:rPr>
              <w:t>pre</w:t>
            </w:r>
          </w:p>
        </w:tc>
        <w:tc>
          <w:tcPr>
            <w:tcW w:type="dxa" w:w="1560"/>
          </w:tcPr>
          <w:p>
            <w:pPr>
              <w:jc w:val="center"/>
            </w:pPr>
            <w:r/>
            <w:r>
              <w:rPr>
                <w:rFonts w:ascii="Times New Roman" w:hAnsi="Times New Roman"/>
                <w:sz w:val="20"/>
              </w:rPr>
              <w:t>0.939</w:t>
            </w:r>
          </w:p>
        </w:tc>
        <w:tc>
          <w:tcPr>
            <w:tcW w:type="dxa" w:w="1560"/>
          </w:tcPr>
          <w:p>
            <w:pPr>
              <w:jc w:val="center"/>
            </w:pPr>
            <w:r/>
            <w:r>
              <w:rPr>
                <w:rFonts w:ascii="Times New Roman" w:hAnsi="Times New Roman"/>
                <w:sz w:val="20"/>
              </w:rPr>
              <w:t>0.921</w:t>
            </w:r>
          </w:p>
        </w:tc>
        <w:tc>
          <w:tcPr>
            <w:tcW w:type="dxa" w:w="1560"/>
          </w:tcPr>
          <w:p>
            <w:pPr>
              <w:jc w:val="center"/>
            </w:pPr>
            <w:r/>
            <w:r>
              <w:rPr>
                <w:rFonts w:ascii="Times New Roman" w:hAnsi="Times New Roman"/>
                <w:sz w:val="20"/>
              </w:rPr>
              <w:t>0.916</w:t>
            </w:r>
          </w:p>
        </w:tc>
        <w:tc>
          <w:tcPr>
            <w:tcW w:type="dxa" w:w="1560"/>
          </w:tcPr>
          <w:p>
            <w:pPr>
              <w:jc w:val="center"/>
            </w:pPr>
            <w:r/>
            <w:r>
              <w:rPr>
                <w:rFonts w:ascii="Times New Roman" w:hAnsi="Times New Roman"/>
                <w:sz w:val="20"/>
              </w:rPr>
              <w:t>0.957</w:t>
            </w:r>
          </w:p>
        </w:tc>
      </w:tr>
      <w:tr>
        <w:tc>
          <w:tcPr>
            <w:tcW w:type="dxa" w:w="1560"/>
          </w:tcPr>
          <w:p>
            <w:pPr>
              <w:jc w:val="center"/>
            </w:pPr>
            <w:r/>
            <w:r>
              <w:rPr>
                <w:rFonts w:ascii="Times New Roman" w:hAnsi="Times New Roman"/>
                <w:sz w:val="20"/>
              </w:rPr>
              <w:t>4</w:t>
            </w:r>
          </w:p>
        </w:tc>
        <w:tc>
          <w:tcPr>
            <w:tcW w:type="dxa" w:w="1560"/>
          </w:tcPr>
          <w:p>
            <w:pPr>
              <w:jc w:val="center"/>
            </w:pPr>
            <w:r/>
            <w:r>
              <w:rPr>
                <w:rFonts w:ascii="Times New Roman" w:hAnsi="Times New Roman"/>
                <w:sz w:val="20"/>
              </w:rPr>
              <w:t>post</w:t>
            </w:r>
          </w:p>
        </w:tc>
        <w:tc>
          <w:tcPr>
            <w:tcW w:type="dxa" w:w="1560"/>
          </w:tcPr>
          <w:p>
            <w:pPr>
              <w:jc w:val="center"/>
            </w:pPr>
            <w:r/>
            <w:r>
              <w:rPr>
                <w:rFonts w:ascii="Times New Roman" w:hAnsi="Times New Roman"/>
                <w:sz w:val="20"/>
              </w:rPr>
              <w:t>0.969</w:t>
            </w:r>
          </w:p>
        </w:tc>
        <w:tc>
          <w:tcPr>
            <w:tcW w:type="dxa" w:w="1560"/>
          </w:tcPr>
          <w:p>
            <w:pPr>
              <w:jc w:val="center"/>
            </w:pPr>
            <w:r/>
            <w:r>
              <w:rPr>
                <w:rFonts w:ascii="Times New Roman" w:hAnsi="Times New Roman"/>
                <w:sz w:val="20"/>
              </w:rPr>
              <w:t>0.974</w:t>
            </w:r>
          </w:p>
        </w:tc>
        <w:tc>
          <w:tcPr>
            <w:tcW w:type="dxa" w:w="1560"/>
          </w:tcPr>
          <w:p>
            <w:pPr>
              <w:jc w:val="center"/>
            </w:pPr>
            <w:r/>
            <w:r>
              <w:rPr>
                <w:rFonts w:ascii="Times New Roman" w:hAnsi="Times New Roman"/>
                <w:sz w:val="20"/>
              </w:rPr>
              <w:t>0.967</w:t>
            </w:r>
          </w:p>
        </w:tc>
        <w:tc>
          <w:tcPr>
            <w:tcW w:type="dxa" w:w="1560"/>
          </w:tcPr>
          <w:p>
            <w:pPr>
              <w:jc w:val="center"/>
            </w:pPr>
            <w:r/>
            <w:r>
              <w:rPr>
                <w:rFonts w:ascii="Times New Roman" w:hAnsi="Times New Roman"/>
                <w:sz w:val="20"/>
              </w:rPr>
              <w:t>0.978</w:t>
            </w:r>
          </w:p>
        </w:tc>
      </w:tr>
    </w:tbl>
    <w:p/>
    <w:p>
      <w:pPr>
        <w:jc w:val="both"/>
      </w:pPr>
      <w:r>
        <w:rPr>
          <w:rFonts w:ascii="Times New Roman" w:hAnsi="Times New Roman"/>
          <w:sz w:val="22"/>
        </w:rPr>
        <w:t xml:space="preserve">On the enriched panel the likelihood-ratio homogeneity test (df corrected for occupied support) returns </w:t>
      </w:r>
      <w:r>
        <w:rPr>
          <w:rFonts w:ascii="Times New Roman" w:hAnsi="Times New Roman"/>
          <w:b/>
          <w:sz w:val="22"/>
        </w:rPr>
        <w:t>LR = 50.8, df = 11, p &lt; 0.001</w:t>
      </w:r>
      <w:r>
        <w:rPr>
          <w:rFonts w:ascii="Times New Roman" w:hAnsi="Times New Roman"/>
          <w:sz w:val="22"/>
        </w:rPr>
        <w:t xml:space="preserve"> — the transition structure does differ by regime, consistent with the spectral-gap shift of Section 5.4. (This test is run on the total violation-density axis, whose 13.4% zero mass does </w:t>
      </w:r>
      <w:r>
        <w:rPr>
          <w:rFonts w:ascii="Times New Roman" w:hAnsi="Times New Roman"/>
          <w:i/>
          <w:sz w:val="22"/>
        </w:rPr>
        <w:t>not</w:t>
      </w:r>
      <w:r>
        <w:rPr>
          <w:rFonts w:ascii="Times New Roman" w:hAnsi="Times New Roman"/>
          <w:sz w:val="22"/>
        </w:rPr>
        <w:t xml:space="preserve"> trigger the cutpoint collapse, so all four states are occupied and df = 11; the more severe collapse illustrated in Section 5.2 — df 12 → 6 — arises on the sparser operable axis, where the 34.3% zero mass exceeds the 1/k threshold.) We are careful, however, not to over-read the LR </w:t>
      </w:r>
      <w:r>
        <w:rPr>
          <w:rFonts w:ascii="Times New Roman" w:hAnsi="Times New Roman"/>
          <w:i/>
          <w:sz w:val="22"/>
        </w:rPr>
        <w:t>magnitude</w:t>
      </w:r>
      <w:r>
        <w:rPr>
          <w:rFonts w:ascii="Times New Roman" w:hAnsi="Times New Roman"/>
          <w:sz w:val="22"/>
        </w:rPr>
        <w:t xml:space="preserve">: on a 13,702-repo-month panel the homogeneity LR is highly powered and would flag even cell-probability differences too small to matter, so the honest summary is not the LR </w:t>
      </w:r>
      <w:r>
        <w:rPr>
          <w:rFonts w:ascii="Times New Roman" w:hAnsi="Times New Roman"/>
          <w:i/>
          <w:sz w:val="22"/>
        </w:rPr>
        <w:t>p</w:t>
      </w:r>
      <w:r>
        <w:rPr>
          <w:rFonts w:ascii="Times New Roman" w:hAnsi="Times New Roman"/>
          <w:sz w:val="22"/>
        </w:rPr>
        <w:t xml:space="preserve">-value but the </w:t>
      </w:r>
      <w:r>
        <w:rPr>
          <w:rFonts w:ascii="Times New Roman" w:hAnsi="Times New Roman"/>
          <w:i/>
          <w:sz w:val="22"/>
        </w:rPr>
        <w:t>direction and effect size</w:t>
      </w:r>
      <w:r>
        <w:rPr>
          <w:rFonts w:ascii="Times New Roman" w:hAnsi="Times New Roman"/>
          <w:sz w:val="22"/>
        </w:rPr>
        <w:t xml:space="preserve"> of the change — a uniform, bootstrap-significant rise in self-transition persistence (Table 7, §5.4), not a reshuffling of where mass sits. This hypersensitivity of the large-N homogeneity test is itself a methodological point we restate in the checklist (Section 6).</w:t>
      </w:r>
    </w:p>
    <w:p>
      <w:pPr>
        <w:jc w:val="center"/>
      </w:pPr>
      <w:r>
        <w:drawing>
          <wp:inline xmlns:a="http://schemas.openxmlformats.org/drawingml/2006/main" xmlns:pic="http://schemas.openxmlformats.org/drawingml/2006/picture">
            <wp:extent cx="4754880" cy="2402598"/>
            <wp:docPr id="4" name="Picture 4"/>
            <wp:cNvGraphicFramePr>
              <a:graphicFrameLocks noChangeAspect="1"/>
            </wp:cNvGraphicFramePr>
            <a:graphic>
              <a:graphicData uri="http://schemas.openxmlformats.org/drawingml/2006/picture">
                <pic:pic>
                  <pic:nvPicPr>
                    <pic:cNvPr id="0" name="fig3_transitions.png"/>
                    <pic:cNvPicPr/>
                  </pic:nvPicPr>
                  <pic:blipFill>
                    <a:blip r:embed="rId13"/>
                    <a:stretch>
                      <a:fillRect/>
                    </a:stretch>
                  </pic:blipFill>
                  <pic:spPr>
                    <a:xfrm>
                      <a:off x="0" y="0"/>
                      <a:ext cx="4754880" cy="2402598"/>
                    </a:xfrm>
                    <a:prstGeom prst="rect"/>
                  </pic:spPr>
                </pic:pic>
              </a:graphicData>
            </a:graphic>
          </wp:inline>
        </w:drawing>
      </w:r>
    </w:p>
    <w:p>
      <w:pPr>
        <w:jc w:val="center"/>
      </w:pPr>
      <w:r>
        <w:rPr>
          <w:rFonts w:ascii="Times New Roman" w:hAnsi="Times New Roman"/>
          <w:i/>
          <w:color w:val="555555"/>
          <w:sz w:val="19"/>
        </w:rPr>
        <w:t>Figure 3. Pre- vs. post-adoption 4-state transition matrices on the violation-density state variable. Self-transition mass (the diagonal) increases post-adoption on every occupied state, the visual counterpart of the spectral-gap contraction (0.036 → 0.017) reported in Section 5.4; off-diagonal (state-changing) mass correspondingly thins.</w:t>
      </w:r>
    </w:p>
    <w:p>
      <w:pPr>
        <w:jc w:val="both"/>
      </w:pPr>
      <w:r>
        <w:rPr>
          <w:rFonts w:ascii="Times New Roman" w:hAnsi="Times New Roman"/>
          <w:b/>
          <w:sz w:val="22"/>
        </w:rPr>
        <w:t>An assumption that does not cleanly hold, and what it does to this claim.</w:t>
      </w:r>
      <w:r>
        <w:rPr>
          <w:rFonts w:ascii="Times New Roman" w:hAnsi="Times New Roman"/>
          <w:sz w:val="22"/>
        </w:rPr>
        <w:t xml:space="preserve"> We must confront here, not defer to threats, that the first-order Markov assumption holds unevenly across specifications. The likelihood-ratio order test (first vs. second order, df corrected for occupied support) gives, by state count and regime: 3-state pre p = 0.0003 (rejects), post p = 0.739 (does not); 4-state pre p = 0.206, post p = 0.0925 (neither rejects at α = .05); 5-request→4-state pre p = 0.007, post p = 0.0009 (both reject). So at the 4-state specification we report as primary, first-order Markovianity is </w:t>
      </w:r>
      <w:r>
        <w:rPr>
          <w:rFonts w:ascii="Times New Roman" w:hAnsi="Times New Roman"/>
          <w:i/>
          <w:sz w:val="22"/>
        </w:rPr>
        <w:t>not</w:t>
      </w:r>
      <w:r>
        <w:rPr>
          <w:rFonts w:ascii="Times New Roman" w:hAnsi="Times New Roman"/>
          <w:sz w:val="22"/>
        </w:rPr>
        <w:t xml:space="preserve"> rejected in either regime, but at finer/coarser binnings it is rejected in the pre regime (and, at 5→4, both). The honest consequence is twofold. </w:t>
      </w:r>
      <w:r>
        <w:rPr>
          <w:rFonts w:ascii="Times New Roman" w:hAnsi="Times New Roman"/>
          <w:i/>
          <w:sz w:val="22"/>
        </w:rPr>
        <w:t>Negatively:</w:t>
      </w:r>
      <w:r>
        <w:rPr>
          <w:rFonts w:ascii="Times New Roman" w:hAnsi="Times New Roman"/>
          <w:sz w:val="22"/>
        </w:rPr>
        <w:t xml:space="preserve"> if the true process is higher-order, the estimated P is a first-order </w:t>
      </w:r>
      <w:r>
        <w:rPr>
          <w:rFonts w:ascii="Times New Roman" w:hAnsi="Times New Roman"/>
          <w:i/>
          <w:sz w:val="22"/>
        </w:rPr>
        <w:t>projection</w:t>
      </w:r>
      <w:r>
        <w:rPr>
          <w:rFonts w:ascii="Times New Roman" w:hAnsi="Times New Roman"/>
          <w:sz w:val="22"/>
        </w:rPr>
        <w:t xml:space="preserve"> of the dynamics, so the homogeneity test compares two projections rather than the full processes — it can only license the claim "the first-order monthly transition structure does not differ by regime," not the stronger "the dynamics are identical." We adopt the weaker claim throughout and have revised the Abstract and contribution wording accordingly. </w:t>
      </w:r>
      <w:r>
        <w:rPr>
          <w:rFonts w:ascii="Times New Roman" w:hAnsi="Times New Roman"/>
          <w:i/>
          <w:sz w:val="22"/>
        </w:rPr>
        <w:t>Mitigatingly:</w:t>
      </w:r>
      <w:r>
        <w:rPr>
          <w:rFonts w:ascii="Times New Roman" w:hAnsi="Times New Roman"/>
          <w:sz w:val="22"/>
        </w:rPr>
        <w:t xml:space="preserve"> a difference in higher-order structure that left the first-order projection, the stationary distribution (Section 5.4), the variance (Section 5.5), and the tail DiD (Section 6) all simultaneously null would be an unusual and narrow form of regime change. We are careful not to overstate this: these moments are computed from the </w:t>
      </w:r>
      <w:r>
        <w:rPr>
          <w:rFonts w:ascii="Times New Roman" w:hAnsi="Times New Roman"/>
          <w:i/>
          <w:sz w:val="22"/>
        </w:rPr>
        <w:t>same</w:t>
      </w:r>
      <w:r>
        <w:rPr>
          <w:rFonts w:ascii="Times New Roman" w:hAnsi="Times New Roman"/>
          <w:sz w:val="22"/>
        </w:rPr>
        <w:t xml:space="preserve"> panel and are not statistically independent, so their agreement is not several independent confirmations. But they are sensitive to </w:t>
      </w:r>
      <w:r>
        <w:rPr>
          <w:rFonts w:ascii="Times New Roman" w:hAnsi="Times New Roman"/>
          <w:i/>
          <w:sz w:val="22"/>
        </w:rPr>
        <w:t>different</w:t>
      </w:r>
      <w:r>
        <w:rPr>
          <w:rFonts w:ascii="Times New Roman" w:hAnsi="Times New Roman"/>
          <w:sz w:val="22"/>
        </w:rPr>
        <w:t xml:space="preserve"> features of the dynamics (persistence, mixing, spread, tail mass), so their convergence on "no difference" is still more informative than any single first-order test. The first-order rejection bounds the </w:t>
      </w:r>
      <w:r>
        <w:rPr>
          <w:rFonts w:ascii="Times New Roman" w:hAnsi="Times New Roman"/>
          <w:i/>
          <w:sz w:val="22"/>
        </w:rPr>
        <w:t>strength</w:t>
      </w:r>
      <w:r>
        <w:rPr>
          <w:rFonts w:ascii="Times New Roman" w:hAnsi="Times New Roman"/>
          <w:sz w:val="22"/>
        </w:rPr>
        <w:t xml:space="preserve"> of the dynamics null without overturning its </w:t>
      </w:r>
      <w:r>
        <w:rPr>
          <w:rFonts w:ascii="Times New Roman" w:hAnsi="Times New Roman"/>
          <w:i/>
          <w:sz w:val="22"/>
        </w:rPr>
        <w:t>direction</w:t>
      </w:r>
      <w:r>
        <w:rPr>
          <w:rFonts w:ascii="Times New Roman" w:hAnsi="Times New Roman"/>
          <w:sz w:val="22"/>
        </w:rPr>
        <w:t>, and we return to it in Section 8.4.</w:t>
      </w:r>
    </w:p>
    <w:p>
      <w:pPr>
        <w:spacing w:before="160" w:after="80"/>
      </w:pPr>
      <w:r>
        <w:rPr>
          <w:rFonts w:ascii="Times New Roman" w:hAnsi="Times New Roman"/>
          <w:b/>
          <w:color w:val="000000"/>
          <w:sz w:val="23"/>
        </w:rPr>
        <w:t>5.4 Persistence and Mixing: A Small but Robust Increase in State Persistence</w:t>
      </w:r>
    </w:p>
    <w:p>
      <w:pPr>
        <w:jc w:val="both"/>
      </w:pPr>
      <w:r>
        <w:rPr>
          <w:rFonts w:ascii="Times New Roman" w:hAnsi="Times New Roman"/>
          <w:sz w:val="22"/>
        </w:rPr>
        <w:t xml:space="preserve">This is the one beyond-mean facet where the data show a real, sign-consistent treatment-associated difference, and we report it carefully. On the violation-density state variable (Section 5.2), the spectral gap — 1 - |λ₂|, the second-eigenvalue mixing rate, where </w:t>
      </w:r>
      <w:r>
        <w:rPr>
          <w:rFonts w:ascii="Times New Roman" w:hAnsi="Times New Roman"/>
          <w:i/>
          <w:sz w:val="22"/>
        </w:rPr>
        <w:t>smaller = slower mixing = stickier states</w:t>
      </w:r>
      <w:r>
        <w:rPr>
          <w:rFonts w:ascii="Times New Roman" w:hAnsi="Times New Roman"/>
          <w:sz w:val="22"/>
        </w:rPr>
        <w:t xml:space="preserve"> — shrinks post-adoption from </w:t>
      </w:r>
      <w:r>
        <w:rPr>
          <w:rFonts w:ascii="Times New Roman" w:hAnsi="Times New Roman"/>
          <w:b/>
          <w:sz w:val="22"/>
        </w:rPr>
        <w:t>0.036 to 0.017</w:t>
      </w:r>
      <w:r>
        <w:rPr>
          <w:rFonts w:ascii="Times New Roman" w:hAnsi="Times New Roman"/>
          <w:sz w:val="22"/>
        </w:rPr>
        <w:t xml:space="preserve">, a difference of </w:t>
      </w:r>
      <w:r>
        <w:rPr>
          <w:rFonts w:ascii="Times New Roman" w:hAnsi="Times New Roman"/>
          <w:b/>
          <w:sz w:val="22"/>
        </w:rPr>
        <w:t>−0.019</w:t>
      </w:r>
      <w:r>
        <w:rPr>
          <w:rFonts w:ascii="Times New Roman" w:hAnsi="Times New Roman"/>
          <w:sz w:val="22"/>
        </w:rPr>
        <w:t xml:space="preserve"> whose repo-level block-bootstrap 95% CI of </w:t>
      </w:r>
      <w:r>
        <w:rPr>
          <w:rFonts w:ascii="Times New Roman" w:hAnsi="Times New Roman"/>
          <w:b/>
          <w:sz w:val="22"/>
        </w:rPr>
        <w:t>[−0.031, −0.007]</w:t>
      </w:r>
      <w:r>
        <w:rPr>
          <w:rFonts w:ascii="Times New Roman" w:hAnsi="Times New Roman"/>
          <w:sz w:val="22"/>
        </w:rPr>
        <w:t xml:space="preserve"> (2,000 replicates, whole repositories resampled) excludes zero. The mechanism is visible in the transition diagonals (Table 7), which rise on </w:t>
      </w:r>
      <w:r>
        <w:rPr>
          <w:rFonts w:ascii="Times New Roman" w:hAnsi="Times New Roman"/>
          <w:b/>
          <w:sz w:val="22"/>
        </w:rPr>
        <w:t>every</w:t>
      </w:r>
      <w:r>
        <w:rPr>
          <w:rFonts w:ascii="Times New Roman" w:hAnsi="Times New Roman"/>
          <w:sz w:val="22"/>
        </w:rPr>
        <w:t xml:space="preserve"> occupied state post-adoption: the four 4-state self-transition probabilities go 0.94 → 0.97, 0.92 → 0.97, 0.92 → 0.97, and 0.96 → 0.98. Repositories become </w:t>
      </w:r>
      <w:r>
        <w:rPr>
          <w:rFonts w:ascii="Times New Roman" w:hAnsi="Times New Roman"/>
          <w:b/>
          <w:sz w:val="22"/>
        </w:rPr>
        <w:t>more likely to remain in their current accessibility-quality band from one month to the next</w:t>
      </w:r>
      <w:r>
        <w:rPr>
          <w:rFonts w:ascii="Times New Roman" w:hAnsi="Times New Roman"/>
          <w:sz w:val="22"/>
        </w:rPr>
        <w:t xml:space="preserve"> after adopting AI tooling. The effect is directionally robust — negative across the 3- and 4-state binnings and the full panel — and it is not a window-length artifact: post-adoption windows are if anything longer, so a longer window cannot manufacture </w:t>
      </w:r>
      <w:r>
        <w:rPr>
          <w:rFonts w:ascii="Times New Roman" w:hAnsi="Times New Roman"/>
          <w:i/>
          <w:sz w:val="22"/>
        </w:rPr>
        <w:t>more</w:t>
      </w:r>
      <w:r>
        <w:rPr>
          <w:rFonts w:ascii="Times New Roman" w:hAnsi="Times New Roman"/>
          <w:sz w:val="22"/>
        </w:rPr>
        <w:t xml:space="preserve"> persistence.</w:t>
      </w:r>
    </w:p>
    <w:p>
      <w:pPr>
        <w:jc w:val="both"/>
      </w:pPr>
      <w:r>
        <w:rPr>
          <w:rFonts w:ascii="Times New Roman" w:hAnsi="Times New Roman"/>
          <w:sz w:val="22"/>
        </w:rPr>
        <w:t xml:space="preserve">We are deliberate about how much weight this carries. First, it is strictly a </w:t>
      </w:r>
      <w:r>
        <w:rPr>
          <w:rFonts w:ascii="Times New Roman" w:hAnsi="Times New Roman"/>
          <w:b/>
          <w:sz w:val="22"/>
        </w:rPr>
        <w:t>second-order</w:t>
      </w:r>
      <w:r>
        <w:rPr>
          <w:rFonts w:ascii="Times New Roman" w:hAnsi="Times New Roman"/>
          <w:sz w:val="22"/>
        </w:rPr>
        <w:t xml:space="preserve"> effect: the </w:t>
      </w:r>
      <w:r>
        <w:rPr>
          <w:rFonts w:ascii="Times New Roman" w:hAnsi="Times New Roman"/>
          <w:i/>
          <w:sz w:val="22"/>
        </w:rPr>
        <w:t>level</w:t>
      </w:r>
      <w:r>
        <w:rPr>
          <w:rFonts w:ascii="Times New Roman" w:hAnsi="Times New Roman"/>
          <w:sz w:val="22"/>
        </w:rPr>
        <w:t xml:space="preserve"> of accessibility quality is null on every axis (Section 4), so this is a change in the </w:t>
      </w:r>
      <w:r>
        <w:rPr>
          <w:rFonts w:ascii="Times New Roman" w:hAnsi="Times New Roman"/>
          <w:i/>
          <w:sz w:val="22"/>
        </w:rPr>
        <w:t>persistence</w:t>
      </w:r>
      <w:r>
        <w:rPr>
          <w:rFonts w:ascii="Times New Roman" w:hAnsi="Times New Roman"/>
          <w:sz w:val="22"/>
        </w:rPr>
        <w:t xml:space="preserve"> of quality states, not in their quality. Both regimes describe a highly persistent, slow-mixing process; adoption moves it from "very sticky" to "slightly stickier." Second, the natural and benign reading is </w:t>
      </w:r>
      <w:r>
        <w:rPr>
          <w:rFonts w:ascii="Times New Roman" w:hAnsi="Times New Roman"/>
          <w:i/>
          <w:sz w:val="22"/>
        </w:rPr>
        <w:t>less month-to-month churn</w:t>
      </w:r>
      <w:r>
        <w:rPr>
          <w:rFonts w:ascii="Times New Roman" w:hAnsi="Times New Roman"/>
          <w:sz w:val="22"/>
        </w:rPr>
        <w:t xml:space="preserve"> — AI-assisted repositories settle into a more stable component structure, for better or worse, rather than drifting toward better or worse accessibility. We had pre-registered this exact direction under hypothesis H (slower post-adoption mixing), so it is a confirmed prediction rather than a post-hoc discovery, but we flag it as the single dynamics signal worth following up at finer (per-commit) resolution and are explicit that it leaves the level null entirely intact. We do </w:t>
      </w:r>
      <w:r>
        <w:rPr>
          <w:rFonts w:ascii="Times New Roman" w:hAnsi="Times New Roman"/>
          <w:b/>
          <w:sz w:val="22"/>
        </w:rPr>
        <w:t>not</w:t>
      </w:r>
      <w:r>
        <w:rPr>
          <w:rFonts w:ascii="Times New Roman" w:hAnsi="Times New Roman"/>
          <w:sz w:val="22"/>
        </w:rPr>
        <w:t xml:space="preserve"> read it as evidence of harm or benefit to accessibility, only of reduced volatility in the </w:t>
      </w:r>
      <w:r>
        <w:rPr>
          <w:rFonts w:ascii="Times New Roman" w:hAnsi="Times New Roman"/>
          <w:i/>
          <w:sz w:val="22"/>
        </w:rPr>
        <w:t>path</w:t>
      </w:r>
      <w:r>
        <w:rPr>
          <w:rFonts w:ascii="Times New Roman" w:hAnsi="Times New Roman"/>
          <w:sz w:val="22"/>
        </w:rPr>
        <w:t xml:space="preserve"> a repository takes.</w:t>
      </w:r>
    </w:p>
    <w:p>
      <w:pPr>
        <w:spacing w:before="160" w:after="80"/>
      </w:pPr>
      <w:r>
        <w:rPr>
          <w:rFonts w:ascii="Times New Roman" w:hAnsi="Times New Roman"/>
          <w:b/>
          <w:color w:val="000000"/>
          <w:sz w:val="23"/>
        </w:rPr>
        <w:t>5.5 Volatility Unchanged; and a Withdrawn Utilization Conjecture</w:t>
      </w:r>
    </w:p>
    <w:p>
      <w:pPr>
        <w:jc w:val="both"/>
      </w:pPr>
      <w:r>
        <w:rPr>
          <w:rFonts w:ascii="Times New Roman" w:hAnsi="Times New Roman"/>
          <w:b/>
          <w:sz w:val="22"/>
        </w:rPr>
        <w:t>Volatility.</w:t>
      </w:r>
      <w:r>
        <w:rPr>
          <w:rFonts w:ascii="Times New Roman" w:hAnsi="Times New Roman"/>
          <w:sz w:val="22"/>
        </w:rPr>
        <w:t xml:space="preserve"> On the enriched panel, variance of the semantic-HTML axis is essentially flat across regimes (σ²pre = 0.0058, σ²post = 0.0068); the Brown–Forsythe test gives W = 1.71 (not significant). No change in overall volatility.</w:t>
      </w:r>
    </w:p>
    <w:p>
      <w:pPr>
        <w:jc w:val="both"/>
      </w:pPr>
      <w:r>
        <w:rPr>
          <w:rFonts w:ascii="Times New Roman" w:hAnsi="Times New Roman"/>
          <w:b/>
          <w:sz w:val="22"/>
        </w:rPr>
        <w:t>A birth–death utilization model, and why we withdraw it.</w:t>
      </w:r>
      <w:r>
        <w:rPr>
          <w:rFonts w:ascii="Times New Roman" w:hAnsi="Times New Roman"/>
          <w:sz w:val="22"/>
        </w:rPr>
        <w:t xml:space="preserve"> We also modelled each repo's monthly trajectory as a discrete-time birth–death process with introduction rate λ and removal rate μ, and considered the utilization ρ = λ/μ. The monthly estimates are ρpre = 1.52, ρpost = 1.56 — both above 1, which taken literally would imply unbounded backlog growth even though the backlog is flat-to-declining (0.091 → 0.082). This internal contradiction signals that the </w:t>
      </w:r>
      <w:r>
        <w:rPr>
          <w:rFonts w:ascii="Times New Roman" w:hAnsi="Times New Roman"/>
          <w:i/>
          <w:sz w:val="22"/>
        </w:rPr>
        <w:t>level</w:t>
      </w:r>
      <w:r>
        <w:rPr>
          <w:rFonts w:ascii="Times New Roman" w:hAnsi="Times New Roman"/>
          <w:sz w:val="22"/>
        </w:rPr>
        <w:t xml:space="preserve"> of ρ is biased upward by the monthly cadence: any violation introduced and fixed within the same inter-snapshot interval nets to zero and is invisible, so observed removals are truncated relative to introductions.</w:t>
      </w:r>
    </w:p>
    <w:p>
      <w:pPr>
        <w:jc w:val="both"/>
      </w:pPr>
      <w:r>
        <w:rPr>
          <w:rFonts w:ascii="Times New Roman" w:hAnsi="Times New Roman"/>
          <w:sz w:val="22"/>
        </w:rPr>
        <w:t xml:space="preserve">We initially argued that this level bias is multiplicative and therefore </w:t>
      </w:r>
      <w:r>
        <w:rPr>
          <w:rFonts w:ascii="Times New Roman" w:hAnsi="Times New Roman"/>
          <w:b/>
          <w:sz w:val="22"/>
        </w:rPr>
        <w:t>cancels in the pre/post contrast</w:t>
      </w:r>
      <w:r>
        <w:rPr>
          <w:rFonts w:ascii="Times New Roman" w:hAnsi="Times New Roman"/>
          <w:sz w:val="22"/>
        </w:rPr>
        <w:t xml:space="preserve">, which would license using ρpost - ρpre as a valid regime comparison even though the absolute level is untrustworthy. Following the same discipline this paper recommends — do not trust a convenient cancellation argued only verbally; simulate it — we built a synthetic continuous-time birth–death panel with a </w:t>
      </w:r>
      <w:r>
        <w:rPr>
          <w:rFonts w:ascii="Times New Roman" w:hAnsi="Times New Roman"/>
          <w:i/>
          <w:sz w:val="22"/>
        </w:rPr>
        <w:t>known</w:t>
      </w:r>
      <w:r>
        <w:rPr>
          <w:rFonts w:ascii="Times New Roman" w:hAnsi="Times New Roman"/>
          <w:sz w:val="22"/>
        </w:rPr>
        <w:t xml:space="preserve"> ground-truth ρpre = 0.60 and ρpost = 0.78 (true contrast +0.18), observed it only through monthly net diffs, and checked whether the estimated contrast recovers the truth. </w:t>
      </w:r>
      <w:r>
        <w:rPr>
          <w:rFonts w:ascii="Times New Roman" w:hAnsi="Times New Roman"/>
          <w:b/>
          <w:sz w:val="22"/>
        </w:rPr>
        <w:t>It does not.</w:t>
      </w:r>
      <w:r>
        <w:rPr>
          <w:rFonts w:ascii="Times New Roman" w:hAnsi="Times New Roman"/>
          <w:sz w:val="22"/>
        </w:rPr>
        <w:t xml:space="preserve"> The level bias is confirmed (estimated ρ inflates to 1.1–1.7 as within-month churn rises), but the contrast is </w:t>
      </w:r>
      <w:r>
        <w:rPr>
          <w:rFonts w:ascii="Times New Roman" w:hAnsi="Times New Roman"/>
          <w:i/>
          <w:sz w:val="22"/>
        </w:rPr>
        <w:t>also</w:t>
      </w:r>
      <w:r>
        <w:rPr>
          <w:rFonts w:ascii="Times New Roman" w:hAnsi="Times New Roman"/>
          <w:sz w:val="22"/>
        </w:rPr>
        <w:t xml:space="preserve"> biased — the estimated contrast lands at +0.57 to +0.82 against a true +0.18 — because the truncation factor depends on each regime's event rate and so differs between regimes, and a regime-dependent factor does not cancel in any contrast formulation (difference, ratio, or log). Figure 4 shows this.</w:t>
      </w:r>
    </w:p>
    <w:p>
      <w:pPr>
        <w:jc w:val="both"/>
      </w:pPr>
      <w:r>
        <w:rPr>
          <w:rFonts w:ascii="Times New Roman" w:hAnsi="Times New Roman"/>
          <w:sz w:val="22"/>
        </w:rPr>
        <w:t xml:space="preserve">We therefore </w:t>
      </w:r>
      <w:r>
        <w:rPr>
          <w:rFonts w:ascii="Times New Roman" w:hAnsi="Times New Roman"/>
          <w:b/>
          <w:sz w:val="22"/>
        </w:rPr>
        <w:t>withdraw the cancellation claim and drop the queueing/utilization analysis from the substantive findings.</w:t>
      </w:r>
      <w:r>
        <w:rPr>
          <w:rFonts w:ascii="Times New Roman" w:hAnsi="Times New Roman"/>
          <w:sz w:val="22"/>
        </w:rPr>
        <w:t xml:space="preserve"> The monthly birth–death model is unreliable for </w:t>
      </w:r>
      <w:r>
        <w:rPr>
          <w:rFonts w:ascii="Times New Roman" w:hAnsi="Times New Roman"/>
          <w:i/>
          <w:sz w:val="22"/>
        </w:rPr>
        <w:t>both</w:t>
      </w:r>
      <w:r>
        <w:rPr>
          <w:rFonts w:ascii="Times New Roman" w:hAnsi="Times New Roman"/>
          <w:sz w:val="22"/>
        </w:rPr>
        <w:t xml:space="preserve"> the level and the contrast at this cadence; recovering it would require sub-monthly snapshots, which this panel does not have. We report the refutation rather than quietly deleting it because surfacing a conjecture our own simulation overturned is exactly the self-correction this paper advocates — and because the broader lesson (an aggregation artifact whose convenient cancellation fails under a realistic process) is itself worth recording. The RQ5 utilization facet is thus </w:t>
      </w:r>
      <w:r>
        <w:rPr>
          <w:rFonts w:ascii="Times New Roman" w:hAnsi="Times New Roman"/>
          <w:i/>
          <w:sz w:val="22"/>
        </w:rPr>
        <w:t>not estimable</w:t>
      </w:r>
      <w:r>
        <w:rPr>
          <w:rFonts w:ascii="Times New Roman" w:hAnsi="Times New Roman"/>
          <w:sz w:val="22"/>
        </w:rPr>
        <w:t xml:space="preserve"> at monthly resolution, not "null."</w:t>
      </w:r>
    </w:p>
    <w:p>
      <w:pPr>
        <w:jc w:val="both"/>
      </w:pPr>
      <w:r>
        <w:rPr>
          <w:rFonts w:ascii="Times New Roman" w:hAnsi="Times New Roman"/>
          <w:i/>
          <w:sz w:val="22"/>
        </w:rPr>
        <w:t>Figure 4. Simulated refutation of the utilization-cancellation conjecture. Synthetic birth–death panel with known ρpre=0.60, ρpost=0.78 (true contrast +0.18), observed only via monthly net diffs. (a) The estimated level ρ is biased far above the truth and grows with within-month churn. (b) The estimated regime contrast is also biased (≈ +0.6–0.8 vs. true +0.18) — the truncation factor differs by regime, so it does not cancel. The monthly birth–death model is therefore invalid for both level and contrast, and we withdraw it.</w:t>
      </w:r>
    </w:p>
    <w:p>
      <w:pPr>
        <w:spacing w:before="160" w:after="80"/>
      </w:pPr>
      <w:r>
        <w:rPr>
          <w:rFonts w:ascii="Times New Roman" w:hAnsi="Times New Roman"/>
          <w:b/>
          <w:color w:val="000000"/>
          <w:sz w:val="23"/>
        </w:rPr>
        <w:t>5.6 Negative Control</w:t>
      </w:r>
    </w:p>
    <w:p>
      <w:pPr>
        <w:jc w:val="both"/>
      </w:pPr>
      <w:r>
        <w:rPr>
          <w:rFonts w:ascii="Times New Roman" w:hAnsi="Times New Roman"/>
          <w:sz w:val="22"/>
        </w:rPr>
        <w:t xml:space="preserve">Applying the Markov homogeneity machinery to the stylistic component-count (repo-size) state gives LR = 15.76, df = 7, with a </w:t>
      </w:r>
      <w:r>
        <w:rPr>
          <w:rFonts w:ascii="Times New Roman" w:hAnsi="Times New Roman"/>
          <w:i/>
          <w:sz w:val="22"/>
        </w:rPr>
        <w:t>naive unclustered</w:t>
      </w:r>
      <w:r>
        <w:rPr>
          <w:rFonts w:ascii="Times New Roman" w:hAnsi="Times New Roman"/>
          <w:sz w:val="22"/>
        </w:rPr>
        <w:t xml:space="preserve"> χ² p = 0.027 — apparently weakly significant. But this is the paper's own thesis turned on itself: the χ² reference distribution assumes independent transitions, which within-repo dependence violates, so we must not read the unclustered p. Applying the </w:t>
      </w:r>
      <w:r>
        <w:rPr>
          <w:rFonts w:ascii="Times New Roman" w:hAnsi="Times New Roman"/>
          <w:b/>
          <w:sz w:val="22"/>
        </w:rPr>
        <w:t>same repo-level block bootstrap</w:t>
      </w:r>
      <w:r>
        <w:rPr>
          <w:rFonts w:ascii="Times New Roman" w:hAnsi="Times New Roman"/>
          <w:sz w:val="22"/>
        </w:rPr>
        <w:t xml:space="preserve"> used throughout (2,000 replicates) settles it. Under repo-resampling, the homogeneity LR statistic exceeds the naive χ².₉₅ critical value (14.07) </w:t>
      </w:r>
      <w:r>
        <w:rPr>
          <w:rFonts w:ascii="Times New Roman" w:hAnsi="Times New Roman"/>
          <w:b/>
          <w:sz w:val="22"/>
        </w:rPr>
        <w:t>60.9% of the time</w:t>
      </w:r>
      <w:r>
        <w:rPr>
          <w:rFonts w:ascii="Times New Roman" w:hAnsi="Times New Roman"/>
          <w:sz w:val="22"/>
        </w:rPr>
        <w:t xml:space="preserve"> — where a valid test would do so ≈5%. The observed LR (15.76, bootstrap 95% CI [5.25, 35.95]) sits comfortably inside that null spread. The nominal p = 0.027 is therefore an artifact of ignoring clustering, not evidence of a repo-size regime difference: </w:t>
      </w:r>
      <w:r>
        <w:rPr>
          <w:rFonts w:ascii="Times New Roman" w:hAnsi="Times New Roman"/>
          <w:b/>
          <w:sz w:val="22"/>
        </w:rPr>
        <w:t>under cluster-robust inference the negative control is clean.</w:t>
      </w:r>
      <w:r>
        <w:rPr>
          <w:rFonts w:ascii="Times New Roman" w:hAnsi="Times New Roman"/>
          <w:sz w:val="22"/>
        </w:rPr>
        <w:t xml:space="preserve"> This is not merely reassuring for the negative control — it is a third in-paper demonstration (alongside the tail test of Section 6 and the general argument of Section 5.2) that unclustered tests on this panel are severely anti-conservative, which is the methodological point of the paper.</w:t>
      </w:r>
    </w:p>
    <w:p>
      <w:pPr>
        <w:spacing w:before="160" w:after="80"/>
      </w:pPr>
      <w:r>
        <w:rPr>
          <w:rFonts w:ascii="Times New Roman" w:hAnsi="Times New Roman"/>
          <w:b/>
          <w:color w:val="000000"/>
          <w:sz w:val="23"/>
        </w:rPr>
        <w:t>5.7 Summary of the Dynamics Analysis</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3120"/>
        <w:gridCol w:w="3120"/>
        <w:gridCol w:w="3120"/>
      </w:tblGrid>
      <w:tr>
        <w:trPr>
          <w:tblHeader w:val="true"/>
        </w:trPr>
        <w:tc>
          <w:tcPr>
            <w:tcW w:type="dxa" w:w="3120"/>
          </w:tcPr>
          <w:p>
            <w:pPr>
              <w:jc w:val="center"/>
            </w:pPr>
            <w:r>
              <w:rPr>
                <w:b/>
              </w:rPr>
            </w:r>
            <w:r>
              <w:rPr>
                <w:rFonts w:ascii="Times New Roman" w:hAnsi="Times New Roman"/>
                <w:b/>
                <w:sz w:val="20"/>
              </w:rPr>
              <w:t>Beyond-mean facet</w:t>
            </w:r>
          </w:p>
        </w:tc>
        <w:tc>
          <w:tcPr>
            <w:tcW w:type="dxa" w:w="3120"/>
          </w:tcPr>
          <w:p>
            <w:pPr>
              <w:jc w:val="center"/>
            </w:pPr>
            <w:r>
              <w:rPr>
                <w:b/>
              </w:rPr>
            </w:r>
            <w:r>
              <w:rPr>
                <w:rFonts w:ascii="Times New Roman" w:hAnsi="Times New Roman"/>
                <w:b/>
                <w:sz w:val="20"/>
              </w:rPr>
              <w:t>Statistic</w:t>
            </w:r>
          </w:p>
        </w:tc>
        <w:tc>
          <w:tcPr>
            <w:tcW w:type="dxa" w:w="3120"/>
          </w:tcPr>
          <w:p>
            <w:pPr>
              <w:jc w:val="center"/>
            </w:pPr>
            <w:r>
              <w:rPr>
                <w:b/>
              </w:rPr>
            </w:r>
            <w:r>
              <w:rPr>
                <w:rFonts w:ascii="Times New Roman" w:hAnsi="Times New Roman"/>
                <w:b/>
                <w:sz w:val="20"/>
              </w:rPr>
              <w:t>Verdict</w:t>
            </w:r>
          </w:p>
        </w:tc>
      </w:tr>
      <w:tr>
        <w:tc>
          <w:tcPr>
            <w:tcW w:type="dxa" w:w="3120"/>
          </w:tcPr>
          <w:p>
            <w:pPr>
              <w:jc w:val="center"/>
            </w:pPr>
            <w:r/>
            <w:r>
              <w:rPr>
                <w:rFonts w:ascii="Times New Roman" w:hAnsi="Times New Roman"/>
                <w:sz w:val="20"/>
              </w:rPr>
              <w:t>Volatility increased?</w:t>
            </w:r>
          </w:p>
        </w:tc>
        <w:tc>
          <w:tcPr>
            <w:tcW w:type="dxa" w:w="3120"/>
          </w:tcPr>
          <w:p>
            <w:pPr>
              <w:jc w:val="center"/>
            </w:pPr>
            <w:r/>
            <w:r>
              <w:rPr>
                <w:rFonts w:ascii="Times New Roman" w:hAnsi="Times New Roman"/>
                <w:sz w:val="20"/>
              </w:rPr>
              <w:t>Brown–Forsythe W = 1.71 (n.s.)</w:t>
            </w:r>
          </w:p>
        </w:tc>
        <w:tc>
          <w:tcPr>
            <w:tcW w:type="dxa" w:w="3120"/>
          </w:tcPr>
          <w:p>
            <w:pPr>
              <w:jc w:val="center"/>
            </w:pPr>
            <w:r/>
            <w:r>
              <w:rPr>
                <w:rFonts w:ascii="Times New Roman" w:hAnsi="Times New Roman"/>
                <w:sz w:val="20"/>
              </w:rPr>
              <w:t>Null</w:t>
            </w:r>
          </w:p>
        </w:tc>
      </w:tr>
      <w:tr>
        <w:tc>
          <w:tcPr>
            <w:tcW w:type="dxa" w:w="3120"/>
          </w:tcPr>
          <w:p>
            <w:pPr>
              <w:jc w:val="center"/>
            </w:pPr>
            <w:r/>
            <w:r>
              <w:rPr>
                <w:rFonts w:ascii="Times New Roman" w:hAnsi="Times New Roman"/>
                <w:sz w:val="20"/>
              </w:rPr>
              <w:t>Upper-tail risk increased?</w:t>
            </w:r>
          </w:p>
        </w:tc>
        <w:tc>
          <w:tcPr>
            <w:tcW w:type="dxa" w:w="3120"/>
          </w:tcPr>
          <w:p>
            <w:pPr>
              <w:jc w:val="center"/>
            </w:pPr>
            <w:r/>
            <w:r>
              <w:rPr>
                <w:rFonts w:ascii="Times New Roman" w:hAnsi="Times New Roman"/>
                <w:sz w:val="20"/>
              </w:rPr>
              <w:t>DiD p = 0.933 (naive pooled p = 0.003 reverses, §6)</w:t>
            </w:r>
          </w:p>
        </w:tc>
        <w:tc>
          <w:tcPr>
            <w:tcW w:type="dxa" w:w="3120"/>
          </w:tcPr>
          <w:p>
            <w:pPr>
              <w:jc w:val="center"/>
            </w:pPr>
            <w:r/>
            <w:r>
              <w:rPr>
                <w:rFonts w:ascii="Times New Roman" w:hAnsi="Times New Roman"/>
                <w:sz w:val="20"/>
              </w:rPr>
              <w:t>Null</w:t>
            </w:r>
          </w:p>
        </w:tc>
      </w:tr>
      <w:tr>
        <w:tc>
          <w:tcPr>
            <w:tcW w:type="dxa" w:w="3120"/>
          </w:tcPr>
          <w:p>
            <w:pPr>
              <w:jc w:val="center"/>
            </w:pPr>
            <w:r/>
            <w:r>
              <w:rPr>
                <w:rFonts w:ascii="Times New Roman" w:hAnsi="Times New Roman"/>
                <w:b/>
                <w:sz w:val="20"/>
              </w:rPr>
              <w:t>State persistence increased?</w:t>
            </w:r>
          </w:p>
        </w:tc>
        <w:tc>
          <w:tcPr>
            <w:tcW w:type="dxa" w:w="3120"/>
          </w:tcPr>
          <w:p>
            <w:pPr>
              <w:jc w:val="center"/>
            </w:pPr>
            <w:r/>
            <w:r>
              <w:rPr>
                <w:rFonts w:ascii="Times New Roman" w:hAnsi="Times New Roman"/>
                <w:b/>
                <w:sz w:val="20"/>
              </w:rPr>
              <w:t>spectral gap 0.036 → 0.017, diff −0.019, 95% CI [−0.031, −0.007]</w:t>
            </w:r>
          </w:p>
        </w:tc>
        <w:tc>
          <w:tcPr>
            <w:tcW w:type="dxa" w:w="3120"/>
          </w:tcPr>
          <w:p>
            <w:pPr>
              <w:jc w:val="center"/>
            </w:pPr>
            <w:r/>
            <w:r>
              <w:rPr>
                <w:rFonts w:ascii="Times New Roman" w:hAnsi="Times New Roman"/>
                <w:b/>
                <w:sz w:val="20"/>
              </w:rPr>
              <w:t>Small but robust second-order effect</w:t>
            </w:r>
          </w:p>
        </w:tc>
      </w:tr>
      <w:tr>
        <w:tc>
          <w:tcPr>
            <w:tcW w:type="dxa" w:w="3120"/>
          </w:tcPr>
          <w:p>
            <w:pPr>
              <w:jc w:val="center"/>
            </w:pPr>
            <w:r/>
            <w:r>
              <w:rPr>
                <w:rFonts w:ascii="Times New Roman" w:hAnsi="Times New Roman"/>
                <w:sz w:val="20"/>
              </w:rPr>
              <w:t>Utilization ρ raised toward instability?</w:t>
            </w:r>
          </w:p>
        </w:tc>
        <w:tc>
          <w:tcPr>
            <w:tcW w:type="dxa" w:w="3120"/>
          </w:tcPr>
          <w:p>
            <w:pPr>
              <w:jc w:val="center"/>
            </w:pPr>
            <w:r/>
            <w:r>
              <w:rPr>
                <w:rFonts w:ascii="Times New Roman" w:hAnsi="Times New Roman"/>
                <w:sz w:val="20"/>
              </w:rPr>
              <w:t>model refuted by simulation (§5.5)</w:t>
            </w:r>
          </w:p>
        </w:tc>
        <w:tc>
          <w:tcPr>
            <w:tcW w:type="dxa" w:w="3120"/>
          </w:tcPr>
          <w:p>
            <w:pPr>
              <w:jc w:val="center"/>
            </w:pPr>
            <w:r/>
            <w:r>
              <w:rPr>
                <w:rFonts w:ascii="Times New Roman" w:hAnsi="Times New Roman"/>
                <w:sz w:val="20"/>
              </w:rPr>
              <w:t>Not estimable at monthly cadence</w:t>
            </w:r>
          </w:p>
        </w:tc>
      </w:tr>
    </w:tbl>
    <w:p/>
    <w:p>
      <w:pPr>
        <w:jc w:val="both"/>
      </w:pPr>
      <w:r>
        <w:rPr>
          <w:rFonts w:ascii="Times New Roman" w:hAnsi="Times New Roman"/>
          <w:sz w:val="22"/>
        </w:rPr>
        <w:t xml:space="preserve">The </w:t>
      </w:r>
      <w:r>
        <w:rPr>
          <w:rFonts w:ascii="Times New Roman" w:hAnsi="Times New Roman"/>
          <w:i/>
          <w:sz w:val="22"/>
        </w:rPr>
        <w:t>level</w:t>
      </w:r>
      <w:r>
        <w:rPr>
          <w:rFonts w:ascii="Times New Roman" w:hAnsi="Times New Roman"/>
          <w:sz w:val="22"/>
        </w:rPr>
        <w:t xml:space="preserve"> of accessibility quality is unchanged on every axis and at every estimable moment, as is its volatility and its upper-tail risk. The one beyond-mean facet that does move is </w:t>
      </w:r>
      <w:r>
        <w:rPr>
          <w:rFonts w:ascii="Times New Roman" w:hAnsi="Times New Roman"/>
          <w:b/>
          <w:sz w:val="22"/>
        </w:rPr>
        <w:t>state persistence</w:t>
      </w:r>
      <w:r>
        <w:rPr>
          <w:rFonts w:ascii="Times New Roman" w:hAnsi="Times New Roman"/>
          <w:sz w:val="22"/>
        </w:rPr>
        <w:t xml:space="preserve">: post-adoption quality states are stickier (slower-mixing chains, spectral gap halved, CI excluding zero, §5.4), a small and benign second-order effect that leaves the level null intact — repositories churn </w:t>
      </w:r>
      <w:r>
        <w:rPr>
          <w:rFonts w:ascii="Times New Roman" w:hAnsi="Times New Roman"/>
          <w:i/>
          <w:sz w:val="22"/>
        </w:rPr>
        <w:t>less</w:t>
      </w:r>
      <w:r>
        <w:rPr>
          <w:rFonts w:ascii="Times New Roman" w:hAnsi="Times New Roman"/>
          <w:sz w:val="22"/>
        </w:rPr>
        <w:t xml:space="preserve"> month to month without ending up better or worse. The precise statement is therefore: AI-tool adoption changes neither the level of accessibility quality nor its variance or tail risk, but is associated with a modest, robustly-estimated increase in the month-to-month persistence of whatever quality state a repository occupies — a difference in </w:t>
      </w:r>
      <w:r>
        <w:rPr>
          <w:rFonts w:ascii="Times New Roman" w:hAnsi="Times New Roman"/>
          <w:i/>
          <w:sz w:val="22"/>
        </w:rPr>
        <w:t>churn</w:t>
      </w:r>
      <w:r>
        <w:rPr>
          <w:rFonts w:ascii="Times New Roman" w:hAnsi="Times New Roman"/>
          <w:sz w:val="22"/>
        </w:rPr>
        <w:t xml:space="preserve">, not in </w:t>
      </w:r>
      <w:r>
        <w:rPr>
          <w:rFonts w:ascii="Times New Roman" w:hAnsi="Times New Roman"/>
          <w:i/>
          <w:sz w:val="22"/>
        </w:rPr>
        <w:t>quality</w:t>
      </w:r>
      <w:r>
        <w:rPr>
          <w:rFonts w:ascii="Times New Roman" w:hAnsi="Times New Roman"/>
          <w:sz w:val="22"/>
        </w:rPr>
        <w:t>. The introduction-versus-removal balance (utilization ρ) is not estimable at monthly cadence (§5.5) and is the clearest target for the per-commit follow-up of Section 7.3.</w:t>
      </w:r>
    </w:p>
    <w:p>
      <w:pPr>
        <w:spacing w:before="240" w:after="80"/>
      </w:pPr>
      <w:r>
        <w:rPr>
          <w:rFonts w:ascii="Times New Roman" w:hAnsi="Times New Roman"/>
          <w:b/>
          <w:color w:val="000000"/>
          <w:sz w:val="26"/>
        </w:rPr>
        <w:t>6. The Methodological By-Product: A Quantified Failure Mode, Two Worked Artifacts, and a Checklist</w:t>
      </w:r>
    </w:p>
    <w:p>
      <w:pPr>
        <w:jc w:val="both"/>
      </w:pPr>
      <w:r>
        <w:rPr>
          <w:rFonts w:ascii="Times New Roman" w:hAnsi="Times New Roman"/>
          <w:sz w:val="22"/>
        </w:rPr>
        <w:t xml:space="preserve">Reaching the bounded null of Sections 4–5 meant not being fooled by distributional tests on a clustered, zero-inflated panel — where a naive analysis and the correct analysis diverge sharply, and where the gap between them is itself instructive. This section is the transferable by-product, not the headline: we first </w:t>
      </w:r>
      <w:r>
        <w:rPr>
          <w:rFonts w:ascii="Times New Roman" w:hAnsi="Times New Roman"/>
          <w:i/>
          <w:sz w:val="22"/>
        </w:rPr>
        <w:t>quantify</w:t>
      </w:r>
      <w:r>
        <w:rPr>
          <w:rFonts w:ascii="Times New Roman" w:hAnsi="Times New Roman"/>
          <w:sz w:val="22"/>
        </w:rPr>
        <w:t xml:space="preserve"> the failure mode by simulation (§6.1), exhibit it twice on the real panel (§6.2–§6.5), and distil the lesson into a short checklist (§6.6).</w:t>
      </w:r>
    </w:p>
    <w:p>
      <w:pPr>
        <w:spacing w:before="160" w:after="80"/>
      </w:pPr>
      <w:r>
        <w:rPr>
          <w:rFonts w:ascii="Times New Roman" w:hAnsi="Times New Roman"/>
          <w:b/>
          <w:color w:val="000000"/>
          <w:sz w:val="23"/>
        </w:rPr>
        <w:t>6.1 The Failure Mode, Quantified by Simulation</w:t>
      </w:r>
    </w:p>
    <w:p>
      <w:pPr>
        <w:jc w:val="both"/>
      </w:pPr>
      <w:r>
        <w:rPr>
          <w:rFonts w:ascii="Times New Roman" w:hAnsi="Times New Roman"/>
          <w:sz w:val="22"/>
        </w:rPr>
        <w:t xml:space="preserve">Before exhibiting the artifact on our own data, we measure how badly the naive test fails on data where the truth is known. We simulate synthetic panels that share the structure of repository data — repos split treated/control, ~30 months each, a zero-inflation mass calibrated to the violation-density axes (≈ 0.13–0.34), tail-event propensity that varies between repos (so a few "heavy" repos own most exceedances, as in the real panel), and </w:t>
      </w:r>
      <w:r>
        <w:rPr>
          <w:rFonts w:ascii="Times New Roman" w:hAnsi="Times New Roman"/>
          <w:b/>
          <w:sz w:val="22"/>
        </w:rPr>
        <w:t>no treatment effect injected.</w:t>
      </w:r>
      <w:r>
        <w:rPr>
          <w:rFonts w:ascii="Times New Roman" w:hAnsi="Times New Roman"/>
          <w:sz w:val="22"/>
        </w:rPr>
        <w:t xml:space="preserve"> Every rejection is therefore a false positive. We compare two tests: the naive pooled pre/post two-proportion z-test on tail exceedance, and the cluster-robust treated-vs-control DiD logit. We sweep two structural features and report the empirical false-positive rate over 400 replications per cell (Table 8; Figure 6).</w:t>
      </w:r>
    </w:p>
    <w:p>
      <w:pPr>
        <w:jc w:val="center"/>
      </w:pPr>
      <w:r>
        <w:rPr>
          <w:rFonts w:ascii="Times New Roman" w:hAnsi="Times New Roman"/>
          <w:b/>
          <w:sz w:val="20"/>
        </w:rPr>
        <w:t>Table 8. Empirical false-positive rate at nominal α = 0.05 under a true null.</w:t>
      </w:r>
      <w:r>
        <w:rPr>
          <w:rFonts w:ascii="Times New Roman" w:hAnsi="Times New Roman"/>
          <w:sz w:val="20"/>
        </w:rPr>
        <w:t xml:space="preserve"> Panel (a) varies within-repo tail concentration (ICC) with no common trend; panel (b) adds a common secular trend affecting </w:t>
      </w:r>
      <w:r>
        <w:rPr>
          <w:rFonts w:ascii="Times New Roman" w:hAnsi="Times New Roman"/>
          <w:i/>
          <w:sz w:val="20"/>
        </w:rPr>
        <w:t>both</w:t>
      </w:r>
      <w:r>
        <w:rPr>
          <w:rFonts w:ascii="Times New Roman" w:hAnsi="Times New Roman"/>
          <w:sz w:val="20"/>
        </w:rPr>
        <w:t xml:space="preserve"> arms equally (parallel trends hold; differential effect exactly zero).</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2340"/>
        <w:gridCol w:w="2340"/>
        <w:gridCol w:w="2340"/>
        <w:gridCol w:w="2340"/>
      </w:tblGrid>
      <w:tr>
        <w:trPr>
          <w:tblHeader w:val="true"/>
        </w:trPr>
        <w:tc>
          <w:tcPr>
            <w:tcW w:type="dxa" w:w="2340"/>
          </w:tcPr>
          <w:p>
            <w:pPr>
              <w:jc w:val="center"/>
            </w:pPr>
            <w:r>
              <w:rPr>
                <w:b/>
              </w:rPr>
            </w:r>
            <w:r>
              <w:rPr>
                <w:rFonts w:ascii="Times New Roman" w:hAnsi="Times New Roman"/>
                <w:b/>
                <w:sz w:val="20"/>
              </w:rPr>
              <w:t>Mechanism</w:t>
            </w:r>
          </w:p>
        </w:tc>
        <w:tc>
          <w:tcPr>
            <w:tcW w:type="dxa" w:w="2340"/>
          </w:tcPr>
          <w:p>
            <w:pPr>
              <w:jc w:val="center"/>
            </w:pPr>
            <w:r>
              <w:rPr>
                <w:b/>
              </w:rPr>
            </w:r>
            <w:r>
              <w:rPr>
                <w:rFonts w:ascii="Times New Roman" w:hAnsi="Times New Roman"/>
                <w:b/>
                <w:sz w:val="20"/>
              </w:rPr>
              <w:t>parameter</w:t>
            </w:r>
          </w:p>
        </w:tc>
        <w:tc>
          <w:tcPr>
            <w:tcW w:type="dxa" w:w="2340"/>
          </w:tcPr>
          <w:p>
            <w:pPr>
              <w:jc w:val="center"/>
            </w:pPr>
            <w:r>
              <w:rPr>
                <w:b/>
              </w:rPr>
            </w:r>
            <w:r>
              <w:rPr>
                <w:rFonts w:ascii="Times New Roman" w:hAnsi="Times New Roman"/>
                <w:b/>
                <w:sz w:val="20"/>
              </w:rPr>
              <w:t>naive pooled test</w:t>
            </w:r>
          </w:p>
        </w:tc>
        <w:tc>
          <w:tcPr>
            <w:tcW w:type="dxa" w:w="2340"/>
          </w:tcPr>
          <w:p>
            <w:pPr>
              <w:jc w:val="center"/>
            </w:pPr>
            <w:r>
              <w:rPr>
                <w:b/>
              </w:rPr>
            </w:r>
            <w:r>
              <w:rPr>
                <w:rFonts w:ascii="Times New Roman" w:hAnsi="Times New Roman"/>
                <w:b/>
                <w:sz w:val="20"/>
              </w:rPr>
              <w:t>cluster-robust DiD</w:t>
            </w:r>
          </w:p>
        </w:tc>
      </w:tr>
      <w:tr>
        <w:tc>
          <w:tcPr>
            <w:tcW w:type="dxa" w:w="2340"/>
          </w:tcPr>
          <w:p>
            <w:pPr>
              <w:jc w:val="center"/>
            </w:pPr>
            <w:r/>
            <w:r>
              <w:rPr>
                <w:rFonts w:ascii="Times New Roman" w:hAnsi="Times New Roman"/>
                <w:sz w:val="20"/>
              </w:rPr>
              <w:t>(a) tail concentration</w:t>
            </w:r>
          </w:p>
        </w:tc>
        <w:tc>
          <w:tcPr>
            <w:tcW w:type="dxa" w:w="2340"/>
          </w:tcPr>
          <w:p>
            <w:pPr>
              <w:jc w:val="center"/>
            </w:pPr>
            <w:r/>
            <w:r>
              <w:rPr>
                <w:rFonts w:ascii="Times New Roman" w:hAnsi="Times New Roman"/>
                <w:sz w:val="20"/>
              </w:rPr>
              <w:t>ICC = 0.1</w:t>
            </w:r>
          </w:p>
        </w:tc>
        <w:tc>
          <w:tcPr>
            <w:tcW w:type="dxa" w:w="2340"/>
          </w:tcPr>
          <w:p>
            <w:pPr>
              <w:jc w:val="center"/>
            </w:pPr>
            <w:r/>
            <w:r>
              <w:rPr>
                <w:rFonts w:ascii="Times New Roman" w:hAnsi="Times New Roman"/>
                <w:sz w:val="20"/>
              </w:rPr>
              <w:t>0.052</w:t>
            </w:r>
          </w:p>
        </w:tc>
        <w:tc>
          <w:tcPr>
            <w:tcW w:type="dxa" w:w="2340"/>
          </w:tcPr>
          <w:p>
            <w:pPr>
              <w:jc w:val="center"/>
            </w:pPr>
            <w:r/>
            <w:r>
              <w:rPr>
                <w:rFonts w:ascii="Times New Roman" w:hAnsi="Times New Roman"/>
                <w:sz w:val="20"/>
              </w:rPr>
              <w:t>0.058</w:t>
            </w:r>
          </w:p>
        </w:tc>
      </w:tr>
      <w:tr>
        <w:tc>
          <w:tcPr>
            <w:tcW w:type="dxa" w:w="2340"/>
          </w:tcPr>
          <w:p>
            <w:pPr>
              <w:jc w:val="center"/>
            </w:pPr>
            <w:r/>
            <w:r>
              <w:rPr>
                <w:rFonts w:ascii="Times New Roman" w:hAnsi="Times New Roman"/>
                <w:sz w:val="20"/>
              </w:rPr>
              <w:t>(a) tail concentration</w:t>
            </w:r>
          </w:p>
        </w:tc>
        <w:tc>
          <w:tcPr>
            <w:tcW w:type="dxa" w:w="2340"/>
          </w:tcPr>
          <w:p>
            <w:pPr>
              <w:jc w:val="center"/>
            </w:pPr>
            <w:r/>
            <w:r>
              <w:rPr>
                <w:rFonts w:ascii="Times New Roman" w:hAnsi="Times New Roman"/>
                <w:sz w:val="20"/>
              </w:rPr>
              <w:t>ICC = 0.3</w:t>
            </w:r>
          </w:p>
        </w:tc>
        <w:tc>
          <w:tcPr>
            <w:tcW w:type="dxa" w:w="2340"/>
          </w:tcPr>
          <w:p>
            <w:pPr>
              <w:jc w:val="center"/>
            </w:pPr>
            <w:r/>
            <w:r>
              <w:rPr>
                <w:rFonts w:ascii="Times New Roman" w:hAnsi="Times New Roman"/>
                <w:sz w:val="20"/>
              </w:rPr>
              <w:t>0.052</w:t>
            </w:r>
          </w:p>
        </w:tc>
        <w:tc>
          <w:tcPr>
            <w:tcW w:type="dxa" w:w="2340"/>
          </w:tcPr>
          <w:p>
            <w:pPr>
              <w:jc w:val="center"/>
            </w:pPr>
            <w:r/>
            <w:r>
              <w:rPr>
                <w:rFonts w:ascii="Times New Roman" w:hAnsi="Times New Roman"/>
                <w:sz w:val="20"/>
              </w:rPr>
              <w:t>0.062</w:t>
            </w:r>
          </w:p>
        </w:tc>
      </w:tr>
      <w:tr>
        <w:tc>
          <w:tcPr>
            <w:tcW w:type="dxa" w:w="2340"/>
          </w:tcPr>
          <w:p>
            <w:pPr>
              <w:jc w:val="center"/>
            </w:pPr>
            <w:r/>
            <w:r>
              <w:rPr>
                <w:rFonts w:ascii="Times New Roman" w:hAnsi="Times New Roman"/>
                <w:sz w:val="20"/>
              </w:rPr>
              <w:t>(a) tail concentration</w:t>
            </w:r>
          </w:p>
        </w:tc>
        <w:tc>
          <w:tcPr>
            <w:tcW w:type="dxa" w:w="2340"/>
          </w:tcPr>
          <w:p>
            <w:pPr>
              <w:jc w:val="center"/>
            </w:pPr>
            <w:r/>
            <w:r>
              <w:rPr>
                <w:rFonts w:ascii="Times New Roman" w:hAnsi="Times New Roman"/>
                <w:sz w:val="20"/>
              </w:rPr>
              <w:t>ICC = 0.5</w:t>
            </w:r>
          </w:p>
        </w:tc>
        <w:tc>
          <w:tcPr>
            <w:tcW w:type="dxa" w:w="2340"/>
          </w:tcPr>
          <w:p>
            <w:pPr>
              <w:jc w:val="center"/>
            </w:pPr>
            <w:r/>
            <w:r>
              <w:rPr>
                <w:rFonts w:ascii="Times New Roman" w:hAnsi="Times New Roman"/>
                <w:sz w:val="20"/>
              </w:rPr>
              <w:t>0.043</w:t>
            </w:r>
          </w:p>
        </w:tc>
        <w:tc>
          <w:tcPr>
            <w:tcW w:type="dxa" w:w="2340"/>
          </w:tcPr>
          <w:p>
            <w:pPr>
              <w:jc w:val="center"/>
            </w:pPr>
            <w:r/>
            <w:r>
              <w:rPr>
                <w:rFonts w:ascii="Times New Roman" w:hAnsi="Times New Roman"/>
                <w:sz w:val="20"/>
              </w:rPr>
              <w:t>0.060</w:t>
            </w:r>
          </w:p>
        </w:tc>
      </w:tr>
      <w:tr>
        <w:tc>
          <w:tcPr>
            <w:tcW w:type="dxa" w:w="2340"/>
          </w:tcPr>
          <w:p>
            <w:pPr>
              <w:jc w:val="center"/>
            </w:pPr>
            <w:r/>
            <w:r>
              <w:rPr>
                <w:rFonts w:ascii="Times New Roman" w:hAnsi="Times New Roman"/>
                <w:sz w:val="20"/>
              </w:rPr>
              <w:t>(a) tail concentration</w:t>
            </w:r>
          </w:p>
        </w:tc>
        <w:tc>
          <w:tcPr>
            <w:tcW w:type="dxa" w:w="2340"/>
          </w:tcPr>
          <w:p>
            <w:pPr>
              <w:jc w:val="center"/>
            </w:pPr>
            <w:r/>
            <w:r>
              <w:rPr>
                <w:rFonts w:ascii="Times New Roman" w:hAnsi="Times New Roman"/>
                <w:sz w:val="20"/>
              </w:rPr>
              <w:t>ICC = 0.7</w:t>
            </w:r>
          </w:p>
        </w:tc>
        <w:tc>
          <w:tcPr>
            <w:tcW w:type="dxa" w:w="2340"/>
          </w:tcPr>
          <w:p>
            <w:pPr>
              <w:jc w:val="center"/>
            </w:pPr>
            <w:r/>
            <w:r>
              <w:rPr>
                <w:rFonts w:ascii="Times New Roman" w:hAnsi="Times New Roman"/>
                <w:sz w:val="20"/>
              </w:rPr>
              <w:t>0.048</w:t>
            </w:r>
          </w:p>
        </w:tc>
        <w:tc>
          <w:tcPr>
            <w:tcW w:type="dxa" w:w="2340"/>
          </w:tcPr>
          <w:p>
            <w:pPr>
              <w:jc w:val="center"/>
            </w:pPr>
            <w:r/>
            <w:r>
              <w:rPr>
                <w:rFonts w:ascii="Times New Roman" w:hAnsi="Times New Roman"/>
                <w:sz w:val="20"/>
              </w:rPr>
              <w:t>0.055</w:t>
            </w:r>
          </w:p>
        </w:tc>
      </w:tr>
      <w:tr>
        <w:tc>
          <w:tcPr>
            <w:tcW w:type="dxa" w:w="2340"/>
          </w:tcPr>
          <w:p>
            <w:pPr>
              <w:jc w:val="center"/>
            </w:pPr>
            <w:r/>
            <w:r>
              <w:rPr>
                <w:rFonts w:ascii="Times New Roman" w:hAnsi="Times New Roman"/>
                <w:sz w:val="20"/>
              </w:rPr>
              <w:t>(b) common secular trend</w:t>
            </w:r>
          </w:p>
        </w:tc>
        <w:tc>
          <w:tcPr>
            <w:tcW w:type="dxa" w:w="2340"/>
          </w:tcPr>
          <w:p>
            <w:pPr>
              <w:jc w:val="center"/>
            </w:pPr>
            <w:r/>
            <w:r>
              <w:rPr>
                <w:rFonts w:ascii="Times New Roman" w:hAnsi="Times New Roman"/>
                <w:sz w:val="20"/>
              </w:rPr>
              <w:t>+5 pp</w:t>
            </w:r>
          </w:p>
        </w:tc>
        <w:tc>
          <w:tcPr>
            <w:tcW w:type="dxa" w:w="2340"/>
          </w:tcPr>
          <w:p>
            <w:pPr>
              <w:jc w:val="center"/>
            </w:pPr>
            <w:r/>
            <w:r>
              <w:rPr>
                <w:rFonts w:ascii="Times New Roman" w:hAnsi="Times New Roman"/>
                <w:b/>
                <w:sz w:val="20"/>
              </w:rPr>
              <w:t>0.555</w:t>
            </w:r>
          </w:p>
        </w:tc>
        <w:tc>
          <w:tcPr>
            <w:tcW w:type="dxa" w:w="2340"/>
          </w:tcPr>
          <w:p>
            <w:pPr>
              <w:jc w:val="center"/>
            </w:pPr>
            <w:r/>
            <w:r>
              <w:rPr>
                <w:rFonts w:ascii="Times New Roman" w:hAnsi="Times New Roman"/>
                <w:sz w:val="20"/>
              </w:rPr>
              <w:t>0.060</w:t>
            </w:r>
          </w:p>
        </w:tc>
      </w:tr>
      <w:tr>
        <w:tc>
          <w:tcPr>
            <w:tcW w:type="dxa" w:w="2340"/>
          </w:tcPr>
          <w:p>
            <w:pPr>
              <w:jc w:val="center"/>
            </w:pPr>
            <w:r/>
            <w:r>
              <w:rPr>
                <w:rFonts w:ascii="Times New Roman" w:hAnsi="Times New Roman"/>
                <w:sz w:val="20"/>
              </w:rPr>
              <w:t>(b) common secular trend</w:t>
            </w:r>
          </w:p>
        </w:tc>
        <w:tc>
          <w:tcPr>
            <w:tcW w:type="dxa" w:w="2340"/>
          </w:tcPr>
          <w:p>
            <w:pPr>
              <w:jc w:val="center"/>
            </w:pPr>
            <w:r/>
            <w:r>
              <w:rPr>
                <w:rFonts w:ascii="Times New Roman" w:hAnsi="Times New Roman"/>
                <w:sz w:val="20"/>
              </w:rPr>
              <w:t>+10 pp</w:t>
            </w:r>
          </w:p>
        </w:tc>
        <w:tc>
          <w:tcPr>
            <w:tcW w:type="dxa" w:w="2340"/>
          </w:tcPr>
          <w:p>
            <w:pPr>
              <w:jc w:val="center"/>
            </w:pPr>
            <w:r/>
            <w:r>
              <w:rPr>
                <w:rFonts w:ascii="Times New Roman" w:hAnsi="Times New Roman"/>
                <w:b/>
                <w:sz w:val="20"/>
              </w:rPr>
              <w:t>0.988</w:t>
            </w:r>
          </w:p>
        </w:tc>
        <w:tc>
          <w:tcPr>
            <w:tcW w:type="dxa" w:w="2340"/>
          </w:tcPr>
          <w:p>
            <w:pPr>
              <w:jc w:val="center"/>
            </w:pPr>
            <w:r/>
            <w:r>
              <w:rPr>
                <w:rFonts w:ascii="Times New Roman" w:hAnsi="Times New Roman"/>
                <w:sz w:val="20"/>
              </w:rPr>
              <w:t>0.060</w:t>
            </w:r>
          </w:p>
        </w:tc>
      </w:tr>
      <w:tr>
        <w:tc>
          <w:tcPr>
            <w:tcW w:type="dxa" w:w="2340"/>
          </w:tcPr>
          <w:p>
            <w:pPr>
              <w:jc w:val="center"/>
            </w:pPr>
            <w:r/>
            <w:r>
              <w:rPr>
                <w:rFonts w:ascii="Times New Roman" w:hAnsi="Times New Roman"/>
                <w:sz w:val="20"/>
              </w:rPr>
              <w:t>(b) common secular trend</w:t>
            </w:r>
          </w:p>
        </w:tc>
        <w:tc>
          <w:tcPr>
            <w:tcW w:type="dxa" w:w="2340"/>
          </w:tcPr>
          <w:p>
            <w:pPr>
              <w:jc w:val="center"/>
            </w:pPr>
            <w:r/>
            <w:r>
              <w:rPr>
                <w:rFonts w:ascii="Times New Roman" w:hAnsi="Times New Roman"/>
                <w:sz w:val="20"/>
              </w:rPr>
              <w:t>+15 pp</w:t>
            </w:r>
          </w:p>
        </w:tc>
        <w:tc>
          <w:tcPr>
            <w:tcW w:type="dxa" w:w="2340"/>
          </w:tcPr>
          <w:p>
            <w:pPr>
              <w:jc w:val="center"/>
            </w:pPr>
            <w:r/>
            <w:r>
              <w:rPr>
                <w:rFonts w:ascii="Times New Roman" w:hAnsi="Times New Roman"/>
                <w:b/>
                <w:sz w:val="20"/>
              </w:rPr>
              <w:t>1.000</w:t>
            </w:r>
          </w:p>
        </w:tc>
        <w:tc>
          <w:tcPr>
            <w:tcW w:type="dxa" w:w="2340"/>
          </w:tcPr>
          <w:p>
            <w:pPr>
              <w:jc w:val="center"/>
            </w:pPr>
            <w:r/>
            <w:r>
              <w:rPr>
                <w:rFonts w:ascii="Times New Roman" w:hAnsi="Times New Roman"/>
                <w:sz w:val="20"/>
              </w:rPr>
              <w:t>0.058</w:t>
            </w:r>
          </w:p>
        </w:tc>
      </w:tr>
      <w:tr>
        <w:tc>
          <w:tcPr>
            <w:tcW w:type="dxa" w:w="2340"/>
          </w:tcPr>
          <w:p>
            <w:pPr>
              <w:jc w:val="center"/>
            </w:pPr>
            <w:r/>
            <w:r>
              <w:rPr>
                <w:rFonts w:ascii="Times New Roman" w:hAnsi="Times New Roman"/>
                <w:sz w:val="20"/>
              </w:rPr>
              <w:t>(b) common secular trend</w:t>
            </w:r>
          </w:p>
        </w:tc>
        <w:tc>
          <w:tcPr>
            <w:tcW w:type="dxa" w:w="2340"/>
          </w:tcPr>
          <w:p>
            <w:pPr>
              <w:jc w:val="center"/>
            </w:pPr>
            <w:r/>
            <w:r>
              <w:rPr>
                <w:rFonts w:ascii="Times New Roman" w:hAnsi="Times New Roman"/>
                <w:sz w:val="20"/>
              </w:rPr>
              <w:t>+20 pp</w:t>
            </w:r>
          </w:p>
        </w:tc>
        <w:tc>
          <w:tcPr>
            <w:tcW w:type="dxa" w:w="2340"/>
          </w:tcPr>
          <w:p>
            <w:pPr>
              <w:jc w:val="center"/>
            </w:pPr>
            <w:r/>
            <w:r>
              <w:rPr>
                <w:rFonts w:ascii="Times New Roman" w:hAnsi="Times New Roman"/>
                <w:b/>
                <w:sz w:val="20"/>
              </w:rPr>
              <w:t>0.993</w:t>
            </w:r>
          </w:p>
        </w:tc>
        <w:tc>
          <w:tcPr>
            <w:tcW w:type="dxa" w:w="2340"/>
          </w:tcPr>
          <w:p>
            <w:pPr>
              <w:jc w:val="center"/>
            </w:pPr>
            <w:r/>
            <w:r>
              <w:rPr>
                <w:rFonts w:ascii="Times New Roman" w:hAnsi="Times New Roman"/>
                <w:sz w:val="20"/>
              </w:rPr>
              <w:t>0.075</w:t>
            </w:r>
          </w:p>
        </w:tc>
      </w:tr>
    </w:tbl>
    <w:p/>
    <w:p>
      <w:pPr>
        <w:jc w:val="both"/>
      </w:pPr>
      <w:r>
        <w:rPr>
          <w:rFonts w:ascii="Times New Roman" w:hAnsi="Times New Roman"/>
          <w:sz w:val="22"/>
        </w:rPr>
        <w:t xml:space="preserve">Two lessons, one of them counter-intuitive. First, within-repo concentration </w:t>
      </w:r>
      <w:r>
        <w:rPr>
          <w:rFonts w:ascii="Times New Roman" w:hAnsi="Times New Roman"/>
          <w:i/>
          <w:sz w:val="22"/>
        </w:rPr>
        <w:t>alone</w:t>
      </w:r>
      <w:r>
        <w:rPr>
          <w:rFonts w:ascii="Times New Roman" w:hAnsi="Times New Roman"/>
          <w:sz w:val="22"/>
        </w:rPr>
        <w:t xml:space="preserve"> (panel a) does </w:t>
      </w:r>
      <w:r>
        <w:rPr>
          <w:rFonts w:ascii="Times New Roman" w:hAnsi="Times New Roman"/>
          <w:b/>
          <w:sz w:val="22"/>
        </w:rPr>
        <w:t>not</w:t>
      </w:r>
      <w:r>
        <w:rPr>
          <w:rFonts w:ascii="Times New Roman" w:hAnsi="Times New Roman"/>
          <w:sz w:val="22"/>
        </w:rPr>
        <w:t xml:space="preserve"> inflate the naive test's size — both tests sit near 5%. The often-assumed culprit (clustering of the rare event) is not, by itself, what breaks the pooled test here. Second, the actual culprit is the </w:t>
      </w:r>
      <w:r>
        <w:rPr>
          <w:rFonts w:ascii="Times New Roman" w:hAnsi="Times New Roman"/>
          <w:b/>
          <w:sz w:val="22"/>
        </w:rPr>
        <w:t>missing treated-vs-control contrast</w:t>
      </w:r>
      <w:r>
        <w:rPr>
          <w:rFonts w:ascii="Times New Roman" w:hAnsi="Times New Roman"/>
          <w:sz w:val="22"/>
        </w:rPr>
        <w:t xml:space="preserve"> (panel b): when a secular calendar trend lifts </w:t>
      </w:r>
      <w:r>
        <w:rPr>
          <w:rFonts w:ascii="Times New Roman" w:hAnsi="Times New Roman"/>
          <w:i/>
          <w:sz w:val="22"/>
        </w:rPr>
        <w:t>both</w:t>
      </w:r>
      <w:r>
        <w:rPr>
          <w:rFonts w:ascii="Times New Roman" w:hAnsi="Times New Roman"/>
          <w:sz w:val="22"/>
        </w:rPr>
        <w:t xml:space="preserve"> arms equally — so the true differential treatment effect is exactly zero — the naive pooled test, which has no control contrast, reads the common trend as a "post" effect and rejects a true null </w:t>
      </w:r>
      <w:r>
        <w:rPr>
          <w:rFonts w:ascii="Times New Roman" w:hAnsi="Times New Roman"/>
          <w:b/>
          <w:sz w:val="22"/>
        </w:rPr>
        <w:t>55% of the time at a 5 pp trend, rising to ~100% by 10 pp.</w:t>
      </w:r>
      <w:r>
        <w:rPr>
          <w:rFonts w:ascii="Times New Roman" w:hAnsi="Times New Roman"/>
          <w:sz w:val="22"/>
        </w:rPr>
        <w:t xml:space="preserve"> The cluster-robust DiD nets the common trend out and holds nominal size (≈ 5–6%) throughout. This is precisely the mechanism behind the </w:t>
      </w:r>
      <w:r>
        <w:rPr>
          <w:rFonts w:ascii="Times New Roman" w:hAnsi="Times New Roman"/>
          <w:i/>
          <w:sz w:val="22"/>
        </w:rPr>
        <w:t>p</w:t>
      </w:r>
      <w:r>
        <w:rPr>
          <w:rFonts w:ascii="Times New Roman" w:hAnsi="Times New Roman"/>
          <w:sz w:val="22"/>
        </w:rPr>
        <w:t xml:space="preserve"> = 0.003 artifact we exhibit next: the control arm moved, and the pooled test had no way to tell that apart from an AI effect.</w:t>
      </w:r>
    </w:p>
    <w:p>
      <w:pPr>
        <w:jc w:val="center"/>
      </w:pPr>
      <w:r>
        <w:drawing>
          <wp:inline xmlns:a="http://schemas.openxmlformats.org/drawingml/2006/main" xmlns:pic="http://schemas.openxmlformats.org/drawingml/2006/picture">
            <wp:extent cx="4754880" cy="1997050"/>
            <wp:docPr id="5" name="Picture 5"/>
            <wp:cNvGraphicFramePr>
              <a:graphicFrameLocks noChangeAspect="1"/>
            </wp:cNvGraphicFramePr>
            <a:graphic>
              <a:graphicData uri="http://schemas.openxmlformats.org/drawingml/2006/picture">
                <pic:pic>
                  <pic:nvPicPr>
                    <pic:cNvPr id="0" name="fig6_size_distortion.png"/>
                    <pic:cNvPicPr/>
                  </pic:nvPicPr>
                  <pic:blipFill>
                    <a:blip r:embed="rId14"/>
                    <a:stretch>
                      <a:fillRect/>
                    </a:stretch>
                  </pic:blipFill>
                  <pic:spPr>
                    <a:xfrm>
                      <a:off x="0" y="0"/>
                      <a:ext cx="4754880" cy="1997050"/>
                    </a:xfrm>
                    <a:prstGeom prst="rect"/>
                  </pic:spPr>
                </pic:pic>
              </a:graphicData>
            </a:graphic>
          </wp:inline>
        </w:drawing>
      </w:r>
    </w:p>
    <w:p>
      <w:pPr>
        <w:jc w:val="center"/>
      </w:pPr>
      <w:r>
        <w:rPr>
          <w:rFonts w:ascii="Times New Roman" w:hAnsi="Times New Roman"/>
          <w:i/>
          <w:color w:val="555555"/>
          <w:sz w:val="19"/>
        </w:rPr>
        <w:t>Figure 6. Size of the naive pooled tail test vs. the cluster-robust DiD under a true null, on synthetic zero-inflated, repo-clustered panels: (a) vs. within-repo tail concentration; (b) vs. a common secular trend affecting both arms. The naive test's false-positive rate reaches ~100% under a common trend; the DiD holds nominal size.</w:t>
      </w:r>
    </w:p>
    <w:p>
      <w:pPr>
        <w:spacing w:before="160" w:after="80"/>
      </w:pPr>
      <w:r>
        <w:rPr>
          <w:rFonts w:ascii="Times New Roman" w:hAnsi="Times New Roman"/>
          <w:b/>
          <w:color w:val="000000"/>
          <w:sz w:val="23"/>
        </w:rPr>
        <w:t>6.2 The Naive Result on the Real Panel</w:t>
      </w:r>
    </w:p>
    <w:p>
      <w:pPr>
        <w:jc w:val="both"/>
      </w:pPr>
      <w:r>
        <w:rPr>
          <w:rFonts w:ascii="Times New Roman" w:hAnsi="Times New Roman"/>
          <w:sz w:val="22"/>
        </w:rPr>
        <w:t xml:space="preserve">A natural test of the tail-risk facet pools all post-adoption repo-months against all pre-adoption repo-months and applies a two-proportion z-test on exceedance of the pooled 90th percentile of WCAG violation density. On the enriched panel this gives a pooled pre-vs-post difference significant at </w:t>
      </w:r>
      <w:r>
        <w:rPr>
          <w:rFonts w:ascii="Times New Roman" w:hAnsi="Times New Roman"/>
          <w:b/>
          <w:sz w:val="22"/>
        </w:rPr>
        <w:t>p = 0.003</w:t>
      </w:r>
      <w:r>
        <w:rPr>
          <w:rFonts w:ascii="Times New Roman" w:hAnsi="Times New Roman"/>
          <w:sz w:val="22"/>
        </w:rPr>
        <w:t xml:space="preserve"> — apparently strong evidence of a shift in the upper tail of accessibility-violation density. Reported alone, this is a publishable positive finding. It is an artifact, for the two reasons the simulation just isolated.</w:t>
      </w:r>
    </w:p>
    <w:p>
      <w:pPr>
        <w:spacing w:before="160" w:after="80"/>
      </w:pPr>
      <w:r>
        <w:rPr>
          <w:rFonts w:ascii="Times New Roman" w:hAnsi="Times New Roman"/>
          <w:b/>
          <w:color w:val="000000"/>
          <w:sz w:val="23"/>
        </w:rPr>
        <w:t>6.3 Why It Is Invalid</w:t>
      </w:r>
    </w:p>
    <w:p>
      <w:pPr>
        <w:jc w:val="both"/>
      </w:pPr>
      <w:r>
        <w:rPr>
          <w:rFonts w:ascii="Times New Roman" w:hAnsi="Times New Roman"/>
          <w:b/>
          <w:sz w:val="22"/>
        </w:rPr>
        <w:t>1. Within-repo clustering.</w:t>
      </w:r>
      <w:r>
        <w:rPr>
          <w:rFonts w:ascii="Times New Roman" w:hAnsi="Times New Roman"/>
          <w:sz w:val="22"/>
        </w:rPr>
        <w:t xml:space="preserve"> Repo-months are not independent Bernoulli trials. Tail exceedances are concentrated in a handful of repositories — the top five account for roughly half of all exceedances — inducing strong positive intra-class correlation and a large design effect. A z-test assuming independence badly understates the standard error and manufactures significance.</w:t>
      </w:r>
    </w:p>
    <w:p>
      <w:pPr>
        <w:jc w:val="both"/>
      </w:pPr>
      <w:r>
        <w:rPr>
          <w:rFonts w:ascii="Times New Roman" w:hAnsi="Times New Roman"/>
          <w:b/>
          <w:sz w:val="22"/>
        </w:rPr>
        <w:t>2. Treated/control confounding.</w:t>
      </w:r>
      <w:r>
        <w:rPr>
          <w:rFonts w:ascii="Times New Roman" w:hAnsi="Times New Roman"/>
          <w:sz w:val="22"/>
        </w:rPr>
        <w:t xml:space="preserve"> The pooled </w:t>
      </w:r>
      <w:r>
        <w:rPr>
          <w:rFonts w:ascii="Courier New" w:hAnsi="Courier New"/>
          <w:sz w:val="20"/>
        </w:rPr>
        <w:t>is_post</w:t>
      </w:r>
      <w:r>
        <w:rPr>
          <w:rFonts w:ascii="Times New Roman" w:hAnsi="Times New Roman"/>
          <w:sz w:val="22"/>
        </w:rPr>
        <w:t xml:space="preserve"> indicator mixes treated and control repositories, whose composition differs across the pre/post windows. Any secular calendar-time trend in the </w:t>
      </w:r>
      <w:r>
        <w:rPr>
          <w:rFonts w:ascii="Times New Roman" w:hAnsi="Times New Roman"/>
          <w:i/>
          <w:sz w:val="22"/>
        </w:rPr>
        <w:t>control</w:t>
      </w:r>
      <w:r>
        <w:rPr>
          <w:rFonts w:ascii="Times New Roman" w:hAnsi="Times New Roman"/>
          <w:sz w:val="22"/>
        </w:rPr>
        <w:t xml:space="preserve"> group is misattributed to "adoption." The pooled test has no treated-versus-control contrast at all — it is not a test of an AI-specific effect.</w:t>
      </w:r>
    </w:p>
    <w:p>
      <w:pPr>
        <w:jc w:val="both"/>
      </w:pPr>
      <w:r>
        <w:rPr>
          <w:rFonts w:ascii="Times New Roman" w:hAnsi="Times New Roman"/>
          <w:sz w:val="22"/>
        </w:rPr>
        <w:t xml:space="preserve">The correct test of an AI-specific dynamic effect is a </w:t>
      </w:r>
      <w:r>
        <w:rPr>
          <w:rFonts w:ascii="Times New Roman" w:hAnsi="Times New Roman"/>
          <w:b/>
          <w:sz w:val="22"/>
        </w:rPr>
        <w:t>difference-in-differences on tail exceedance</w:t>
      </w:r>
      <w:r>
        <w:rPr>
          <w:rFonts w:ascii="Times New Roman" w:hAnsi="Times New Roman"/>
          <w:sz w:val="22"/>
        </w:rPr>
        <w:t xml:space="preserve"> — a logistic regression </w:t>
      </w:r>
      <w:r>
        <w:rPr>
          <w:rFonts w:ascii="Courier New" w:hAnsi="Courier New"/>
          <w:sz w:val="20"/>
        </w:rPr>
        <w:t>tail ~ post + treated + post:treated</w:t>
      </w:r>
      <w:r>
        <w:rPr>
          <w:rFonts w:ascii="Times New Roman" w:hAnsi="Times New Roman"/>
          <w:sz w:val="22"/>
        </w:rPr>
        <w:t xml:space="preserve"> whose interaction coefficient isolates the treated-group change net of the control trend — with standard errors clustered by repository.</w:t>
      </w:r>
    </w:p>
    <w:p>
      <w:pPr>
        <w:spacing w:before="160" w:after="80"/>
      </w:pPr>
      <w:r>
        <w:rPr>
          <w:rFonts w:ascii="Times New Roman" w:hAnsi="Times New Roman"/>
          <w:b/>
          <w:color w:val="000000"/>
          <w:sz w:val="23"/>
        </w:rPr>
        <w:t>6.4 The Reversal</w:t>
      </w:r>
    </w:p>
    <w:p>
      <w:pPr>
        <w:jc w:val="both"/>
      </w:pPr>
      <w:r>
        <w:rPr>
          <w:rFonts w:ascii="Times New Roman" w:hAnsi="Times New Roman"/>
          <w:sz w:val="22"/>
        </w:rPr>
        <w:t>Disaggregating by treatment group reveals that the pooled signal is a control-group phenomenon, not an AI effect:</w:t>
      </w:r>
    </w:p>
    <w:p>
      <w:pPr>
        <w:jc w:val="center"/>
      </w:pPr>
      <w:r>
        <w:rPr>
          <w:rFonts w:ascii="Times New Roman" w:hAnsi="Times New Roman"/>
          <w:b/>
          <w:sz w:val="20"/>
        </w:rPr>
        <w:t>Table 9. Upper-tail exceedance rates (WCAG violation density &gt; q₉₀), by group and period (enriched panel).</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2340"/>
        <w:gridCol w:w="2340"/>
        <w:gridCol w:w="2340"/>
        <w:gridCol w:w="2340"/>
      </w:tblGrid>
      <w:tr>
        <w:trPr>
          <w:tblHeader w:val="true"/>
        </w:trPr>
        <w:tc>
          <w:tcPr>
            <w:tcW w:type="dxa" w:w="2340"/>
          </w:tcPr>
          <w:p>
            <w:pPr>
              <w:jc w:val="center"/>
            </w:pPr>
            <w:r>
              <w:rPr>
                <w:b/>
              </w:rPr>
            </w:r>
            <w:r>
              <w:rPr>
                <w:rFonts w:ascii="Times New Roman" w:hAnsi="Times New Roman"/>
                <w:b/>
                <w:sz w:val="20"/>
              </w:rPr>
              <w:t>Group</w:t>
            </w:r>
          </w:p>
        </w:tc>
        <w:tc>
          <w:tcPr>
            <w:tcW w:type="dxa" w:w="2340"/>
          </w:tcPr>
          <w:p>
            <w:pPr>
              <w:jc w:val="center"/>
            </w:pPr>
            <w:r>
              <w:rPr>
                <w:b/>
              </w:rPr>
            </w:r>
            <w:r>
              <w:rPr>
                <w:rFonts w:ascii="Times New Roman" w:hAnsi="Times New Roman"/>
                <w:b/>
                <w:sz w:val="20"/>
              </w:rPr>
              <w:t>Pre</w:t>
            </w:r>
          </w:p>
        </w:tc>
        <w:tc>
          <w:tcPr>
            <w:tcW w:type="dxa" w:w="2340"/>
          </w:tcPr>
          <w:p>
            <w:pPr>
              <w:jc w:val="center"/>
            </w:pPr>
            <w:r>
              <w:rPr>
                <w:b/>
              </w:rPr>
            </w:r>
            <w:r>
              <w:rPr>
                <w:rFonts w:ascii="Times New Roman" w:hAnsi="Times New Roman"/>
                <w:b/>
                <w:sz w:val="20"/>
              </w:rPr>
              <w:t>Post</w:t>
            </w:r>
          </w:p>
        </w:tc>
        <w:tc>
          <w:tcPr>
            <w:tcW w:type="dxa" w:w="2340"/>
          </w:tcPr>
          <w:p>
            <w:pPr>
              <w:jc w:val="center"/>
            </w:pPr>
            <w:r>
              <w:rPr>
                <w:b/>
              </w:rPr>
            </w:r>
            <w:r>
              <w:rPr>
                <w:rFonts w:ascii="Times New Roman" w:hAnsi="Times New Roman"/>
                <w:b/>
                <w:sz w:val="20"/>
              </w:rPr>
              <w:t>Change</w:t>
            </w:r>
          </w:p>
        </w:tc>
      </w:tr>
      <w:tr>
        <w:tc>
          <w:tcPr>
            <w:tcW w:type="dxa" w:w="2340"/>
          </w:tcPr>
          <w:p>
            <w:pPr>
              <w:jc w:val="center"/>
            </w:pPr>
            <w:r/>
            <w:r>
              <w:rPr>
                <w:rFonts w:ascii="Times New Roman" w:hAnsi="Times New Roman"/>
                <w:sz w:val="20"/>
              </w:rPr>
              <w:t>AI-treated</w:t>
            </w:r>
          </w:p>
        </w:tc>
        <w:tc>
          <w:tcPr>
            <w:tcW w:type="dxa" w:w="2340"/>
          </w:tcPr>
          <w:p>
            <w:pPr>
              <w:jc w:val="center"/>
            </w:pPr>
            <w:r/>
            <w:r>
              <w:rPr>
                <w:rFonts w:ascii="Times New Roman" w:hAnsi="Times New Roman"/>
                <w:sz w:val="20"/>
              </w:rPr>
              <w:t>0.098</w:t>
            </w:r>
          </w:p>
        </w:tc>
        <w:tc>
          <w:tcPr>
            <w:tcW w:type="dxa" w:w="2340"/>
          </w:tcPr>
          <w:p>
            <w:pPr>
              <w:jc w:val="center"/>
            </w:pPr>
            <w:r/>
            <w:r>
              <w:rPr>
                <w:rFonts w:ascii="Times New Roman" w:hAnsi="Times New Roman"/>
                <w:sz w:val="20"/>
              </w:rPr>
              <w:t>0.080</w:t>
            </w:r>
          </w:p>
        </w:tc>
        <w:tc>
          <w:tcPr>
            <w:tcW w:type="dxa" w:w="2340"/>
          </w:tcPr>
          <w:p>
            <w:pPr>
              <w:jc w:val="center"/>
            </w:pPr>
            <w:r/>
            <w:r>
              <w:rPr>
                <w:rFonts w:ascii="Times New Roman" w:hAnsi="Times New Roman"/>
                <w:sz w:val="20"/>
              </w:rPr>
              <w:t>−0.018</w:t>
            </w:r>
          </w:p>
        </w:tc>
      </w:tr>
      <w:tr>
        <w:tc>
          <w:tcPr>
            <w:tcW w:type="dxa" w:w="2340"/>
          </w:tcPr>
          <w:p>
            <w:pPr>
              <w:jc w:val="center"/>
            </w:pPr>
            <w:r/>
            <w:r>
              <w:rPr>
                <w:rFonts w:ascii="Times New Roman" w:hAnsi="Times New Roman"/>
                <w:sz w:val="20"/>
              </w:rPr>
              <w:t>Control</w:t>
            </w:r>
          </w:p>
        </w:tc>
        <w:tc>
          <w:tcPr>
            <w:tcW w:type="dxa" w:w="2340"/>
          </w:tcPr>
          <w:p>
            <w:pPr>
              <w:jc w:val="center"/>
            </w:pPr>
            <w:r/>
            <w:r>
              <w:rPr>
                <w:rFonts w:ascii="Times New Roman" w:hAnsi="Times New Roman"/>
                <w:sz w:val="20"/>
              </w:rPr>
              <w:t>0.130</w:t>
            </w:r>
          </w:p>
        </w:tc>
        <w:tc>
          <w:tcPr>
            <w:tcW w:type="dxa" w:w="2340"/>
          </w:tcPr>
          <w:p>
            <w:pPr>
              <w:jc w:val="center"/>
            </w:pPr>
            <w:r/>
            <w:r>
              <w:rPr>
                <w:rFonts w:ascii="Times New Roman" w:hAnsi="Times New Roman"/>
                <w:sz w:val="20"/>
              </w:rPr>
              <w:t>0.106</w:t>
            </w:r>
          </w:p>
        </w:tc>
        <w:tc>
          <w:tcPr>
            <w:tcW w:type="dxa" w:w="2340"/>
          </w:tcPr>
          <w:p>
            <w:pPr>
              <w:jc w:val="center"/>
            </w:pPr>
            <w:r/>
            <w:r>
              <w:rPr>
                <w:rFonts w:ascii="Times New Roman" w:hAnsi="Times New Roman"/>
                <w:sz w:val="20"/>
              </w:rPr>
              <w:t>−0.024</w:t>
            </w:r>
          </w:p>
        </w:tc>
      </w:tr>
      <w:tr>
        <w:tc>
          <w:tcPr>
            <w:tcW w:type="dxa" w:w="2340"/>
          </w:tcPr>
          <w:p>
            <w:pPr>
              <w:jc w:val="center"/>
            </w:pPr>
            <w:r/>
            <w:r>
              <w:rPr>
                <w:rFonts w:ascii="Times New Roman" w:hAnsi="Times New Roman"/>
                <w:b/>
                <w:sz w:val="20"/>
              </w:rPr>
              <w:t>DiD (treated − control)</w:t>
            </w:r>
          </w:p>
        </w:tc>
        <w:tc>
          <w:tcPr>
            <w:tcW w:type="dxa" w:w="2340"/>
          </w:tcPr>
          <w:p>
            <w:pPr>
              <w:jc w:val="center"/>
            </w:pPr>
            <w:r/>
          </w:p>
        </w:tc>
        <w:tc>
          <w:tcPr>
            <w:tcW w:type="dxa" w:w="2340"/>
          </w:tcPr>
          <w:p>
            <w:pPr>
              <w:jc w:val="center"/>
            </w:pPr>
            <w:r/>
          </w:p>
        </w:tc>
        <w:tc>
          <w:tcPr>
            <w:tcW w:type="dxa" w:w="2340"/>
          </w:tcPr>
          <w:p>
            <w:pPr>
              <w:jc w:val="center"/>
            </w:pPr>
            <w:r/>
            <w:r>
              <w:rPr>
                <w:rFonts w:ascii="Times New Roman" w:hAnsi="Times New Roman"/>
                <w:b/>
                <w:sz w:val="20"/>
              </w:rPr>
              <w:t>+0.006</w:t>
            </w:r>
            <w:r>
              <w:rPr>
                <w:rFonts w:ascii="Times New Roman" w:hAnsi="Times New Roman"/>
                <w:sz w:val="20"/>
              </w:rPr>
              <w:t xml:space="preserve"> (repo-clustered, p = 0.933)</w:t>
            </w:r>
          </w:p>
        </w:tc>
      </w:tr>
    </w:tbl>
    <w:p/>
    <w:p>
      <w:pPr>
        <w:jc w:val="both"/>
      </w:pPr>
      <w:r>
        <w:rPr>
          <w:rFonts w:ascii="Times New Roman" w:hAnsi="Times New Roman"/>
          <w:sz w:val="22"/>
        </w:rPr>
        <w:t xml:space="preserve">Both arms' tail rates </w:t>
      </w:r>
      <w:r>
        <w:rPr>
          <w:rFonts w:ascii="Times New Roman" w:hAnsi="Times New Roman"/>
          <w:i/>
          <w:sz w:val="22"/>
        </w:rPr>
        <w:t>decline</w:t>
      </w:r>
      <w:r>
        <w:rPr>
          <w:rFonts w:ascii="Times New Roman" w:hAnsi="Times New Roman"/>
          <w:sz w:val="22"/>
        </w:rPr>
        <w:t xml:space="preserve"> over the post-period, the control arm slightly more, so a pooled pre/post test — which has no treated-vs-control contrast — registers the shared decline as a "significant" change (p = 0.003). The proper difference-in-differences with repo-clustered standard errors gives an interaction of </w:t>
      </w:r>
      <w:r>
        <w:rPr>
          <w:rFonts w:ascii="Times New Roman" w:hAnsi="Times New Roman"/>
          <w:b/>
          <w:sz w:val="22"/>
        </w:rPr>
        <w:t>+0.006, p = 0.933</w:t>
      </w:r>
      <w:r>
        <w:rPr>
          <w:rFonts w:ascii="Times New Roman" w:hAnsi="Times New Roman"/>
          <w:sz w:val="22"/>
        </w:rPr>
        <w:t xml:space="preserve"> (Figure 5): once the treated-versus-control contrast and within-repo clustering are respected, there is </w:t>
      </w:r>
      <w:r>
        <w:rPr>
          <w:rFonts w:ascii="Times New Roman" w:hAnsi="Times New Roman"/>
          <w:b/>
          <w:sz w:val="22"/>
        </w:rPr>
        <w:t>no AI-specific tail effect.</w:t>
      </w:r>
      <w:r>
        <w:rPr>
          <w:rFonts w:ascii="Times New Roman" w:hAnsi="Times New Roman"/>
          <w:sz w:val="22"/>
        </w:rPr>
        <w:t xml:space="preserve"> A pooled p = 0.003 evaporates to a clean null under the analysis the panel structure demands — the same reversal we documented on the original data, now reproduced on a six-times-larger panel.</w:t>
      </w:r>
    </w:p>
    <w:p>
      <w:pPr>
        <w:jc w:val="center"/>
      </w:pPr>
      <w:r>
        <w:drawing>
          <wp:inline xmlns:a="http://schemas.openxmlformats.org/drawingml/2006/main" xmlns:pic="http://schemas.openxmlformats.org/drawingml/2006/picture">
            <wp:extent cx="4754880" cy="3067665"/>
            <wp:docPr id="6" name="Picture 6"/>
            <wp:cNvGraphicFramePr>
              <a:graphicFrameLocks noChangeAspect="1"/>
            </wp:cNvGraphicFramePr>
            <a:graphic>
              <a:graphicData uri="http://schemas.openxmlformats.org/drawingml/2006/picture">
                <pic:pic>
                  <pic:nvPicPr>
                    <pic:cNvPr id="0" name="fig5_tail_did.png"/>
                    <pic:cNvPicPr/>
                  </pic:nvPicPr>
                  <pic:blipFill>
                    <a:blip r:embed="rId15"/>
                    <a:stretch>
                      <a:fillRect/>
                    </a:stretch>
                  </pic:blipFill>
                  <pic:spPr>
                    <a:xfrm>
                      <a:off x="0" y="0"/>
                      <a:ext cx="4754880" cy="3067665"/>
                    </a:xfrm>
                    <a:prstGeom prst="rect"/>
                  </pic:spPr>
                </pic:pic>
              </a:graphicData>
            </a:graphic>
          </wp:inline>
        </w:drawing>
      </w:r>
    </w:p>
    <w:p>
      <w:pPr>
        <w:jc w:val="center"/>
      </w:pPr>
      <w:r>
        <w:rPr>
          <w:rFonts w:ascii="Times New Roman" w:hAnsi="Times New Roman"/>
          <w:i/>
          <w:color w:val="555555"/>
          <w:sz w:val="19"/>
        </w:rPr>
        <w:t>Figure 5. Tail-exceedance P(density &gt; q₉₀) by treatment group and period: the AI-treated rate declines while the control rate rises sharply, so the naive pooled increase is entirely a control-group secular effect.</w:t>
      </w:r>
    </w:p>
    <w:p>
      <w:pPr>
        <w:spacing w:before="160" w:after="80"/>
      </w:pPr>
      <w:r>
        <w:rPr>
          <w:rFonts w:ascii="Times New Roman" w:hAnsi="Times New Roman"/>
          <w:b/>
          <w:color w:val="000000"/>
          <w:sz w:val="23"/>
        </w:rPr>
        <w:t>6.5 A Second Artifact: The Utilization Crossover</w:t>
      </w:r>
    </w:p>
    <w:p>
      <w:pPr>
        <w:jc w:val="both"/>
      </w:pPr>
      <w:r>
        <w:rPr>
          <w:rFonts w:ascii="Times New Roman" w:hAnsi="Times New Roman"/>
          <w:sz w:val="22"/>
        </w:rPr>
        <w:t xml:space="preserve">The tail test is not the only too-good-to-be-true result this study stress-tested out of existence. An earlier version of the birth–death analysis reported ρpre = 0.80 and ρpost = 1.19 — a clean </w:t>
      </w:r>
      <w:r>
        <w:rPr>
          <w:rFonts w:ascii="Times New Roman" w:hAnsi="Times New Roman"/>
          <w:i/>
          <w:sz w:val="22"/>
        </w:rPr>
        <w:t>subcritical → supercritical crossover</w:t>
      </w:r>
      <w:r>
        <w:rPr>
          <w:rFonts w:ascii="Times New Roman" w:hAnsi="Times New Roman"/>
          <w:sz w:val="22"/>
        </w:rPr>
        <w:t xml:space="preserve"> that would have been strong, mechanistically appealing support for harm (adoption pushing the accessibility-debt queue past instability). It was a bug: μ had been conditioned on a non-empty backlog while λ was normalised over all months, </w:t>
      </w:r>
      <w:r>
        <w:rPr>
          <w:rFonts w:ascii="Times New Roman" w:hAnsi="Times New Roman"/>
          <w:b/>
          <w:sz w:val="22"/>
        </w:rPr>
        <w:t>mismatched denominators</w:t>
      </w:r>
      <w:r>
        <w:rPr>
          <w:rFonts w:ascii="Times New Roman" w:hAnsi="Times New Roman"/>
          <w:sz w:val="22"/>
        </w:rPr>
        <w:t xml:space="preserve"> that inflated μ unevenly across regimes and manufactured the crossover. An independent re-implementation, re-deriving the rates adversarially, caught it; with matched denominators the crossover vanished. We initially salvaged the corrected model as a </w:t>
      </w:r>
      <w:r>
        <w:rPr>
          <w:rFonts w:ascii="Times New Roman" w:hAnsi="Times New Roman"/>
          <w:i/>
          <w:sz w:val="22"/>
        </w:rPr>
        <w:t>regime-contrast</w:t>
      </w:r>
      <w:r>
        <w:rPr>
          <w:rFonts w:ascii="Times New Roman" w:hAnsi="Times New Roman"/>
          <w:sz w:val="22"/>
        </w:rPr>
        <w:t xml:space="preserve"> instrument — and then, as Section 5.5 reports, our own simulation refuted even that weaker claim, so the utilization analysis is withdrawn entirely. The crossover is thus a </w:t>
      </w:r>
      <w:r>
        <w:rPr>
          <w:rFonts w:ascii="Times New Roman" w:hAnsi="Times New Roman"/>
          <w:i/>
          <w:sz w:val="22"/>
        </w:rPr>
        <w:t>double</w:t>
      </w:r>
      <w:r>
        <w:rPr>
          <w:rFonts w:ascii="Times New Roman" w:hAnsi="Times New Roman"/>
          <w:sz w:val="22"/>
        </w:rPr>
        <w:t xml:space="preserve"> cautionary tale: a denominator artifact that survived correction only long enough to be refuted by simulation. It is the clearest illustration in this paper of why a convenient property must be simulated, not argued.</w:t>
      </w:r>
    </w:p>
    <w:p>
      <w:pPr>
        <w:spacing w:before="160" w:after="80"/>
      </w:pPr>
      <w:r>
        <w:rPr>
          <w:rFonts w:ascii="Times New Roman" w:hAnsi="Times New Roman"/>
          <w:b/>
          <w:color w:val="000000"/>
          <w:sz w:val="23"/>
        </w:rPr>
        <w:t>6.6 The Protocol: A Checklist for Dynamic Analysis of Clustered, Zero-Inflated Software Panels</w:t>
      </w:r>
    </w:p>
    <w:p>
      <w:pPr>
        <w:jc w:val="both"/>
      </w:pPr>
      <w:r>
        <w:rPr>
          <w:rFonts w:ascii="Times New Roman" w:hAnsi="Times New Roman"/>
          <w:sz w:val="22"/>
        </w:rPr>
        <w:t xml:space="preserve">We report these artifacts transparently because each is exactly the kind of result a careful empiricist should distrust precisely </w:t>
      </w:r>
      <w:r>
        <w:rPr>
          <w:rFonts w:ascii="Times New Roman" w:hAnsi="Times New Roman"/>
          <w:i/>
          <w:sz w:val="22"/>
        </w:rPr>
        <w:t>because</w:t>
      </w:r>
      <w:r>
        <w:rPr>
          <w:rFonts w:ascii="Times New Roman" w:hAnsi="Times New Roman"/>
          <w:sz w:val="22"/>
        </w:rPr>
        <w:t xml:space="preserve"> it is clean and confirms the hypothesis. We distil the episode — together with the simulation of §6.1 and Result 1 — into a short checklist a reader can apply to their own repository panel. Steps </w:t>
      </w:r>
      <w:r>
        <w:rPr>
          <w:rFonts w:ascii="Times New Roman" w:hAnsi="Times New Roman"/>
          <w:b/>
          <w:sz w:val="22"/>
        </w:rPr>
        <w:t>C1–C3</w:t>
      </w:r>
      <w:r>
        <w:rPr>
          <w:rFonts w:ascii="Times New Roman" w:hAnsi="Times New Roman"/>
          <w:sz w:val="22"/>
        </w:rPr>
        <w:t xml:space="preserve"> are established econometric hygiene that, as the artifacts show, is easy to violate in the SE setting; </w:t>
      </w:r>
      <w:r>
        <w:rPr>
          <w:rFonts w:ascii="Times New Roman" w:hAnsi="Times New Roman"/>
          <w:b/>
          <w:sz w:val="22"/>
        </w:rPr>
        <w:t>C4</w:t>
      </w:r>
      <w:r>
        <w:rPr>
          <w:rFonts w:ascii="Times New Roman" w:hAnsi="Times New Roman"/>
          <w:sz w:val="22"/>
        </w:rPr>
        <w:t xml:space="preserve"> is the one SE-specific correction (Result 1) that standard practice does not cover; </w:t>
      </w:r>
      <w:r>
        <w:rPr>
          <w:rFonts w:ascii="Times New Roman" w:hAnsi="Times New Roman"/>
          <w:b/>
          <w:sz w:val="22"/>
        </w:rPr>
        <w:t>C5</w:t>
      </w:r>
      <w:r>
        <w:rPr>
          <w:rFonts w:ascii="Times New Roman" w:hAnsi="Times New Roman"/>
          <w:sz w:val="22"/>
        </w:rPr>
        <w:t xml:space="preserve"> records a pitfall we learned the hard way. We do not claim the hygiene is novel — the contribution is the worked, quantified demonstration of how badly it fails when skipped.</w:t>
      </w:r>
    </w:p>
    <w:p>
      <w:pPr>
        <w:ind w:left="504" w:right="288"/>
      </w:pPr>
      <w:r>
        <w:rPr>
          <w:rFonts w:ascii="Times New Roman" w:hAnsi="Times New Roman"/>
          <w:b/>
          <w:i/>
          <w:sz w:val="20"/>
        </w:rPr>
        <w:t>Checklist — distributional/dynamic analysis of clustered, zero-inflated software panels.</w:t>
      </w:r>
    </w:p>
    <w:p>
      <w:pPr>
        <w:ind w:left="504" w:right="288"/>
      </w:pPr>
    </w:p>
    <w:p>
      <w:pPr>
        <w:ind w:left="504" w:right="288"/>
      </w:pPr>
      <w:r>
        <w:rPr>
          <w:rFonts w:ascii="Times New Roman" w:hAnsi="Times New Roman"/>
          <w:b/>
          <w:i/>
          <w:sz w:val="20"/>
        </w:rPr>
        <w:t>C1. Contrast treated vs. control; never pool pre/post.</w:t>
      </w:r>
      <w:r>
        <w:rPr>
          <w:rFonts w:ascii="Times New Roman" w:hAnsi="Times New Roman"/>
          <w:i/>
          <w:sz w:val="20"/>
        </w:rPr>
        <w:t xml:space="preserve"> Any rate, tail, or distributional comparison must enter as a treated×post interaction (a DiD), not a pooled pre-vs-post test. A pooled test has no control contrast and reads a secular calendar trend as a treatment effect — the §6.1 simulation shows this rejects a true null up to 100% of the time under a common trend.</w:t>
      </w:r>
    </w:p>
    <w:p>
      <w:pPr>
        <w:ind w:left="504" w:right="288"/>
      </w:pPr>
    </w:p>
    <w:p>
      <w:pPr>
        <w:ind w:left="504" w:right="288"/>
      </w:pPr>
      <w:r>
        <w:rPr>
          <w:rFonts w:ascii="Times New Roman" w:hAnsi="Times New Roman"/>
          <w:b/>
          <w:i/>
          <w:sz w:val="20"/>
        </w:rPr>
        <w:t>C2. Cluster on the repository.</w:t>
      </w:r>
      <w:r>
        <w:rPr>
          <w:rFonts w:ascii="Times New Roman" w:hAnsi="Times New Roman"/>
          <w:i/>
          <w:sz w:val="20"/>
        </w:rPr>
        <w:t xml:space="preserve"> Repo-months are not independent; tail/rare events concentrate within a few repos. Use repo-clustered SEs or a repo-level block bootstrap (resample whole repos, never repo-months) for every statistic, including likelihood-ratio statistics whose χ² reference distribution assumes independence (see the negative control, §5.6), and prefer a wild-cluster bootstrap when the cluster count is small (§4.2).</w:t>
      </w:r>
    </w:p>
    <w:p>
      <w:pPr>
        <w:ind w:left="504" w:right="288"/>
      </w:pPr>
    </w:p>
    <w:p>
      <w:pPr>
        <w:ind w:left="504" w:right="288"/>
      </w:pPr>
      <w:r>
        <w:rPr>
          <w:rFonts w:ascii="Times New Roman" w:hAnsi="Times New Roman"/>
          <w:b/>
          <w:i/>
          <w:sz w:val="20"/>
        </w:rPr>
        <w:t>C3. Match exposure denominators for any rate ratio.</w:t>
      </w:r>
      <w:r>
        <w:rPr>
          <w:rFonts w:ascii="Times New Roman" w:hAnsi="Times New Roman"/>
          <w:i/>
          <w:sz w:val="20"/>
        </w:rPr>
        <w:t xml:space="preserve"> Both numerator and denominator rates must be normalised over the </w:t>
      </w:r>
      <w:r>
        <w:rPr>
          <w:rFonts w:ascii="Times New Roman" w:hAnsi="Times New Roman"/>
          <w:i/>
          <w:sz w:val="20"/>
        </w:rPr>
        <w:t>same</w:t>
      </w:r>
      <w:r>
        <w:rPr>
          <w:rFonts w:ascii="Times New Roman" w:hAnsi="Times New Roman"/>
          <w:i/>
          <w:sz w:val="20"/>
        </w:rPr>
        <w:t xml:space="preserve"> exposure; mismatched denominators manufacture spurious level shifts (the ρ-crossover artifact, §6.5).</w:t>
      </w:r>
    </w:p>
    <w:p>
      <w:pPr>
        <w:ind w:left="504" w:right="288"/>
      </w:pPr>
    </w:p>
    <w:p>
      <w:pPr>
        <w:ind w:left="504" w:right="288"/>
      </w:pPr>
      <w:r>
        <w:rPr>
          <w:rFonts w:ascii="Times New Roman" w:hAnsi="Times New Roman"/>
          <w:b/>
          <w:i/>
          <w:sz w:val="20"/>
        </w:rPr>
        <w:t>C4. Correct the Markov df for occupied support (Result 1).</w:t>
      </w:r>
      <w:r>
        <w:rPr>
          <w:rFonts w:ascii="Times New Roman" w:hAnsi="Times New Roman"/>
          <w:i/>
          <w:sz w:val="20"/>
        </w:rPr>
        <w:t xml:space="preserve"> Under quantile binning of a zero-inflated outcome, check for phantom never-occupied states; compute homogeneity/order LR degrees of freedom from occupied, reachable support only. The uncorrected test is mechanically driven to non-rejection and the "comfortable null" it returns is vacuous.</w:t>
      </w:r>
    </w:p>
    <w:p>
      <w:pPr>
        <w:ind w:left="504" w:right="288"/>
      </w:pPr>
    </w:p>
    <w:p>
      <w:pPr>
        <w:ind w:left="504" w:right="288"/>
      </w:pPr>
      <w:r>
        <w:rPr>
          <w:rFonts w:ascii="Times New Roman" w:hAnsi="Times New Roman"/>
          <w:b/>
          <w:i/>
          <w:sz w:val="20"/>
        </w:rPr>
        <w:t>C5. Do not trust snapshot-cadence rate ratios — and simulate before assuming a bias cancels.</w:t>
      </w:r>
      <w:r>
        <w:rPr>
          <w:rFonts w:ascii="Times New Roman" w:hAnsi="Times New Roman"/>
          <w:i/>
          <w:sz w:val="20"/>
        </w:rPr>
        <w:t xml:space="preserve"> A birth–death utilization from monthly net diffs is biased in </w:t>
      </w:r>
      <w:r>
        <w:rPr>
          <w:rFonts w:ascii="Times New Roman" w:hAnsi="Times New Roman"/>
          <w:i/>
          <w:sz w:val="20"/>
        </w:rPr>
        <w:t>level</w:t>
      </w:r>
      <w:r>
        <w:rPr>
          <w:rFonts w:ascii="Times New Roman" w:hAnsi="Times New Roman"/>
          <w:i/>
          <w:sz w:val="20"/>
        </w:rPr>
        <w:t xml:space="preserve">; we conjectured (and a reader might reasonably hope) that the bias cancels in the pre/post </w:t>
      </w:r>
      <w:r>
        <w:rPr>
          <w:rFonts w:ascii="Times New Roman" w:hAnsi="Times New Roman"/>
          <w:i/>
          <w:sz w:val="20"/>
        </w:rPr>
        <w:t>contrast</w:t>
      </w:r>
      <w:r>
        <w:rPr>
          <w:rFonts w:ascii="Times New Roman" w:hAnsi="Times New Roman"/>
          <w:i/>
          <w:sz w:val="20"/>
        </w:rPr>
        <w:t>, but our simulation (§5.5) shows it does not, because the truncation factor depends on the regime. The general lesson is the operative one: if a convenient cancellation is only argued verbally, simulate it under a known truth before relying on it.</w:t>
      </w:r>
    </w:p>
    <w:p>
      <w:pPr>
        <w:ind w:left="504" w:right="288"/>
      </w:pPr>
    </w:p>
    <w:p>
      <w:pPr>
        <w:ind w:left="504" w:right="288"/>
      </w:pPr>
      <w:r>
        <w:rPr>
          <w:rFonts w:ascii="Times New Roman" w:hAnsi="Times New Roman"/>
          <w:b/>
          <w:i/>
          <w:sz w:val="20"/>
        </w:rPr>
        <w:t>C6. Defend a null as a bounded claim.</w:t>
      </w:r>
      <w:r>
        <w:rPr>
          <w:rFonts w:ascii="Times New Roman" w:hAnsi="Times New Roman"/>
          <w:i/>
          <w:sz w:val="20"/>
        </w:rPr>
        <w:t xml:space="preserve"> Replace "</w:t>
      </w:r>
      <w:r>
        <w:rPr>
          <w:rFonts w:ascii="Times New Roman" w:hAnsi="Times New Roman"/>
          <w:i/>
          <w:sz w:val="20"/>
        </w:rPr>
        <w:t>p</w:t>
      </w:r>
      <w:r>
        <w:rPr>
          <w:rFonts w:ascii="Times New Roman" w:hAnsi="Times New Roman"/>
          <w:i/>
          <w:sz w:val="20"/>
        </w:rPr>
        <w:t xml:space="preserve"> &gt; 0.05" with an equivalence (TOST) test against a pre-specified SESOI, a cluster-aware power curve, and a small-cluster-robust (wild-cluster bootstrap) check, and apply a multiplicity correction across the test family.</w:t>
      </w:r>
    </w:p>
    <w:p>
      <w:pPr>
        <w:jc w:val="both"/>
      </w:pPr>
      <w:r>
        <w:rPr>
          <w:rFonts w:ascii="Times New Roman" w:hAnsi="Times New Roman"/>
          <w:b/>
          <w:sz w:val="22"/>
        </w:rPr>
        <w:t>On the queueing machinery.</w:t>
      </w:r>
      <w:r>
        <w:rPr>
          <w:rFonts w:ascii="Times New Roman" w:hAnsi="Times New Roman"/>
          <w:sz w:val="22"/>
        </w:rPr>
        <w:t xml:space="preserve"> An earlier version leaned on an M/M/1 utilization framing for the dynamics. Having withdrawn the utilization analysis (§5.5), we retain only the Markov-chain, spectral-gap, and variance views — each sensitive to a different feature of the process — as </w:t>
      </w:r>
      <w:r>
        <w:rPr>
          <w:rFonts w:ascii="Times New Roman" w:hAnsi="Times New Roman"/>
          <w:i/>
          <w:sz w:val="22"/>
        </w:rPr>
        <w:t>convergent supporting evidence</w:t>
      </w:r>
      <w:r>
        <w:rPr>
          <w:rFonts w:ascii="Times New Roman" w:hAnsi="Times New Roman"/>
          <w:sz w:val="22"/>
        </w:rPr>
        <w:t xml:space="preserve"> for the beyond-mean null, not as co-equal independent claims, and we are explicit (Section 5.3) that, computed from one panel, they are not statistically independent. The transferable methodological by-product is the checklist (C1–C6), Result 1, and the two simulations (§6.1 and §5.5); the dynamics battery is supporting evidence for the empirical null, not the headline.</w:t>
      </w:r>
    </w:p>
    <w:p>
      <w:pPr>
        <w:spacing w:before="240" w:after="80"/>
      </w:pPr>
      <w:r>
        <w:rPr>
          <w:rFonts w:ascii="Times New Roman" w:hAnsi="Times New Roman"/>
          <w:b/>
          <w:color w:val="000000"/>
          <w:sz w:val="26"/>
        </w:rPr>
        <w:t>7. Discussion</w:t>
      </w:r>
    </w:p>
    <w:p>
      <w:pPr>
        <w:spacing w:before="160" w:after="80"/>
      </w:pPr>
      <w:r>
        <w:rPr>
          <w:rFonts w:ascii="Times New Roman" w:hAnsi="Times New Roman"/>
          <w:b/>
          <w:color w:val="000000"/>
          <w:sz w:val="23"/>
        </w:rPr>
        <w:t>7.1 Interpreting the Bounded Null</w:t>
      </w:r>
    </w:p>
    <w:p>
      <w:pPr>
        <w:jc w:val="both"/>
      </w:pPr>
      <w:r>
        <w:rPr>
          <w:rFonts w:ascii="Times New Roman" w:hAnsi="Times New Roman"/>
          <w:sz w:val="22"/>
        </w:rPr>
        <w:t>Across the mean (Section 4) and every dynamic moment we can estimate (Section 5), AI-tool adoption shows no statistically significant effect on accessibility quality in these repositories. This should not be read as "AI tools are harmless to accessibility." Three features qualify the conclusion precisely.</w:t>
      </w:r>
    </w:p>
    <w:p>
      <w:pPr>
        <w:jc w:val="both"/>
      </w:pPr>
      <w:r>
        <w:rPr>
          <w:rFonts w:ascii="Times New Roman" w:hAnsi="Times New Roman"/>
          <w:sz w:val="22"/>
        </w:rPr>
        <w:t>First, on the mean, equivalence testing certifies the null at ±5% of baseline on the dense semantic-HTML and keyboard axes but only at ±10–30% on the sparse, high-variance WCAG violation-density axes; a small effect concentrated purely in the rare-violation tail remains possible. Second, the static analyzer captures accessibility properties visible in the component source (semantic structure, ARIA, keyboard affordances) but not purely runtime properties (e.g. computed contrast, focus order across a live DOM); these are complementary, and the render-free design buys 100% coverage at the cost of runtime-only checks. Third, the monthly snapshot cadence is the binding constraint on the beyond-mean analysis: within-month introduce-then-fix cycles net to zero and are invisible, which limits the resolution at which a dynamic effect could be detected at all (and, as §5.5 shows, defeats the utilization model entirely). The honest summary is that adoption produces no large or even modest accessibility regression on the dense axes, and no detectable change in the generative process at monthly resolution, but a small tail effect cannot be ruled out.</w:t>
      </w:r>
    </w:p>
    <w:p>
      <w:pPr>
        <w:jc w:val="both"/>
      </w:pPr>
      <w:r>
        <w:rPr>
          <w:rFonts w:ascii="Times New Roman" w:hAnsi="Times New Roman"/>
          <w:sz w:val="22"/>
        </w:rPr>
        <w:t xml:space="preserve">What the null </w:t>
      </w:r>
      <w:r>
        <w:rPr>
          <w:rFonts w:ascii="Times New Roman" w:hAnsi="Times New Roman"/>
          <w:i/>
          <w:sz w:val="22"/>
        </w:rPr>
        <w:t>does</w:t>
      </w:r>
      <w:r>
        <w:rPr>
          <w:rFonts w:ascii="Times New Roman" w:hAnsi="Times New Roman"/>
          <w:sz w:val="22"/>
        </w:rPr>
        <w:t xml:space="preserve"> establish is also substantive. It is bounded above by a positive equivalence test rather than asserted from a non-significant </w:t>
      </w:r>
      <w:r>
        <w:rPr>
          <w:rFonts w:ascii="Times New Roman" w:hAnsi="Times New Roman"/>
          <w:i/>
          <w:sz w:val="22"/>
        </w:rPr>
        <w:t>p</w:t>
      </w:r>
      <w:r>
        <w:rPr>
          <w:rFonts w:ascii="Times New Roman" w:hAnsi="Times New Roman"/>
          <w:sz w:val="22"/>
        </w:rPr>
        <w:t xml:space="preserve">, it holds across two-way fixed effects and two heterogeneity-robust estimators, it survives a small-cluster-robust wild-cluster bootstrap and a project-type screen of the controls, and the one statistic that superficially supported harm (the pooled tail test) is demonstrated to be an analysis artifact (Section 6). For a question the prior literature primes one to expect harm on (Mowar et al., CHI 2025), a rigorously-identified, precisely-delimited null is an informative correction to the prior, not an absence of result. We are equally candid about its scope: this is a </w:t>
      </w:r>
      <w:r>
        <w:rPr>
          <w:rFonts w:ascii="Times New Roman" w:hAnsi="Times New Roman"/>
          <w:i/>
          <w:sz w:val="22"/>
        </w:rPr>
        <w:t>wide</w:t>
      </w:r>
      <w:r>
        <w:rPr>
          <w:rFonts w:ascii="Times New Roman" w:hAnsi="Times New Roman"/>
          <w:sz w:val="22"/>
        </w:rPr>
        <w:t xml:space="preserve"> null on a </w:t>
      </w:r>
      <w:r>
        <w:rPr>
          <w:rFonts w:ascii="Times New Roman" w:hAnsi="Times New Roman"/>
          <w:i/>
          <w:sz w:val="22"/>
        </w:rPr>
        <w:t>modest</w:t>
      </w:r>
      <w:r>
        <w:rPr>
          <w:rFonts w:ascii="Times New Roman" w:hAnsi="Times New Roman"/>
          <w:sz w:val="22"/>
        </w:rPr>
        <w:t xml:space="preserve"> panel, and Section 7.3 sets out the larger study that would tighten it.</w:t>
      </w:r>
    </w:p>
    <w:p>
      <w:pPr>
        <w:spacing w:before="160" w:after="80"/>
      </w:pPr>
      <w:r>
        <w:rPr>
          <w:rFonts w:ascii="Times New Roman" w:hAnsi="Times New Roman"/>
          <w:b/>
          <w:color w:val="000000"/>
          <w:sz w:val="23"/>
        </w:rPr>
        <w:t>7.2 Where a Smaller Effect Might Still Hide</w:t>
      </w:r>
    </w:p>
    <w:p>
      <w:pPr>
        <w:jc w:val="both"/>
      </w:pPr>
      <w:r>
        <w:rPr>
          <w:rFonts w:ascii="Times New Roman" w:hAnsi="Times New Roman"/>
          <w:sz w:val="22"/>
        </w:rPr>
        <w:t xml:space="preserve">Our null rules out a large accessibility regression, not a small one, and we are explicit about the most plausible place a small effect could still live: structural-HTML semantics. The mechanism is theory-driven — language models optimise for functional plausibility, not for the semantic meaning of HTML elements, so non-semantic container substitution (flat </w:t>
      </w:r>
      <w:r>
        <w:rPr>
          <w:rFonts w:ascii="Courier New" w:hAnsi="Courier New"/>
          <w:sz w:val="20"/>
        </w:rPr>
        <w:t>&lt;div&gt;</w:t>
      </w:r>
      <w:r>
        <w:rPr>
          <w:rFonts w:ascii="Times New Roman" w:hAnsi="Times New Roman"/>
          <w:sz w:val="22"/>
        </w:rPr>
        <w:t xml:space="preserve"> markup where </w:t>
      </w:r>
      <w:r>
        <w:rPr>
          <w:rFonts w:ascii="Courier New" w:hAnsi="Courier New"/>
          <w:sz w:val="20"/>
        </w:rPr>
        <w:t>&lt;button&gt;</w:t>
      </w:r>
      <w:r>
        <w:rPr>
          <w:rFonts w:ascii="Times New Roman" w:hAnsi="Times New Roman"/>
          <w:sz w:val="22"/>
        </w:rPr>
        <w:t>/</w:t>
      </w:r>
      <w:r>
        <w:rPr>
          <w:rFonts w:ascii="Courier New" w:hAnsi="Courier New"/>
          <w:sz w:val="20"/>
        </w:rPr>
        <w:t>&lt;nav&gt;</w:t>
      </w:r>
      <w:r>
        <w:rPr>
          <w:rFonts w:ascii="Times New Roman" w:hAnsi="Times New Roman"/>
          <w:sz w:val="22"/>
        </w:rPr>
        <w:t>/</w:t>
      </w:r>
      <w:r>
        <w:rPr>
          <w:rFonts w:ascii="Courier New" w:hAnsi="Courier New"/>
          <w:sz w:val="20"/>
        </w:rPr>
        <w:t>&lt;ul&gt;</w:t>
      </w:r>
      <w:r>
        <w:rPr>
          <w:rFonts w:ascii="Times New Roman" w:hAnsi="Times New Roman"/>
          <w:sz w:val="22"/>
        </w:rPr>
        <w:t xml:space="preserve"> belong) is exactly the failure such tools would be expected to produce, and exactly what runtime checks and visual review are weakest at catching. Our data are </w:t>
      </w:r>
      <w:r>
        <w:rPr>
          <w:rFonts w:ascii="Times New Roman" w:hAnsi="Times New Roman"/>
          <w:i/>
          <w:sz w:val="22"/>
        </w:rPr>
        <w:t>consistent</w:t>
      </w:r>
      <w:r>
        <w:rPr>
          <w:rFonts w:ascii="Times New Roman" w:hAnsi="Times New Roman"/>
          <w:sz w:val="22"/>
        </w:rPr>
        <w:t xml:space="preserve"> with this being the direction of any residual effect, but we have no significant category-level signal to point to: every WCAG-category density ATT is small and non-significant (Section 4.5), and the semantic-HTML ATT itself is small, negative, and sign-unstable across specifications (Section 4.2). We are therefore careful </w:t>
      </w:r>
      <w:r>
        <w:rPr>
          <w:rFonts w:ascii="Times New Roman" w:hAnsi="Times New Roman"/>
          <w:b/>
          <w:sz w:val="22"/>
        </w:rPr>
        <w:t>not</w:t>
      </w:r>
      <w:r>
        <w:rPr>
          <w:rFonts w:ascii="Times New Roman" w:hAnsi="Times New Roman"/>
          <w:sz w:val="22"/>
        </w:rPr>
        <w:t xml:space="preserve"> to claim a signal here: this is a hypothesis for a better-powered, per-commit study, not a finding. We state it as the pre-registered primary hypothesis a follow-up should test, not as evidence we possess.</w:t>
      </w:r>
    </w:p>
    <w:p>
      <w:pPr>
        <w:spacing w:before="160" w:after="80"/>
      </w:pPr>
      <w:r>
        <w:rPr>
          <w:rFonts w:ascii="Times New Roman" w:hAnsi="Times New Roman"/>
          <w:b/>
          <w:color w:val="000000"/>
          <w:sz w:val="23"/>
        </w:rPr>
        <w:t>7.3 Implications</w:t>
      </w:r>
    </w:p>
    <w:p>
      <w:pPr>
        <w:jc w:val="both"/>
      </w:pPr>
      <w:r>
        <w:rPr>
          <w:rFonts w:ascii="Times New Roman" w:hAnsi="Times New Roman"/>
          <w:b/>
          <w:sz w:val="22"/>
        </w:rPr>
        <w:t>For developers.</w:t>
      </w:r>
      <w:r>
        <w:rPr>
          <w:rFonts w:ascii="Times New Roman" w:hAnsi="Times New Roman"/>
          <w:sz w:val="22"/>
        </w:rPr>
        <w:t xml:space="preserve"> The absence of even a modest regression on the dense accessibility axes is reassuring, but the bound is looser on rare, severe violations, and the structural-HTML dimension where a residual effect would most plausibly hide is precisely the one runtime checks miss. Periodic static semantic audits remain a sensible complement to runtime checks.</w:t>
      </w:r>
    </w:p>
    <w:p>
      <w:pPr>
        <w:jc w:val="both"/>
      </w:pPr>
      <w:r>
        <w:rPr>
          <w:rFonts w:ascii="Times New Roman" w:hAnsi="Times New Roman"/>
          <w:b/>
          <w:sz w:val="22"/>
        </w:rPr>
        <w:t>For tool builders.</w:t>
      </w:r>
      <w:r>
        <w:rPr>
          <w:rFonts w:ascii="Times New Roman" w:hAnsi="Times New Roman"/>
          <w:sz w:val="22"/>
        </w:rPr>
        <w:t xml:space="preserve"> Non-semantic container substitution is the theory-predicted failure mode for AI generation and a concrete, narrow target for static linters at completion or commit time — worth building for even though our data cannot confirm it occurs at scale.</w:t>
      </w:r>
    </w:p>
    <w:p>
      <w:pPr>
        <w:jc w:val="both"/>
      </w:pPr>
      <w:r>
        <w:rPr>
          <w:rFonts w:ascii="Times New Roman" w:hAnsi="Times New Roman"/>
          <w:b/>
          <w:sz w:val="22"/>
        </w:rPr>
        <w:t>For researchers.</w:t>
      </w:r>
      <w:r>
        <w:rPr>
          <w:rFonts w:ascii="Times New Roman" w:hAnsi="Times New Roman"/>
          <w:sz w:val="22"/>
        </w:rPr>
        <w:t xml:space="preserve"> Staggered-DiD with modern heterogeneity-robust estimators transfers cleanly to frontend-specific metrics; render-independent AST scores complement runtime violation counts; and, as Section 6 shows, distributional/dynamic extensions of a causal panel demand cluster-robust, treated-versus-control inference. The clear next step is a larger, </w:t>
      </w:r>
      <w:r>
        <w:rPr>
          <w:rFonts w:ascii="Times New Roman" w:hAnsi="Times New Roman"/>
          <w:b/>
          <w:sz w:val="22"/>
        </w:rPr>
        <w:t>pre-registered</w:t>
      </w:r>
      <w:r>
        <w:rPr>
          <w:rFonts w:ascii="Times New Roman" w:hAnsi="Times New Roman"/>
          <w:sz w:val="22"/>
        </w:rPr>
        <w:t xml:space="preserve"> study (≥200 repositories, a project-type-screened control arm, and per-commit rather than monthly resolution). Note that the density-axis bound is loose because violations are rare relative to a near-zero baseline, not because the panel is small, so the lever that tightens it is </w:t>
      </w:r>
      <w:r>
        <w:rPr>
          <w:rFonts w:ascii="Times New Roman" w:hAnsi="Times New Roman"/>
          <w:i/>
          <w:sz w:val="22"/>
        </w:rPr>
        <w:t>resolution</w:t>
      </w:r>
      <w:r>
        <w:rPr>
          <w:rFonts w:ascii="Times New Roman" w:hAnsi="Times New Roman"/>
          <w:sz w:val="22"/>
        </w:rPr>
        <w:t xml:space="preserve"> — per-commit measurement captures the within-month introduce-and-fix events the monthly snapshot averages away, putting more non-zero signal into the baseline — alongside the additional repositories. Such a design would also recover the within-month dynamics the monthly cadence destroys and test the structural-HTML hypothesis of Section 7.2 with adequate power. We discuss this concretely as a Registered Report design in the replication materials.</w:t>
      </w:r>
    </w:p>
    <w:p>
      <w:pPr>
        <w:spacing w:before="240" w:after="80"/>
      </w:pPr>
      <w:r>
        <w:rPr>
          <w:rFonts w:ascii="Times New Roman" w:hAnsi="Times New Roman"/>
          <w:b/>
          <w:color w:val="000000"/>
          <w:sz w:val="26"/>
        </w:rPr>
        <w:t>8. Threats to Validity</w:t>
      </w:r>
    </w:p>
    <w:p>
      <w:pPr>
        <w:spacing w:before="160" w:after="80"/>
      </w:pPr>
      <w:r>
        <w:rPr>
          <w:rFonts w:ascii="Times New Roman" w:hAnsi="Times New Roman"/>
          <w:b/>
          <w:color w:val="000000"/>
          <w:sz w:val="23"/>
        </w:rPr>
        <w:t>8.1 Internal Validity</w:t>
      </w:r>
    </w:p>
    <w:p>
      <w:pPr>
        <w:pStyle w:val="ListBullet"/>
      </w:pPr>
      <w:r>
        <w:rPr>
          <w:rFonts w:ascii="Times New Roman" w:hAnsi="Times New Roman"/>
          <w:b/>
          <w:sz w:val="22"/>
        </w:rPr>
        <w:t>Parallel trends.</w:t>
      </w:r>
      <w:r>
        <w:rPr>
          <w:rFonts w:ascii="Times New Roman" w:hAnsi="Times New Roman"/>
          <w:sz w:val="22"/>
        </w:rPr>
        <w:t xml:space="preserve"> The pre-treatment joint F-test (F = 0.46, 3 df, p ≈ 0.71, §4.3) and visual pre-period inspection support the assumption.</w:t>
      </w:r>
    </w:p>
    <w:p>
      <w:pPr>
        <w:pStyle w:val="ListBullet"/>
      </w:pPr>
      <w:r>
        <w:rPr>
          <w:rFonts w:ascii="Times New Roman" w:hAnsi="Times New Roman"/>
          <w:b/>
          <w:sz w:val="22"/>
        </w:rPr>
        <w:t>Treatment-date misclassification.</w:t>
      </w:r>
      <w:r>
        <w:rPr>
          <w:rFonts w:ascii="Times New Roman" w:hAnsi="Times New Roman"/>
          <w:sz w:val="22"/>
        </w:rPr>
        <w:t xml:space="preserve"> Robustness to ±1-month shifts is confirmed (Table 6).</w:t>
      </w:r>
    </w:p>
    <w:p>
      <w:pPr>
        <w:pStyle w:val="ListBullet"/>
      </w:pPr>
      <w:r>
        <w:rPr>
          <w:rFonts w:ascii="Times New Roman" w:hAnsi="Times New Roman"/>
          <w:b/>
          <w:sz w:val="22"/>
        </w:rPr>
        <w:t>Rendering bias.</w:t>
      </w:r>
      <w:r>
        <w:rPr>
          <w:rFonts w:ascii="Times New Roman" w:hAnsi="Times New Roman"/>
          <w:sz w:val="22"/>
        </w:rPr>
        <w:t xml:space="preserve"> Differential rendering failure (41% treated vs. 48% control) introduces a conservative bias; the AST metric (100% coverage) serves as an independent confirmation that does not depend on rendering.</w:t>
      </w:r>
    </w:p>
    <w:p>
      <w:pPr>
        <w:pStyle w:val="ListBullet"/>
      </w:pPr>
      <w:r>
        <w:rPr>
          <w:rFonts w:ascii="Times New Roman" w:hAnsi="Times New Roman"/>
          <w:b/>
          <w:sz w:val="22"/>
        </w:rPr>
        <w:t>Control-arm validity.</w:t>
      </w:r>
      <w:r>
        <w:rPr>
          <w:rFonts w:ascii="Times New Roman" w:hAnsi="Times New Roman"/>
          <w:sz w:val="22"/>
        </w:rPr>
        <w:t xml:space="preserve"> A DiD is a difference of trends, so a concern is always that the control arm moves for reasons unrelated to treatment. On the enriched matched panel the two arms are well-behaved: pre-treatment parallel trends hold cleanly (joint F = 0.46, §4.3), the arms start comparable on every axis (Appendix A), and they show </w:t>
      </w:r>
      <w:r>
        <w:rPr>
          <w:rFonts w:ascii="Times New Roman" w:hAnsi="Times New Roman"/>
          <w:b/>
          <w:sz w:val="22"/>
        </w:rPr>
        <w:t>comparable post-period coverage</w:t>
      </w:r>
      <w:r>
        <w:rPr>
          <w:rFonts w:ascii="Times New Roman" w:hAnsi="Times New Roman"/>
          <w:sz w:val="22"/>
        </w:rPr>
        <w:t xml:space="preserve"> (mean observed post-period repo-months 22.8 treated vs. 20.2 control), so the control group is not systematically less-active or under-observed. Where both arms drift together in the post-period — as in the upper-tail exceedance, where both decline (Table 9) — that shared secular movement is exactly what the treated-vs-control contrast nets out, and is the source of the pooled-test artifact dissected in Section 6. We additionally verified the null is unchanged under a project-type screen that removes non-application control repositories (documentation/guide, icon-library, boilerplate, blog), and under restriction to the hard-configuration-signal treated subset (§4.6).</w:t>
      </w:r>
    </w:p>
    <w:p>
      <w:pPr>
        <w:spacing w:before="160" w:after="80"/>
      </w:pPr>
      <w:r>
        <w:rPr>
          <w:rFonts w:ascii="Times New Roman" w:hAnsi="Times New Roman"/>
          <w:b/>
          <w:color w:val="000000"/>
          <w:sz w:val="23"/>
        </w:rPr>
        <w:t>8.2 External Validity</w:t>
      </w:r>
    </w:p>
    <w:p>
      <w:pPr>
        <w:pStyle w:val="ListBullet"/>
      </w:pPr>
      <w:r>
        <w:rPr>
          <w:rFonts w:ascii="Times New Roman" w:hAnsi="Times New Roman"/>
          <w:b/>
          <w:sz w:val="22"/>
        </w:rPr>
        <w:t>Open-source only.</w:t>
      </w:r>
      <w:r>
        <w:rPr>
          <w:rFonts w:ascii="Times New Roman" w:hAnsi="Times New Roman"/>
          <w:sz w:val="22"/>
        </w:rPr>
        <w:t xml:space="preserve"> All repos are public GitHub projects; proprietary codebases may differ.</w:t>
      </w:r>
    </w:p>
    <w:p>
      <w:pPr>
        <w:pStyle w:val="ListBullet"/>
      </w:pPr>
      <w:r>
        <w:rPr>
          <w:rFonts w:ascii="Times New Roman" w:hAnsi="Times New Roman"/>
          <w:b/>
          <w:sz w:val="22"/>
        </w:rPr>
        <w:t>React/TypeScript specificity.</w:t>
      </w:r>
      <w:r>
        <w:rPr>
          <w:rFonts w:ascii="Times New Roman" w:hAnsi="Times New Roman"/>
          <w:sz w:val="22"/>
        </w:rPr>
        <w:t xml:space="preserve"> Results may not generalise to other frontend frameworks or to non-TypeScript React.</w:t>
      </w:r>
    </w:p>
    <w:p>
      <w:pPr>
        <w:pStyle w:val="ListBullet"/>
      </w:pPr>
      <w:r>
        <w:rPr>
          <w:rFonts w:ascii="Times New Roman" w:hAnsi="Times New Roman"/>
          <w:b/>
          <w:sz w:val="22"/>
        </w:rPr>
        <w:t>Scale and remaining bound.</w:t>
      </w:r>
      <w:r>
        <w:rPr>
          <w:rFonts w:ascii="Times New Roman" w:hAnsi="Times New Roman"/>
          <w:sz w:val="22"/>
        </w:rPr>
        <w:t xml:space="preserve"> The full panel is 446 repositories (189 treated); the matched primary panel is 181. This supports tight equivalence bounds on the dense score axes (±5%) but looser ones on the rare-event violation-density axes (±10–30%); we report wild-cluster-bootstrap inference throughout. The looser density-axis bound is a consequence of those axes' near-zero baseline (an effect expressed as a percentage of a tiny mean is unavoidably wide), not of insufficient sample size — so it is tightened primarily by finer (per-commit) temporal resolution, which raises the non-zero signal in the baseline, rather than by repository count alone. This is a goal of the pre-registered follow-up of Section 7.3.</w:t>
      </w:r>
    </w:p>
    <w:p>
      <w:pPr>
        <w:spacing w:before="160" w:after="80"/>
      </w:pPr>
      <w:r>
        <w:rPr>
          <w:rFonts w:ascii="Times New Roman" w:hAnsi="Times New Roman"/>
          <w:b/>
          <w:color w:val="000000"/>
          <w:sz w:val="23"/>
        </w:rPr>
        <w:t>8.3 Construct Validity — Upgraded</w:t>
      </w:r>
    </w:p>
    <w:p>
      <w:pPr>
        <w:jc w:val="both"/>
      </w:pPr>
      <w:r>
        <w:rPr>
          <w:rFonts w:ascii="Times New Roman" w:hAnsi="Times New Roman"/>
          <w:sz w:val="22"/>
        </w:rPr>
        <w:t xml:space="preserve">The AST semantic metric — used as a co-primary outcome and the basis for the structural-HTML hypothesis of Section 7.2 — is validated against expert human judgement in Appendix D. </w:t>
      </w:r>
      <w:r>
        <w:rPr>
          <w:rFonts w:ascii="Times New Roman" w:hAnsi="Times New Roman"/>
          <w:b/>
          <w:sz w:val="22"/>
        </w:rPr>
        <w:t>This study upgrades the validation from the single-rater design of the originating study to a four-rater design</w:t>
      </w:r>
      <w:r>
        <w:rPr>
          <w:rFonts w:ascii="Times New Roman" w:hAnsi="Times New Roman"/>
          <w:sz w:val="22"/>
        </w:rPr>
        <w:t xml:space="preserve">: the same stratified set of 53 components was rated independently by four React/TypeScript engineers (2–10 years' experience) blind to the automated score and to each other. Inter-rater reliability is strong — </w:t>
      </w:r>
      <w:r>
        <w:rPr>
          <w:rFonts w:ascii="Times New Roman" w:hAnsi="Times New Roman"/>
          <w:b/>
          <w:sz w:val="22"/>
        </w:rPr>
        <w:t>Krippendorff's α = 0.870, 95% CI [0.776, 0.923]</w:t>
      </w:r>
      <w:r>
        <w:rPr>
          <w:rFonts w:ascii="Times New Roman" w:hAnsi="Times New Roman"/>
          <w:sz w:val="22"/>
        </w:rPr>
        <w:t xml:space="preserve"> (ordinal; mean pairwise weighted κ = 0.897; all four raters within one point on 100% of components) — and criterion agreement with the AST score holds across every rater (per-rater Spearman ρ 0.670–0.751; pooled ρ = 0.733), with </w:t>
      </w:r>
      <w:r>
        <w:rPr>
          <w:rFonts w:ascii="Times New Roman" w:hAnsi="Times New Roman"/>
          <w:b/>
          <w:sz w:val="22"/>
        </w:rPr>
        <w:t>non-decreasing</w:t>
      </w:r>
      <w:r>
        <w:rPr>
          <w:rFonts w:ascii="Times New Roman" w:hAnsi="Times New Roman"/>
          <w:sz w:val="22"/>
        </w:rPr>
        <w:t xml:space="preserve"> band ordering (one adjacent tie, Table D2).</w:t>
      </w:r>
    </w:p>
    <w:p>
      <w:pPr>
        <w:jc w:val="both"/>
      </w:pPr>
      <w:r>
        <w:rPr>
          <w:rFonts w:ascii="Times New Roman" w:hAnsi="Times New Roman"/>
          <w:b/>
          <w:sz w:val="22"/>
        </w:rPr>
        <w:t>A construct-validity independence concern, named explicitly.</w:t>
      </w:r>
      <w:r>
        <w:rPr>
          <w:rFonts w:ascii="Times New Roman" w:hAnsi="Times New Roman"/>
          <w:sz w:val="22"/>
        </w:rPr>
        <w:t xml:space="preserve"> One of the four raters (R1) is the author and the designer of the AST metric. Three mitigations bound this, but we state the concern rather than let it pass: (i) the three rating sessions were blind to the automated score and to other raters; (ii) R1 is not an outlier (R1 ρ = 0.751 sits inside the tight per-rater band 0.670–0.751); and most importantly (iii) </w:t>
      </w:r>
      <w:r>
        <w:rPr>
          <w:rFonts w:ascii="Times New Roman" w:hAnsi="Times New Roman"/>
          <w:b/>
          <w:sz w:val="22"/>
        </w:rPr>
        <w:t>we recompute every reliability and criterion statistic on the three *independent* raters alone (R2–R4), and the validation does not weaken</w:t>
      </w:r>
      <w:r>
        <w:rPr>
          <w:rFonts w:ascii="Times New Roman" w:hAnsi="Times New Roman"/>
          <w:sz w:val="22"/>
        </w:rPr>
        <w:t xml:space="preserve">: Krippendorff's α = </w:t>
      </w:r>
      <w:r>
        <w:rPr>
          <w:rFonts w:ascii="Times New Roman" w:hAnsi="Times New Roman"/>
          <w:b/>
          <w:sz w:val="22"/>
        </w:rPr>
        <w:t>0.880</w:t>
      </w:r>
      <w:r>
        <w:rPr>
          <w:rFonts w:ascii="Times New Roman" w:hAnsi="Times New Roman"/>
          <w:sz w:val="22"/>
        </w:rPr>
        <w:t xml:space="preserve">, 95% CI [0.787, 0.934] (vs. 0.870 for all four), and pooled Spearman ρ = </w:t>
      </w:r>
      <w:r>
        <w:rPr>
          <w:rFonts w:ascii="Times New Roman" w:hAnsi="Times New Roman"/>
          <w:b/>
          <w:sz w:val="22"/>
        </w:rPr>
        <w:t>0.703</w:t>
      </w:r>
      <w:r>
        <w:rPr>
          <w:rFonts w:ascii="Times New Roman" w:hAnsi="Times New Roman"/>
          <w:sz w:val="22"/>
        </w:rPr>
        <w:t>, 95% CI [0.504, 0.842] (vs. 0.733). Because the independent-rater statistics are essentially identical to the all-four statistics, the metric's construct validity does not rest on its designer. We retain the originating study's scope limitation that headless-UI / React-Native components (≈15% of the sample) abstract HTML semantics away and draw mid-scale ratings from both the metric and the raters.</w:t>
      </w:r>
    </w:p>
    <w:p>
      <w:pPr>
        <w:pStyle w:val="ListBullet"/>
      </w:pPr>
      <w:r>
        <w:rPr>
          <w:rFonts w:ascii="Times New Roman" w:hAnsi="Times New Roman"/>
          <w:b/>
          <w:sz w:val="22"/>
        </w:rPr>
        <w:t>axe-core coverage.</w:t>
      </w:r>
      <w:r>
        <w:rPr>
          <w:rFonts w:ascii="Times New Roman" w:hAnsi="Times New Roman"/>
          <w:sz w:val="22"/>
        </w:rPr>
        <w:t xml:space="preserve"> Covers a subset of WCAG criteria; violations requiring rendered semantic context are not captured. This is one reason the AST metric is treated as co-primary rather than secondary.</w:t>
      </w:r>
    </w:p>
    <w:p>
      <w:pPr>
        <w:spacing w:before="160" w:after="80"/>
      </w:pPr>
      <w:r>
        <w:rPr>
          <w:rFonts w:ascii="Times New Roman" w:hAnsi="Times New Roman"/>
          <w:b/>
          <w:color w:val="000000"/>
          <w:sz w:val="23"/>
        </w:rPr>
        <w:t>8.4 The First-Order Markov Limitation</w:t>
      </w:r>
    </w:p>
    <w:p>
      <w:pPr>
        <w:jc w:val="both"/>
      </w:pPr>
      <w:r>
        <w:rPr>
          <w:rFonts w:ascii="Times New Roman" w:hAnsi="Times New Roman"/>
          <w:sz w:val="22"/>
        </w:rPr>
        <w:t xml:space="preserve">We report one assumption that does not cleanly hold: the </w:t>
      </w:r>
      <w:r>
        <w:rPr>
          <w:rFonts w:ascii="Times New Roman" w:hAnsi="Times New Roman"/>
          <w:b/>
          <w:sz w:val="22"/>
        </w:rPr>
        <w:t>first-order Markov assumption holds at the primary 4-state binning but is rejected at finer/coarser binnings</w:t>
      </w:r>
      <w:r>
        <w:rPr>
          <w:rFonts w:ascii="Times New Roman" w:hAnsi="Times New Roman"/>
          <w:sz w:val="22"/>
        </w:rPr>
        <w:t xml:space="preserve"> (full order-test results by state count and regime are in Section 5.3). We treat this as a limitation rather than a finding. A higher-order dependence would mean the monthly transition matrix does not fully capture the temporal structure, which is plausible given that quality changes are driven by multi-month development episodes. It does not undermine the </w:t>
      </w:r>
      <w:r>
        <w:rPr>
          <w:rFonts w:ascii="Times New Roman" w:hAnsi="Times New Roman"/>
          <w:i/>
          <w:sz w:val="22"/>
        </w:rPr>
        <w:t>homogeneity</w:t>
      </w:r>
      <w:r>
        <w:rPr>
          <w:rFonts w:ascii="Times New Roman" w:hAnsi="Times New Roman"/>
          <w:sz w:val="22"/>
        </w:rPr>
        <w:t xml:space="preserve"> conclusion (the pre/post transition structures are indistinguishable whether or not the chain is exactly first-order, and the homogeneity null is corroborated by three other moments — stationary distribution, variance, and the tail DiD — which, while computed from the same panel and so not statistically independent, are each sensitive to a different feature of the dynamics), but it does mean the Markov model is an approximation, and the dynamics null should be read as "no detectable regime difference </w:t>
      </w:r>
      <w:r>
        <w:rPr>
          <w:rFonts w:ascii="Times New Roman" w:hAnsi="Times New Roman"/>
          <w:i/>
          <w:sz w:val="22"/>
        </w:rPr>
        <w:t>under a first-order monthly model</w:t>
      </w:r>
      <w:r>
        <w:rPr>
          <w:rFonts w:ascii="Times New Roman" w:hAnsi="Times New Roman"/>
          <w:sz w:val="22"/>
        </w:rPr>
        <w:t>," not as a statement about arbitrary-order dynamics.</w:t>
      </w:r>
    </w:p>
    <w:p>
      <w:pPr>
        <w:spacing w:before="160" w:after="80"/>
      </w:pPr>
      <w:r>
        <w:rPr>
          <w:rFonts w:ascii="Times New Roman" w:hAnsi="Times New Roman"/>
          <w:b/>
          <w:color w:val="000000"/>
          <w:sz w:val="23"/>
        </w:rPr>
        <w:t>8.5 Scope of the Null</w:t>
      </w:r>
    </w:p>
    <w:p>
      <w:pPr>
        <w:jc w:val="both"/>
      </w:pPr>
      <w:r>
        <w:rPr>
          <w:rFonts w:ascii="Times New Roman" w:hAnsi="Times New Roman"/>
          <w:sz w:val="22"/>
        </w:rPr>
        <w:t xml:space="preserve">The null is bounded, and we state the bounds explicitly: equivalence testing rules out mean effects above ±5% of baseline on the dense semantic-HTML and keyboard axes, and above ±10–30% on the sparse violation-density axes; the level of every beyond-mean moment (volatility, tail risk, transition structure) is unchanged. It does </w:t>
      </w:r>
      <w:r>
        <w:rPr>
          <w:rFonts w:ascii="Times New Roman" w:hAnsi="Times New Roman"/>
          <w:b/>
          <w:sz w:val="22"/>
        </w:rPr>
        <w:t>not</w:t>
      </w:r>
      <w:r>
        <w:rPr>
          <w:rFonts w:ascii="Times New Roman" w:hAnsi="Times New Roman"/>
          <w:sz w:val="22"/>
        </w:rPr>
        <w:t xml:space="preserve"> rule out a small effect concentrated purely in the rare-violation tail, sub-monthly dynamics, runtime-only accessibility properties the static analyzer cannot see (§7.1), or effects in proprietary or non-React codebases. The utilization facet — the introduction-versus-removal balance — is </w:t>
      </w:r>
      <w:r>
        <w:rPr>
          <w:rFonts w:ascii="Times New Roman" w:hAnsi="Times New Roman"/>
          <w:i/>
          <w:sz w:val="22"/>
        </w:rPr>
        <w:t>not estimable</w:t>
      </w:r>
      <w:r>
        <w:rPr>
          <w:rFonts w:ascii="Times New Roman" w:hAnsi="Times New Roman"/>
          <w:sz w:val="22"/>
        </w:rPr>
        <w:t xml:space="preserve"> at monthly cadence (§5.5). The monthly-snapshot cadence — not the absence of an effect in nature — is the binding constraint on any stronger conclusion, and the larger, per-commit, pre-registered follow-up of Section 7.3 is the clear next step.</w:t>
      </w:r>
    </w:p>
    <w:p>
      <w:pPr>
        <w:spacing w:before="240" w:after="80"/>
      </w:pPr>
      <w:r>
        <w:rPr>
          <w:rFonts w:ascii="Times New Roman" w:hAnsi="Times New Roman"/>
          <w:b/>
          <w:color w:val="000000"/>
          <w:sz w:val="26"/>
        </w:rPr>
        <w:t>9. Conclusion</w:t>
      </w:r>
    </w:p>
    <w:p>
      <w:pPr>
        <w:jc w:val="both"/>
      </w:pPr>
      <w:r>
        <w:rPr>
          <w:rFonts w:ascii="Times New Roman" w:hAnsi="Times New Roman"/>
          <w:sz w:val="22"/>
        </w:rPr>
        <w:t xml:space="preserve">We asked whether adopting AI coding assistants causally degrades the </w:t>
      </w:r>
      <w:r>
        <w:rPr>
          <w:rFonts w:ascii="Times New Roman" w:hAnsi="Times New Roman"/>
          <w:i/>
          <w:sz w:val="22"/>
        </w:rPr>
        <w:t>source-detectable</w:t>
      </w:r>
      <w:r>
        <w:rPr>
          <w:rFonts w:ascii="Times New Roman" w:hAnsi="Times New Roman"/>
          <w:sz w:val="22"/>
        </w:rPr>
        <w:t xml:space="preserve"> accessibility quality of frontend code, and — to our knowledge for the first time, longitudinally, causally, and at scale — answered it: across </w:t>
      </w:r>
      <w:r>
        <w:rPr>
          <w:rFonts w:ascii="Times New Roman" w:hAnsi="Times New Roman"/>
          <w:b/>
          <w:sz w:val="22"/>
        </w:rPr>
        <w:t>446 open-source React/TypeScript repositories and 13,702 repo-months</w:t>
      </w:r>
      <w:r>
        <w:rPr>
          <w:rFonts w:ascii="Times New Roman" w:hAnsi="Times New Roman"/>
          <w:sz w:val="22"/>
        </w:rPr>
        <w:t xml:space="preserve"> (a propensity-matched 181-repo subset as the primary panel), measuring four complementary accessibility axes, we find a </w:t>
      </w:r>
      <w:r>
        <w:rPr>
          <w:rFonts w:ascii="Times New Roman" w:hAnsi="Times New Roman"/>
          <w:b/>
          <w:sz w:val="22"/>
        </w:rPr>
        <w:t>comprehensive, tightly-bounded null</w:t>
      </w:r>
      <w:r>
        <w:rPr>
          <w:rFonts w:ascii="Times New Roman" w:hAnsi="Times New Roman"/>
          <w:sz w:val="22"/>
        </w:rPr>
        <w:t xml:space="preserve">. No axis — semantic HTML, keyboard/focus, WCAG-category density, or severity-weighted violations — shows a significant treatment effect under two-way fixed effects or a heterogeneity-robust imputation estimator, on either panel, with wild-cluster bootstrap inference confirming the null is not a small-sample artifact. (A fifth candidate axis, ARIA-role correctness, was near-constant across the corpus and is reported as exhibiting no detectable variation rather than modelled.) Equivalence testing positively excludes effects larger than ±5% of baseline on the semantic-HTML and keyboard axes (±10–30% on the sparser density axes), and treated and control repositories have comparable post-period maintenance activity. Looking beyond the mean — at transition structure, volatility, and upper-tail risk — we find the </w:t>
      </w:r>
      <w:r>
        <w:rPr>
          <w:rFonts w:ascii="Times New Roman" w:hAnsi="Times New Roman"/>
          <w:i/>
          <w:sz w:val="22"/>
        </w:rPr>
        <w:t>level</w:t>
      </w:r>
      <w:r>
        <w:rPr>
          <w:rFonts w:ascii="Times New Roman" w:hAnsi="Times New Roman"/>
          <w:sz w:val="22"/>
        </w:rPr>
        <w:t xml:space="preserve"> of every moment unchanged; the one second-order signal is a modest, robust increase in state </w:t>
      </w:r>
      <w:r>
        <w:rPr>
          <w:rFonts w:ascii="Times New Roman" w:hAnsi="Times New Roman"/>
          <w:i/>
          <w:sz w:val="22"/>
        </w:rPr>
        <w:t>persistence</w:t>
      </w:r>
      <w:r>
        <w:rPr>
          <w:rFonts w:ascii="Times New Roman" w:hAnsi="Times New Roman"/>
          <w:sz w:val="22"/>
        </w:rPr>
        <w:t xml:space="preserve"> (slower-mixing post-adoption chains, spectral gap 0.036 → 0.017, CI excluding zero), indicating less month-to-month churn rather than better or worse quality.</w:t>
      </w:r>
    </w:p>
    <w:p>
      <w:pPr>
        <w:jc w:val="both"/>
      </w:pPr>
      <w:r>
        <w:rPr>
          <w:rFonts w:ascii="Times New Roman" w:hAnsi="Times New Roman"/>
          <w:sz w:val="22"/>
        </w:rPr>
        <w:t>Reaching that null honestly required killing two of our own too-good-to-be-true positives — a pooled tail-risk increase (p = 0.003) that reversed once treated-versus-control contrast and repo clustering were respected, and a queueing-utilization analysis whose convenient bias-cancellation our own simulation refuted, leading us to withdraw it. The discipline that caught both is the paper's transferable by-product: a short checklist for distributional analysis of clustered, zero-inflated repository panels, a Monte Carlo quantifying that the naive pooled test rejects a true null up to 100% of the time under a common secular trend, and one named SE-specific pitfall (Result 1, the zero-inflation degrees-of-freedom degeneracy in Markov regime tests).</w:t>
      </w:r>
    </w:p>
    <w:p>
      <w:pPr>
        <w:jc w:val="both"/>
      </w:pPr>
      <w:r>
        <w:rPr>
          <w:rFonts w:ascii="Times New Roman" w:hAnsi="Times New Roman"/>
          <w:sz w:val="22"/>
        </w:rPr>
        <w:t>We are candid about scope. This is a wide null on a modest panel: it excludes a large accessibility regression but not a small one, the structural-HTML dimension where a small effect would most plausibly hide is exactly the one this study cannot resolve, and the monthly cadence defeats the finer-grained dynamics. The clear next step is a larger, pre-registered study — ≥200 repositories, a project-type-screened control arm, per-commit resolution — that would tighten the equivalence bound and test the structural-HTML hypothesis with adequate power. For a question the literature primed toward harm, a rigorously-bounded null, reached by killing one's own artifacts, is an informative correction to the prior — and a template for how to extend a causal panel to distributional questions without being fooled.</w:t>
      </w:r>
    </w:p>
    <w:p>
      <w:pPr>
        <w:jc w:val="both"/>
      </w:pPr>
      <w:r>
        <w:rPr>
          <w:rFonts w:ascii="Times New Roman" w:hAnsi="Times New Roman"/>
          <w:b/>
          <w:sz w:val="22"/>
        </w:rPr>
        <w:t>Replication.</w:t>
      </w:r>
      <w:r>
        <w:rPr>
          <w:rFonts w:ascii="Times New Roman" w:hAnsi="Times New Roman"/>
          <w:sz w:val="22"/>
        </w:rPr>
        <w:t xml:space="preserve"> All analysis code, panel data, and supporting scripts are archived at Zenodo, DOI [10.5281/zenodo.20995709](https://doi.org/10.5281/zenodo.20995709), and mirrored at </w:t>
      </w:r>
      <w:r>
        <w:rPr>
          <w:rFonts w:ascii="Courier New" w:hAnsi="Courier New"/>
          <w:sz w:val="20"/>
        </w:rPr>
        <w:t>github.com/SomilKSharma/ai-react-accessibility-study</w:t>
      </w:r>
      <w:r>
        <w:rPr>
          <w:rFonts w:ascii="Times New Roman" w:hAnsi="Times New Roman"/>
          <w:sz w:val="22"/>
        </w:rPr>
        <w:t xml:space="preserve">. The package maps scripts to results. The enriched panels are built by </w:t>
      </w:r>
      <w:r>
        <w:rPr>
          <w:rFonts w:ascii="Courier New" w:hAnsi="Courier New"/>
          <w:sz w:val="20"/>
        </w:rPr>
        <w:t>build_enriched_panel.py</w:t>
      </w:r>
      <w:r>
        <w:rPr>
          <w:rFonts w:ascii="Times New Roman" w:hAnsi="Times New Roman"/>
          <w:sz w:val="22"/>
        </w:rPr>
        <w:t xml:space="preserve"> (propensity matching → </w:t>
      </w:r>
      <w:r>
        <w:rPr>
          <w:rFonts w:ascii="Courier New" w:hAnsi="Courier New"/>
          <w:sz w:val="20"/>
        </w:rPr>
        <w:t>enriched_panel.csv</w:t>
      </w:r>
      <w:r>
        <w:rPr>
          <w:rFonts w:ascii="Times New Roman" w:hAnsi="Times New Roman"/>
          <w:sz w:val="22"/>
        </w:rPr>
        <w:t xml:space="preserve">, 181 repos, and </w:t>
      </w:r>
      <w:r>
        <w:rPr>
          <w:rFonts w:ascii="Courier New" w:hAnsi="Courier New"/>
          <w:sz w:val="20"/>
        </w:rPr>
        <w:t>enriched_panel_full.csv</w:t>
      </w:r>
      <w:r>
        <w:rPr>
          <w:rFonts w:ascii="Times New Roman" w:hAnsi="Times New Roman"/>
          <w:sz w:val="22"/>
        </w:rPr>
        <w:t xml:space="preserve">, 446 repos). The primary mean-effect suite — TWFE and BJS imputation estimates, repo-clustered and wild-cluster-bootstrap inference, and the TOST equivalence bounds for </w:t>
      </w:r>
      <w:r>
        <w:rPr>
          <w:rFonts w:ascii="Times New Roman" w:hAnsi="Times New Roman"/>
          <w:b/>
          <w:sz w:val="22"/>
        </w:rPr>
        <w:t>Tables 4, 4a, and 4b</w:t>
      </w:r>
      <w:r>
        <w:rPr>
          <w:rFonts w:ascii="Times New Roman" w:hAnsi="Times New Roman"/>
          <w:sz w:val="22"/>
        </w:rPr>
        <w:t xml:space="preserve"> — is produced by </w:t>
      </w:r>
      <w:r>
        <w:rPr>
          <w:rFonts w:ascii="Courier New" w:hAnsi="Courier New"/>
          <w:sz w:val="20"/>
        </w:rPr>
        <w:t>estimate_enriched.py</w:t>
      </w:r>
      <w:r>
        <w:rPr>
          <w:rFonts w:ascii="Times New Roman" w:hAnsi="Times New Roman"/>
          <w:sz w:val="22"/>
        </w:rPr>
        <w:t xml:space="preserve"> on those panels. The event study, Markov homogeneity, volatility, and tail-DiD dynamics (Figures 1–3, Table 7, §5.3–5.6) are produced by </w:t>
      </w:r>
      <w:r>
        <w:rPr>
          <w:rFonts w:ascii="Courier New" w:hAnsi="Courier New"/>
          <w:sz w:val="20"/>
        </w:rPr>
        <w:t>enriched_dynamics.py</w:t>
      </w:r>
      <w:r>
        <w:rPr>
          <w:rFonts w:ascii="Times New Roman" w:hAnsi="Times New Roman"/>
          <w:sz w:val="22"/>
        </w:rPr>
        <w:t xml:space="preserve">; the per-axis forest plot (Figure 7) by </w:t>
      </w:r>
      <w:r>
        <w:rPr>
          <w:rFonts w:ascii="Courier New" w:hAnsi="Courier New"/>
          <w:sz w:val="20"/>
        </w:rPr>
        <w:t>fig_enriched.py</w:t>
      </w:r>
      <w:r>
        <w:rPr>
          <w:rFonts w:ascii="Times New Roman" w:hAnsi="Times New Roman"/>
          <w:sz w:val="22"/>
        </w:rPr>
        <w:t>. Supporting analyses: the project-type control screen (</w:t>
      </w:r>
      <w:r>
        <w:rPr>
          <w:rFonts w:ascii="Courier New" w:hAnsi="Courier New"/>
          <w:sz w:val="20"/>
        </w:rPr>
        <w:t>control_screen.py</w:t>
      </w:r>
      <w:r>
        <w:rPr>
          <w:rFonts w:ascii="Times New Roman" w:hAnsi="Times New Roman"/>
          <w:sz w:val="22"/>
        </w:rPr>
        <w:t>, §8.1); the Monte Carlo size study (</w:t>
      </w:r>
      <w:r>
        <w:rPr>
          <w:rFonts w:ascii="Courier New" w:hAnsi="Courier New"/>
          <w:sz w:val="20"/>
        </w:rPr>
        <w:t>size_distortion_sim.py</w:t>
      </w:r>
      <w:r>
        <w:rPr>
          <w:rFonts w:ascii="Times New Roman" w:hAnsi="Times New Roman"/>
          <w:sz w:val="22"/>
        </w:rPr>
        <w:t>, Figure 6); the utilization-refutation simulation (</w:t>
      </w:r>
      <w:r>
        <w:rPr>
          <w:rFonts w:ascii="Courier New" w:hAnsi="Courier New"/>
          <w:sz w:val="20"/>
        </w:rPr>
        <w:t>utilization_refutation_sim.py</w:t>
      </w:r>
      <w:r>
        <w:rPr>
          <w:rFonts w:ascii="Times New Roman" w:hAnsi="Times New Roman"/>
          <w:sz w:val="22"/>
        </w:rPr>
        <w:t>, Figure 4); the Benjamini–Hochberg multiplicity correction (</w:t>
      </w:r>
      <w:r>
        <w:rPr>
          <w:rFonts w:ascii="Courier New" w:hAnsi="Courier New"/>
          <w:sz w:val="20"/>
        </w:rPr>
        <w:t>multiplicity.py</w:t>
      </w:r>
      <w:r>
        <w:rPr>
          <w:rFonts w:ascii="Times New Roman" w:hAnsi="Times New Roman"/>
          <w:sz w:val="22"/>
        </w:rPr>
        <w:t xml:space="preserve">, reading </w:t>
      </w:r>
      <w:r>
        <w:rPr>
          <w:rFonts w:ascii="Courier New" w:hAnsi="Courier New"/>
          <w:sz w:val="20"/>
        </w:rPr>
        <w:t>enriched_results_matched.csv</w:t>
      </w:r>
      <w:r>
        <w:rPr>
          <w:rFonts w:ascii="Times New Roman" w:hAnsi="Times New Roman"/>
          <w:sz w:val="22"/>
        </w:rPr>
        <w:t xml:space="preserve">, Table 5); the zero-inflation / persistence / spectral-gap dynamics, including the committed </w:t>
      </w:r>
      <w:r>
        <w:rPr>
          <w:rFonts w:ascii="Courier New" w:hAnsi="Courier New"/>
          <w:sz w:val="20"/>
        </w:rPr>
        <w:t>enriched_dynamics.json</w:t>
      </w:r>
      <w:r>
        <w:rPr>
          <w:rFonts w:ascii="Times New Roman" w:hAnsi="Times New Roman"/>
          <w:sz w:val="22"/>
        </w:rPr>
        <w:t xml:space="preserve"> that backs Tables 7 and 9 (</w:t>
      </w:r>
      <w:r>
        <w:rPr>
          <w:rFonts w:ascii="Courier New" w:hAnsi="Courier New"/>
          <w:sz w:val="20"/>
        </w:rPr>
        <w:t>enriched_dynamics.py</w:t>
      </w:r>
      <w:r>
        <w:rPr>
          <w:rFonts w:ascii="Times New Roman" w:hAnsi="Times New Roman"/>
          <w:sz w:val="22"/>
        </w:rPr>
        <w:t>); and the multi-rater construct validation (</w:t>
      </w:r>
      <w:r>
        <w:rPr>
          <w:rFonts w:ascii="Courier New" w:hAnsi="Courier New"/>
          <w:sz w:val="20"/>
        </w:rPr>
        <w:t>raters_3independent.py</w:t>
      </w:r>
      <w:r>
        <w:rPr>
          <w:rFonts w:ascii="Times New Roman" w:hAnsi="Times New Roman"/>
          <w:sz w:val="22"/>
        </w:rPr>
        <w:t>, Appendix D). The original 74-repo, two-axis analysis (</w:t>
      </w:r>
      <w:r>
        <w:rPr>
          <w:rFonts w:ascii="Courier New" w:hAnsi="Courier New"/>
          <w:sz w:val="20"/>
        </w:rPr>
        <w:t>stage5_did.py</w:t>
      </w:r>
      <w:r>
        <w:rPr>
          <w:rFonts w:ascii="Times New Roman" w:hAnsi="Times New Roman"/>
          <w:sz w:val="22"/>
        </w:rPr>
        <w:t xml:space="preserve">, </w:t>
      </w:r>
      <w:r>
        <w:rPr>
          <w:rFonts w:ascii="Courier New" w:hAnsi="Courier New"/>
          <w:sz w:val="20"/>
        </w:rPr>
        <w:t>robust_did.py</w:t>
      </w:r>
      <w:r>
        <w:rPr>
          <w:rFonts w:ascii="Times New Roman" w:hAnsi="Times New Roman"/>
          <w:sz w:val="22"/>
        </w:rPr>
        <w:t xml:space="preserve">, </w:t>
      </w:r>
      <w:r>
        <w:rPr>
          <w:rFonts w:ascii="Courier New" w:hAnsi="Courier New"/>
          <w:sz w:val="20"/>
        </w:rPr>
        <w:t>wild_cluster_bootstrap.py</w:t>
      </w:r>
      <w:r>
        <w:rPr>
          <w:rFonts w:ascii="Times New Roman" w:hAnsi="Times New Roman"/>
          <w:sz w:val="22"/>
        </w:rPr>
        <w:t xml:space="preserve">, </w:t>
      </w:r>
      <w:r>
        <w:rPr>
          <w:rFonts w:ascii="Courier New" w:hAnsi="Courier New"/>
          <w:sz w:val="20"/>
        </w:rPr>
        <w:t>equivalence_and_multiplicity.py</w:t>
      </w:r>
      <w:r>
        <w:rPr>
          <w:rFonts w:ascii="Times New Roman" w:hAnsi="Times New Roman"/>
          <w:sz w:val="22"/>
        </w:rPr>
        <w:t xml:space="preserve"> on </w:t>
      </w:r>
      <w:r>
        <w:rPr>
          <w:rFonts w:ascii="Courier New" w:hAnsi="Courier New"/>
          <w:sz w:val="20"/>
        </w:rPr>
        <w:t>panel.csv</w:t>
      </w:r>
      <w:r>
        <w:rPr>
          <w:rFonts w:ascii="Times New Roman" w:hAnsi="Times New Roman"/>
          <w:sz w:val="22"/>
        </w:rPr>
        <w:t xml:space="preserve">) is retained for provenance and </w:t>
      </w:r>
      <w:r>
        <w:rPr>
          <w:rFonts w:ascii="Times New Roman" w:hAnsi="Times New Roman"/>
          <w:b/>
          <w:sz w:val="22"/>
        </w:rPr>
        <w:t>superseded</w:t>
      </w:r>
      <w:r>
        <w:rPr>
          <w:rFonts w:ascii="Times New Roman" w:hAnsi="Times New Roman"/>
          <w:sz w:val="22"/>
        </w:rPr>
        <w:t xml:space="preserve"> for all primary results by the enriched-panel scripts above. All substantive estimates — the mean-effect tables, equivalence bounds, multiplicity correction, and the full dynamics battery — are produced by the enriched-panel scripts. A small number of descriptive figures inherited from the original pipeline and noted as such in the text (the Goodman–Bacon clean-comparison share, §3.2; the headless render-failure rates, §8.1) derive from that earlier analysis and are reported as provenance, not as enriched-panel estimates. All bootstraps use a fixed seed.</w:t>
      </w:r>
    </w:p>
    <w:p>
      <w:pPr>
        <w:spacing w:before="240" w:after="80"/>
      </w:pPr>
      <w:r>
        <w:rPr>
          <w:rFonts w:ascii="Times New Roman" w:hAnsi="Times New Roman"/>
          <w:b/>
          <w:color w:val="000000"/>
          <w:sz w:val="26"/>
        </w:rPr>
        <w:t>Appendix A. Panel Summary Statistics</w:t>
      </w:r>
    </w:p>
    <w:p>
      <w:pPr>
        <w:jc w:val="both"/>
      </w:pPr>
      <w:r>
        <w:rPr>
          <w:rFonts w:ascii="Times New Roman" w:hAnsi="Times New Roman"/>
          <w:sz w:val="22"/>
        </w:rPr>
        <w:t>Table A1 reports repo-month means and standard deviations for the four measured accessibility axes, by group and period, on the matched primary panel (181 repos, 5,956 repo-months). The arms start comparable in the pre-period on every axis — a healthy basis for the DiD identification.</w:t>
      </w:r>
    </w:p>
    <w:p>
      <w:pPr>
        <w:jc w:val="center"/>
      </w:pPr>
      <w:r>
        <w:rPr>
          <w:rFonts w:ascii="Times New Roman" w:hAnsi="Times New Roman"/>
          <w:b/>
          <w:sz w:val="20"/>
        </w:rPr>
        <w:t>Table A1. Panel summary statistics by group and period (matched panel).</w:t>
      </w:r>
      <w:r>
        <w:rPr>
          <w:rFonts w:ascii="Times New Roman" w:hAnsi="Times New Roman"/>
          <w:sz w:val="20"/>
        </w:rPr>
        <w:t xml:space="preserve"> Values are repo-month means (SD).</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1872"/>
        <w:gridCol w:w="1872"/>
        <w:gridCol w:w="1872"/>
        <w:gridCol w:w="1872"/>
        <w:gridCol w:w="1872"/>
      </w:tblGrid>
      <w:tr>
        <w:trPr>
          <w:tblHeader w:val="true"/>
        </w:trPr>
        <w:tc>
          <w:tcPr>
            <w:tcW w:type="dxa" w:w="1872"/>
          </w:tcPr>
          <w:p>
            <w:pPr>
              <w:jc w:val="center"/>
            </w:pPr>
            <w:r>
              <w:rPr>
                <w:b/>
              </w:rPr>
            </w:r>
            <w:r>
              <w:rPr>
                <w:rFonts w:ascii="Times New Roman" w:hAnsi="Times New Roman"/>
                <w:b/>
                <w:sz w:val="20"/>
              </w:rPr>
              <w:t>Axis</w:t>
            </w:r>
          </w:p>
        </w:tc>
        <w:tc>
          <w:tcPr>
            <w:tcW w:type="dxa" w:w="1872"/>
          </w:tcPr>
          <w:p>
            <w:pPr>
              <w:jc w:val="center"/>
            </w:pPr>
            <w:r>
              <w:rPr>
                <w:b/>
              </w:rPr>
            </w:r>
            <w:r>
              <w:rPr>
                <w:rFonts w:ascii="Times New Roman" w:hAnsi="Times New Roman"/>
                <w:b/>
                <w:sz w:val="20"/>
              </w:rPr>
              <w:t>Treated PRE</w:t>
            </w:r>
          </w:p>
        </w:tc>
        <w:tc>
          <w:tcPr>
            <w:tcW w:type="dxa" w:w="1872"/>
          </w:tcPr>
          <w:p>
            <w:pPr>
              <w:jc w:val="center"/>
            </w:pPr>
            <w:r>
              <w:rPr>
                <w:b/>
              </w:rPr>
            </w:r>
            <w:r>
              <w:rPr>
                <w:rFonts w:ascii="Times New Roman" w:hAnsi="Times New Roman"/>
                <w:b/>
                <w:sz w:val="20"/>
              </w:rPr>
              <w:t>Treated POST</w:t>
            </w:r>
          </w:p>
        </w:tc>
        <w:tc>
          <w:tcPr>
            <w:tcW w:type="dxa" w:w="1872"/>
          </w:tcPr>
          <w:p>
            <w:pPr>
              <w:jc w:val="center"/>
            </w:pPr>
            <w:r>
              <w:rPr>
                <w:b/>
              </w:rPr>
            </w:r>
            <w:r>
              <w:rPr>
                <w:rFonts w:ascii="Times New Roman" w:hAnsi="Times New Roman"/>
                <w:b/>
                <w:sz w:val="20"/>
              </w:rPr>
              <w:t>Control PRE</w:t>
            </w:r>
          </w:p>
        </w:tc>
        <w:tc>
          <w:tcPr>
            <w:tcW w:type="dxa" w:w="1872"/>
          </w:tcPr>
          <w:p>
            <w:pPr>
              <w:jc w:val="center"/>
            </w:pPr>
            <w:r>
              <w:rPr>
                <w:b/>
              </w:rPr>
            </w:r>
            <w:r>
              <w:rPr>
                <w:rFonts w:ascii="Times New Roman" w:hAnsi="Times New Roman"/>
                <w:b/>
                <w:sz w:val="20"/>
              </w:rPr>
              <w:t>Control POST</w:t>
            </w:r>
          </w:p>
        </w:tc>
      </w:tr>
      <w:tr>
        <w:tc>
          <w:tcPr>
            <w:tcW w:type="dxa" w:w="1872"/>
          </w:tcPr>
          <w:p>
            <w:pPr>
              <w:jc w:val="center"/>
            </w:pPr>
            <w:r/>
            <w:r>
              <w:rPr>
                <w:rFonts w:ascii="Times New Roman" w:hAnsi="Times New Roman"/>
                <w:sz w:val="20"/>
              </w:rPr>
              <w:t>Semantic HTML</w:t>
            </w:r>
          </w:p>
        </w:tc>
        <w:tc>
          <w:tcPr>
            <w:tcW w:type="dxa" w:w="1872"/>
          </w:tcPr>
          <w:p>
            <w:pPr>
              <w:jc w:val="center"/>
            </w:pPr>
            <w:r/>
            <w:r>
              <w:rPr>
                <w:rFonts w:ascii="Times New Roman" w:hAnsi="Times New Roman"/>
                <w:sz w:val="20"/>
              </w:rPr>
              <w:t>0.9454 (0.077)</w:t>
            </w:r>
          </w:p>
        </w:tc>
        <w:tc>
          <w:tcPr>
            <w:tcW w:type="dxa" w:w="1872"/>
          </w:tcPr>
          <w:p>
            <w:pPr>
              <w:jc w:val="center"/>
            </w:pPr>
            <w:r/>
            <w:r>
              <w:rPr>
                <w:rFonts w:ascii="Times New Roman" w:hAnsi="Times New Roman"/>
                <w:sz w:val="20"/>
              </w:rPr>
              <w:t>0.9409 (0.091)</w:t>
            </w:r>
          </w:p>
        </w:tc>
        <w:tc>
          <w:tcPr>
            <w:tcW w:type="dxa" w:w="1872"/>
          </w:tcPr>
          <w:p>
            <w:pPr>
              <w:jc w:val="center"/>
            </w:pPr>
            <w:r/>
            <w:r>
              <w:rPr>
                <w:rFonts w:ascii="Times New Roman" w:hAnsi="Times New Roman"/>
                <w:sz w:val="20"/>
              </w:rPr>
              <w:t>0.9447 (0.076)</w:t>
            </w:r>
          </w:p>
        </w:tc>
        <w:tc>
          <w:tcPr>
            <w:tcW w:type="dxa" w:w="1872"/>
          </w:tcPr>
          <w:p>
            <w:pPr>
              <w:jc w:val="center"/>
            </w:pPr>
            <w:r/>
            <w:r>
              <w:rPr>
                <w:rFonts w:ascii="Times New Roman" w:hAnsi="Times New Roman"/>
                <w:sz w:val="20"/>
              </w:rPr>
              <w:t>0.9490 (0.068)</w:t>
            </w:r>
          </w:p>
        </w:tc>
      </w:tr>
      <w:tr>
        <w:tc>
          <w:tcPr>
            <w:tcW w:type="dxa" w:w="1872"/>
          </w:tcPr>
          <w:p>
            <w:pPr>
              <w:jc w:val="center"/>
            </w:pPr>
            <w:r/>
            <w:r>
              <w:rPr>
                <w:rFonts w:ascii="Times New Roman" w:hAnsi="Times New Roman"/>
                <w:sz w:val="20"/>
              </w:rPr>
              <w:t>Keyboard/focus</w:t>
            </w:r>
          </w:p>
        </w:tc>
        <w:tc>
          <w:tcPr>
            <w:tcW w:type="dxa" w:w="1872"/>
          </w:tcPr>
          <w:p>
            <w:pPr>
              <w:jc w:val="center"/>
            </w:pPr>
            <w:r/>
            <w:r>
              <w:rPr>
                <w:rFonts w:ascii="Times New Roman" w:hAnsi="Times New Roman"/>
                <w:sz w:val="20"/>
              </w:rPr>
              <w:t>0.9638 (0.067)</w:t>
            </w:r>
          </w:p>
        </w:tc>
        <w:tc>
          <w:tcPr>
            <w:tcW w:type="dxa" w:w="1872"/>
          </w:tcPr>
          <w:p>
            <w:pPr>
              <w:jc w:val="center"/>
            </w:pPr>
            <w:r/>
            <w:r>
              <w:rPr>
                <w:rFonts w:ascii="Times New Roman" w:hAnsi="Times New Roman"/>
                <w:sz w:val="20"/>
              </w:rPr>
              <w:t>0.9608 (0.085)</w:t>
            </w:r>
          </w:p>
        </w:tc>
        <w:tc>
          <w:tcPr>
            <w:tcW w:type="dxa" w:w="1872"/>
          </w:tcPr>
          <w:p>
            <w:pPr>
              <w:jc w:val="center"/>
            </w:pPr>
            <w:r/>
            <w:r>
              <w:rPr>
                <w:rFonts w:ascii="Times New Roman" w:hAnsi="Times New Roman"/>
                <w:sz w:val="20"/>
              </w:rPr>
              <w:t>0.9661 (0.063)</w:t>
            </w:r>
          </w:p>
        </w:tc>
        <w:tc>
          <w:tcPr>
            <w:tcW w:type="dxa" w:w="1872"/>
          </w:tcPr>
          <w:p>
            <w:pPr>
              <w:jc w:val="center"/>
            </w:pPr>
            <w:r/>
            <w:r>
              <w:rPr>
                <w:rFonts w:ascii="Times New Roman" w:hAnsi="Times New Roman"/>
                <w:sz w:val="20"/>
              </w:rPr>
              <w:t>0.9732 (0.053)</w:t>
            </w:r>
          </w:p>
        </w:tc>
      </w:tr>
      <w:tr>
        <w:tc>
          <w:tcPr>
            <w:tcW w:type="dxa" w:w="1872"/>
          </w:tcPr>
          <w:p>
            <w:pPr>
              <w:jc w:val="center"/>
            </w:pPr>
            <w:r/>
            <w:r>
              <w:rPr>
                <w:rFonts w:ascii="Times New Roman" w:hAnsi="Times New Roman"/>
                <w:sz w:val="20"/>
              </w:rPr>
              <w:t>WCAG total density</w:t>
            </w:r>
          </w:p>
        </w:tc>
        <w:tc>
          <w:tcPr>
            <w:tcW w:type="dxa" w:w="1872"/>
          </w:tcPr>
          <w:p>
            <w:pPr>
              <w:jc w:val="center"/>
            </w:pPr>
            <w:r/>
            <w:r>
              <w:rPr>
                <w:rFonts w:ascii="Times New Roman" w:hAnsi="Times New Roman"/>
                <w:sz w:val="20"/>
              </w:rPr>
              <w:t>0.0345 (0.045)</w:t>
            </w:r>
          </w:p>
        </w:tc>
        <w:tc>
          <w:tcPr>
            <w:tcW w:type="dxa" w:w="1872"/>
          </w:tcPr>
          <w:p>
            <w:pPr>
              <w:jc w:val="center"/>
            </w:pPr>
            <w:r/>
            <w:r>
              <w:rPr>
                <w:rFonts w:ascii="Times New Roman" w:hAnsi="Times New Roman"/>
                <w:sz w:val="20"/>
              </w:rPr>
              <w:t>0.0350 (0.049)</w:t>
            </w:r>
          </w:p>
        </w:tc>
        <w:tc>
          <w:tcPr>
            <w:tcW w:type="dxa" w:w="1872"/>
          </w:tcPr>
          <w:p>
            <w:pPr>
              <w:jc w:val="center"/>
            </w:pPr>
            <w:r/>
            <w:r>
              <w:rPr>
                <w:rFonts w:ascii="Times New Roman" w:hAnsi="Times New Roman"/>
                <w:sz w:val="20"/>
              </w:rPr>
              <w:t>0.0424 (0.056)</w:t>
            </w:r>
          </w:p>
        </w:tc>
        <w:tc>
          <w:tcPr>
            <w:tcW w:type="dxa" w:w="1872"/>
          </w:tcPr>
          <w:p>
            <w:pPr>
              <w:jc w:val="center"/>
            </w:pPr>
            <w:r/>
            <w:r>
              <w:rPr>
                <w:rFonts w:ascii="Times New Roman" w:hAnsi="Times New Roman"/>
                <w:sz w:val="20"/>
              </w:rPr>
              <w:t>0.0381 (0.047)</w:t>
            </w:r>
          </w:p>
        </w:tc>
      </w:tr>
      <w:tr>
        <w:tc>
          <w:tcPr>
            <w:tcW w:type="dxa" w:w="1872"/>
          </w:tcPr>
          <w:p>
            <w:pPr>
              <w:jc w:val="center"/>
            </w:pPr>
            <w:r/>
            <w:r>
              <w:rPr>
                <w:rFonts w:ascii="Times New Roman" w:hAnsi="Times New Roman"/>
                <w:sz w:val="20"/>
              </w:rPr>
              <w:t>Severity-weighted</w:t>
            </w:r>
          </w:p>
        </w:tc>
        <w:tc>
          <w:tcPr>
            <w:tcW w:type="dxa" w:w="1872"/>
          </w:tcPr>
          <w:p>
            <w:pPr>
              <w:jc w:val="center"/>
            </w:pPr>
            <w:r/>
            <w:r>
              <w:rPr>
                <w:rFonts w:ascii="Times New Roman" w:hAnsi="Times New Roman"/>
                <w:sz w:val="20"/>
              </w:rPr>
              <w:t>0.0798 (0.099)</w:t>
            </w:r>
          </w:p>
        </w:tc>
        <w:tc>
          <w:tcPr>
            <w:tcW w:type="dxa" w:w="1872"/>
          </w:tcPr>
          <w:p>
            <w:pPr>
              <w:jc w:val="center"/>
            </w:pPr>
            <w:r/>
            <w:r>
              <w:rPr>
                <w:rFonts w:ascii="Times New Roman" w:hAnsi="Times New Roman"/>
                <w:sz w:val="20"/>
              </w:rPr>
              <w:t>0.0827 (0.105)</w:t>
            </w:r>
          </w:p>
        </w:tc>
        <w:tc>
          <w:tcPr>
            <w:tcW w:type="dxa" w:w="1872"/>
          </w:tcPr>
          <w:p>
            <w:pPr>
              <w:jc w:val="center"/>
            </w:pPr>
            <w:r/>
            <w:r>
              <w:rPr>
                <w:rFonts w:ascii="Times New Roman" w:hAnsi="Times New Roman"/>
                <w:sz w:val="20"/>
              </w:rPr>
              <w:t>0.0982 (0.126)</w:t>
            </w:r>
          </w:p>
        </w:tc>
        <w:tc>
          <w:tcPr>
            <w:tcW w:type="dxa" w:w="1872"/>
          </w:tcPr>
          <w:p>
            <w:pPr>
              <w:jc w:val="center"/>
            </w:pPr>
            <w:r/>
            <w:r>
              <w:rPr>
                <w:rFonts w:ascii="Times New Roman" w:hAnsi="Times New Roman"/>
                <w:sz w:val="20"/>
              </w:rPr>
              <w:t>0.0930 (0.107)</w:t>
            </w:r>
          </w:p>
        </w:tc>
      </w:tr>
    </w:tbl>
    <w:p/>
    <w:p>
      <w:pPr>
        <w:jc w:val="both"/>
      </w:pPr>
      <w:r>
        <w:rPr>
          <w:rFonts w:ascii="Times New Roman" w:hAnsi="Times New Roman"/>
          <w:sz w:val="22"/>
        </w:rPr>
        <w:t>N = 5,956 repo-months (95 treated / 86 control repositories).</w:t>
      </w:r>
    </w:p>
    <w:p>
      <w:pPr>
        <w:spacing w:before="240" w:after="80"/>
      </w:pPr>
      <w:r>
        <w:rPr>
          <w:rFonts w:ascii="Times New Roman" w:hAnsi="Times New Roman"/>
          <w:b/>
          <w:color w:val="000000"/>
          <w:sz w:val="26"/>
        </w:rPr>
        <w:t>Appendix B. Analysis-Plan Deviation Statement</w:t>
      </w:r>
    </w:p>
    <w:p>
      <w:pPr>
        <w:jc w:val="both"/>
      </w:pPr>
      <w:r>
        <w:rPr>
          <w:rFonts w:ascii="Times New Roman" w:hAnsi="Times New Roman"/>
          <w:sz w:val="22"/>
        </w:rPr>
        <w:t xml:space="preserve">We are explicit that this study was </w:t>
      </w:r>
      <w:r>
        <w:rPr>
          <w:rFonts w:ascii="Times New Roman" w:hAnsi="Times New Roman"/>
          <w:b/>
          <w:sz w:val="22"/>
        </w:rPr>
        <w:t>not formally pre-registered.</w:t>
      </w:r>
      <w:r>
        <w:rPr>
          <w:rFonts w:ascii="Times New Roman" w:hAnsi="Times New Roman"/>
          <w:sz w:val="22"/>
        </w:rPr>
        <w:t xml:space="preserve"> We worked from a written internal analysis plan fixed before estimation, which makes the analytic choices auditable but does </w:t>
      </w:r>
      <w:r>
        <w:rPr>
          <w:rFonts w:ascii="Times New Roman" w:hAnsi="Times New Roman"/>
          <w:i/>
          <w:sz w:val="22"/>
        </w:rPr>
        <w:t>not</w:t>
      </w:r>
      <w:r>
        <w:rPr>
          <w:rFonts w:ascii="Times New Roman" w:hAnsi="Times New Roman"/>
          <w:sz w:val="22"/>
        </w:rPr>
        <w:t xml:space="preserve"> carry the guarantees of a public, time-stamped pre-registration; we therefore avoid leaning on "specified in advance" as if it were verifiable third-party pre-registration, and we treat the design as exploratory-confirmatory rather than strictly confirmatory. The clear remedy — and the path we recommend for the follow-up in Section 7.3 — is to lodge the next study on OSF or as a Registered Report (the MSR/EMSE Registered Reports track is well suited) before data collection. We document here every deviation from the internal plan, in that spirit: (1) the dual axe denominator — renderable-only moved from sensitivity check to co-primary, motivated by the 60.4% renderability constraint discovered during collection, not by results inspection; (2) the inclusion criterion changed to data-coverage (≥12 months, ≥100 renderable rows); (3) a Tobit regression added as a planned robustness check for the censored AST outcome. No changes to the DiD equation, PSM specification, treatment-date logic, AST rubric, or RQ structure. Analyses </w:t>
      </w:r>
      <w:r>
        <w:rPr>
          <w:rFonts w:ascii="Times New Roman" w:hAnsi="Times New Roman"/>
          <w:i/>
          <w:sz w:val="22"/>
        </w:rPr>
        <w:t>added during revision</w:t>
      </w:r>
      <w:r>
        <w:rPr>
          <w:rFonts w:ascii="Times New Roman" w:hAnsi="Times New Roman"/>
          <w:sz w:val="22"/>
        </w:rPr>
        <w:t xml:space="preserve"> in response to peer review — the heterogeneity-robust estimators, the wild-cluster bootstrap, the project-type control screen, and the utilization-refutation simulation — are clearly post-hoc and labelled as such; each strengthens or (in the utilization case) overturns a pre-existing analysis rather than introducing a new positive claim.</w:t>
      </w:r>
    </w:p>
    <w:p>
      <w:pPr>
        <w:spacing w:before="240" w:after="80"/>
      </w:pPr>
      <w:r>
        <w:rPr>
          <w:rFonts w:ascii="Times New Roman" w:hAnsi="Times New Roman"/>
          <w:b/>
          <w:color w:val="000000"/>
          <w:sz w:val="26"/>
        </w:rPr>
        <w:t>Appendix C. Replication Package</w:t>
      </w:r>
    </w:p>
    <w:p>
      <w:pPr>
        <w:jc w:val="both"/>
      </w:pPr>
      <w:r>
        <w:rPr>
          <w:rFonts w:ascii="Times New Roman" w:hAnsi="Times New Roman"/>
          <w:sz w:val="22"/>
        </w:rPr>
        <w:t>All analysis code, panel data, and figure outputs are publicly available at the project repository (Zenodo DOI 10.5281/zenodo.20995709), with a fixed bootstrap seed throughout and a README mapping each script to the table or figure it produces (see the Replication note at the end of Section 9). The written analysis plan is available from the corresponding author. The seven figures referenced in the text are: (1) the pre-trend event study; (2) the dynamic DiD event study; (3) the pre- vs. post-adoption 4-state transition matrices; (4) the utilization-refutation simulation; (5) tail-exceedance by group and period; (6) the Monte Carlo size-distortion study; and (7) the per-axis ATT forest plot.</w:t>
      </w:r>
    </w:p>
    <w:p>
      <w:pPr>
        <w:spacing w:before="240" w:after="80"/>
      </w:pPr>
      <w:r>
        <w:rPr>
          <w:rFonts w:ascii="Times New Roman" w:hAnsi="Times New Roman"/>
          <w:b/>
          <w:color w:val="000000"/>
          <w:sz w:val="26"/>
        </w:rPr>
        <w:t>Appendix D. AST Score Construct Validity — Multi-Rater Study</w:t>
      </w:r>
    </w:p>
    <w:p>
      <w:pPr>
        <w:jc w:val="both"/>
      </w:pPr>
      <w:r>
        <w:rPr>
          <w:rFonts w:ascii="Times New Roman" w:hAnsi="Times New Roman"/>
          <w:sz w:val="22"/>
        </w:rPr>
        <w:t>Four raters independently scored all 53 components — the originating rater plus three additional React/TypeScript engineers with 2, 6, and 10 years of experience — blind to the automated AST score and to one another. The procedure, rubric, and results follow.</w:t>
      </w:r>
    </w:p>
    <w:p>
      <w:pPr>
        <w:spacing w:before="160" w:after="80"/>
      </w:pPr>
      <w:r>
        <w:rPr>
          <w:rFonts w:ascii="Times New Roman" w:hAnsi="Times New Roman"/>
          <w:b/>
          <w:color w:val="000000"/>
          <w:sz w:val="23"/>
        </w:rPr>
        <w:t>D.1 Procedure</w:t>
      </w:r>
    </w:p>
    <w:p>
      <w:pPr>
        <w:jc w:val="both"/>
      </w:pPr>
      <w:r>
        <w:rPr>
          <w:rFonts w:ascii="Times New Roman" w:hAnsi="Times New Roman"/>
          <w:sz w:val="22"/>
        </w:rPr>
        <w:t xml:space="preserve">We sample 53 React/TypeScript components from the study dataset via stratified sampling across six AST-score bands (0.00–0.50, 0.50–0.70, 0.70–0.85, 0.85–0.95, 0.95–0.99, 0.99–1.00), drawing 8–9 per band from production components with ≥3 interactive elements (excluding test files, stories, mocks). Each rater independently scores each component on a 1–5 scale of semantic-HTML quality (rubric below), shown the component source but </w:t>
      </w:r>
      <w:r>
        <w:rPr>
          <w:rFonts w:ascii="Times New Roman" w:hAnsi="Times New Roman"/>
          <w:b/>
          <w:sz w:val="22"/>
        </w:rPr>
        <w:t>blind to its automated AST score</w:t>
      </w:r>
      <w:r>
        <w:rPr>
          <w:rFonts w:ascii="Times New Roman" w:hAnsi="Times New Roman"/>
          <w:sz w:val="22"/>
        </w:rPr>
        <w:t xml:space="preserve"> and </w:t>
      </w:r>
      <w:r>
        <w:rPr>
          <w:rFonts w:ascii="Times New Roman" w:hAnsi="Times New Roman"/>
          <w:b/>
          <w:sz w:val="22"/>
        </w:rPr>
        <w:t>blind to other raters' scores</w:t>
      </w:r>
      <w:r>
        <w:rPr>
          <w:rFonts w:ascii="Times New Roman" w:hAnsi="Times New Roman"/>
          <w:sz w:val="22"/>
        </w:rPr>
        <w:t>.</w:t>
      </w:r>
    </w:p>
    <w:p>
      <w:pPr>
        <w:jc w:val="both"/>
      </w:pPr>
      <w:r>
        <w:rPr>
          <w:rFonts w:ascii="Times New Roman" w:hAnsi="Times New Roman"/>
          <w:b/>
          <w:sz w:val="22"/>
        </w:rPr>
        <w:t>Participants, recruitment, consent, and ethics.</w:t>
      </w:r>
      <w:r>
        <w:rPr>
          <w:rFonts w:ascii="Times New Roman" w:hAnsi="Times New Roman"/>
          <w:sz w:val="22"/>
        </w:rPr>
        <w:t xml:space="preserve"> The four raters are R1 (the author) and three independent professional React/TypeScript engineers (R2–R4, with 2, 6, and 10 years of experience) recruited from the author's professional network. Participation was voluntary and uncompensated; each rater gave informed consent before participating and could withdraw at any time. The task carried minimal risk: raters evaluated source code drawn from public open-source repositories using a fixed rubric, and no personal, sensitive, or identifying information about participants was collected, stored, or reported — individual ratings appear only in anonymised, aggregate form (R1–R4 labels). Blinding to the automated score and to other raters was enforced by distributing each rater a separate spreadsheet containing only component source and an empty score column, with the AST score and other raters' columns withheld. As an independent researcher with no institutional affiliation, the author was not subject to institutional-review-board oversight; the study falls within the minimal-risk category (professional evaluation of non-sensitive technical materials) that such bodies typically treat as exempt. To the best of the author's knowledge no formal ethics approval was required. We note explicitly that, because the study was run by a solo independent researcher, the recruitment, blinding, and independence of R2–R4 rest on the author's representation; the three-independent-rater robustness analysis (below) is included precisely so the validation does not depend on any single rater, including the author.</w:t>
      </w:r>
    </w:p>
    <w:p>
      <w:pPr>
        <w:spacing w:before="160" w:after="80"/>
      </w:pPr>
      <w:r>
        <w:rPr>
          <w:rFonts w:ascii="Times New Roman" w:hAnsi="Times New Roman"/>
          <w:b/>
          <w:color w:val="000000"/>
          <w:sz w:val="23"/>
        </w:rPr>
        <w:t>D.2 Rubric (identical across raters)</w:t>
      </w:r>
    </w:p>
    <w:p>
      <w:pPr>
        <w:pStyle w:val="ListBullet"/>
      </w:pPr>
      <w:r>
        <w:rPr>
          <w:rFonts w:ascii="Times New Roman" w:hAnsi="Times New Roman"/>
          <w:b/>
          <w:sz w:val="22"/>
        </w:rPr>
        <w:t>5 — Excellent:</w:t>
      </w:r>
      <w:r>
        <w:rPr>
          <w:rFonts w:ascii="Times New Roman" w:hAnsi="Times New Roman"/>
          <w:sz w:val="22"/>
        </w:rPr>
        <w:t xml:space="preserve"> uses </w:t>
      </w:r>
      <w:r>
        <w:rPr>
          <w:rFonts w:ascii="Courier New" w:hAnsi="Courier New"/>
          <w:sz w:val="20"/>
        </w:rPr>
        <w:t>&lt;button&gt;</w:t>
      </w:r>
      <w:r>
        <w:rPr>
          <w:rFonts w:ascii="Times New Roman" w:hAnsi="Times New Roman"/>
          <w:sz w:val="22"/>
        </w:rPr>
        <w:t xml:space="preserve">, </w:t>
      </w:r>
      <w:r>
        <w:rPr>
          <w:rFonts w:ascii="Courier New" w:hAnsi="Courier New"/>
          <w:sz w:val="20"/>
        </w:rPr>
        <w:t>&lt;nav&gt;</w:t>
      </w:r>
      <w:r>
        <w:rPr>
          <w:rFonts w:ascii="Times New Roman" w:hAnsi="Times New Roman"/>
          <w:sz w:val="22"/>
        </w:rPr>
        <w:t xml:space="preserve">, </w:t>
      </w:r>
      <w:r>
        <w:rPr>
          <w:rFonts w:ascii="Courier New" w:hAnsi="Courier New"/>
          <w:sz w:val="20"/>
        </w:rPr>
        <w:t>&lt;main&gt;</w:t>
      </w:r>
      <w:r>
        <w:rPr>
          <w:rFonts w:ascii="Times New Roman" w:hAnsi="Times New Roman"/>
          <w:sz w:val="22"/>
        </w:rPr>
        <w:t xml:space="preserve">, </w:t>
      </w:r>
      <w:r>
        <w:rPr>
          <w:rFonts w:ascii="Courier New" w:hAnsi="Courier New"/>
          <w:sz w:val="20"/>
        </w:rPr>
        <w:t>&lt;ul&gt;/&lt;li&gt;</w:t>
      </w:r>
      <w:r>
        <w:rPr>
          <w:rFonts w:ascii="Times New Roman" w:hAnsi="Times New Roman"/>
          <w:sz w:val="22"/>
        </w:rPr>
        <w:t xml:space="preserve">, </w:t>
      </w:r>
      <w:r>
        <w:rPr>
          <w:rFonts w:ascii="Courier New" w:hAnsi="Courier New"/>
          <w:sz w:val="20"/>
        </w:rPr>
        <w:t>&lt;section&gt;</w:t>
      </w:r>
      <w:r>
        <w:rPr>
          <w:rFonts w:ascii="Times New Roman" w:hAnsi="Times New Roman"/>
          <w:sz w:val="22"/>
        </w:rPr>
        <w:t xml:space="preserve">, </w:t>
      </w:r>
      <w:r>
        <w:rPr>
          <w:rFonts w:ascii="Courier New" w:hAnsi="Courier New"/>
          <w:sz w:val="20"/>
        </w:rPr>
        <w:t>&lt;article&gt;</w:t>
      </w:r>
      <w:r>
        <w:rPr>
          <w:rFonts w:ascii="Times New Roman" w:hAnsi="Times New Roman"/>
          <w:sz w:val="22"/>
        </w:rPr>
        <w:t xml:space="preserve"> appropriately throughout. No div-soup. All interactive elements are proper HTML interactive elements.</w:t>
      </w:r>
    </w:p>
    <w:p>
      <w:pPr>
        <w:pStyle w:val="ListBullet"/>
      </w:pPr>
      <w:r>
        <w:rPr>
          <w:rFonts w:ascii="Times New Roman" w:hAnsi="Times New Roman"/>
          <w:b/>
          <w:sz w:val="22"/>
        </w:rPr>
        <w:t>4 — Good:</w:t>
      </w:r>
      <w:r>
        <w:rPr>
          <w:rFonts w:ascii="Times New Roman" w:hAnsi="Times New Roman"/>
          <w:sz w:val="22"/>
        </w:rPr>
        <w:t xml:space="preserve"> mostly semantic with minor issues (e.g. one </w:t>
      </w:r>
      <w:r>
        <w:rPr>
          <w:rFonts w:ascii="Courier New" w:hAnsi="Courier New"/>
          <w:sz w:val="20"/>
        </w:rPr>
        <w:t>&lt;div onClick&gt;</w:t>
      </w:r>
      <w:r>
        <w:rPr>
          <w:rFonts w:ascii="Times New Roman" w:hAnsi="Times New Roman"/>
          <w:sz w:val="22"/>
        </w:rPr>
        <w:t xml:space="preserve"> that should be a </w:t>
      </w:r>
      <w:r>
        <w:rPr>
          <w:rFonts w:ascii="Courier New" w:hAnsi="Courier New"/>
          <w:sz w:val="20"/>
        </w:rPr>
        <w:t>&lt;button&gt;</w:t>
      </w:r>
      <w:r>
        <w:rPr>
          <w:rFonts w:ascii="Times New Roman" w:hAnsi="Times New Roman"/>
          <w:sz w:val="22"/>
        </w:rPr>
        <w:t>, or a missing landmark).</w:t>
      </w:r>
    </w:p>
    <w:p>
      <w:pPr>
        <w:pStyle w:val="ListBullet"/>
      </w:pPr>
      <w:r>
        <w:rPr>
          <w:rFonts w:ascii="Times New Roman" w:hAnsi="Times New Roman"/>
          <w:b/>
          <w:sz w:val="22"/>
        </w:rPr>
        <w:t>3 — Mixed:</w:t>
      </w:r>
      <w:r>
        <w:rPr>
          <w:rFonts w:ascii="Times New Roman" w:hAnsi="Times New Roman"/>
          <w:sz w:val="22"/>
        </w:rPr>
        <w:t xml:space="preserve"> some semantic elements used correctly, some structural issues; a few </w:t>
      </w:r>
      <w:r>
        <w:rPr>
          <w:rFonts w:ascii="Courier New" w:hAnsi="Courier New"/>
          <w:sz w:val="20"/>
        </w:rPr>
        <w:t>&lt;div&gt;</w:t>
      </w:r>
      <w:r>
        <w:rPr>
          <w:rFonts w:ascii="Times New Roman" w:hAnsi="Times New Roman"/>
          <w:sz w:val="22"/>
        </w:rPr>
        <w:t>s substituted for semantic equivalents.</w:t>
      </w:r>
    </w:p>
    <w:p>
      <w:pPr>
        <w:pStyle w:val="ListBullet"/>
      </w:pPr>
      <w:r>
        <w:rPr>
          <w:rFonts w:ascii="Times New Roman" w:hAnsi="Times New Roman"/>
          <w:b/>
          <w:sz w:val="22"/>
        </w:rPr>
        <w:t>2 — Poor:</w:t>
      </w:r>
      <w:r>
        <w:rPr>
          <w:rFonts w:ascii="Times New Roman" w:hAnsi="Times New Roman"/>
          <w:sz w:val="22"/>
        </w:rPr>
        <w:t xml:space="preserve"> predominantly generic containers; most interactive elements are </w:t>
      </w:r>
      <w:r>
        <w:rPr>
          <w:rFonts w:ascii="Courier New" w:hAnsi="Courier New"/>
          <w:sz w:val="20"/>
        </w:rPr>
        <w:t>&lt;div onClick&gt;</w:t>
      </w:r>
      <w:r>
        <w:rPr>
          <w:rFonts w:ascii="Times New Roman" w:hAnsi="Times New Roman"/>
          <w:sz w:val="22"/>
        </w:rPr>
        <w:t xml:space="preserve"> / </w:t>
      </w:r>
      <w:r>
        <w:rPr>
          <w:rFonts w:ascii="Courier New" w:hAnsi="Courier New"/>
          <w:sz w:val="20"/>
        </w:rPr>
        <w:t>&lt;span onClick&gt;</w:t>
      </w:r>
      <w:r>
        <w:rPr>
          <w:rFonts w:ascii="Times New Roman" w:hAnsi="Times New Roman"/>
          <w:sz w:val="22"/>
        </w:rPr>
        <w:t>; missing landmark structure.</w:t>
      </w:r>
    </w:p>
    <w:p>
      <w:pPr>
        <w:pStyle w:val="ListBullet"/>
      </w:pPr>
      <w:r>
        <w:rPr>
          <w:rFonts w:ascii="Times New Roman" w:hAnsi="Times New Roman"/>
          <w:b/>
          <w:sz w:val="22"/>
        </w:rPr>
        <w:t>1 — Very poor:</w:t>
      </w:r>
      <w:r>
        <w:rPr>
          <w:rFonts w:ascii="Times New Roman" w:hAnsi="Times New Roman"/>
          <w:sz w:val="22"/>
        </w:rPr>
        <w:t xml:space="preserve"> complete div-soup; no semantic elements; all interactions via </w:t>
      </w:r>
      <w:r>
        <w:rPr>
          <w:rFonts w:ascii="Courier New" w:hAnsi="Courier New"/>
          <w:sz w:val="20"/>
        </w:rPr>
        <w:t>onClick</w:t>
      </w:r>
      <w:r>
        <w:rPr>
          <w:rFonts w:ascii="Times New Roman" w:hAnsi="Times New Roman"/>
          <w:sz w:val="22"/>
        </w:rPr>
        <w:t xml:space="preserve"> on divs/spans.</w:t>
      </w:r>
    </w:p>
    <w:p>
      <w:pPr>
        <w:jc w:val="both"/>
      </w:pPr>
      <w:r>
        <w:rPr>
          <w:rFonts w:ascii="Times New Roman" w:hAnsi="Times New Roman"/>
          <w:sz w:val="22"/>
        </w:rPr>
        <w:t>Raters focus only on semantic HTML structure — not ARIA, styling, or TypeScript correctness.</w:t>
      </w:r>
    </w:p>
    <w:p>
      <w:pPr>
        <w:spacing w:before="160" w:after="80"/>
      </w:pPr>
      <w:r>
        <w:rPr>
          <w:rFonts w:ascii="Times New Roman" w:hAnsi="Times New Roman"/>
          <w:b/>
          <w:color w:val="000000"/>
          <w:sz w:val="23"/>
        </w:rPr>
        <w:t>D.3 Analysis Plan (pre-specified)</w:t>
      </w:r>
    </w:p>
    <w:p>
      <w:pPr>
        <w:pStyle w:val="ListBullet"/>
      </w:pPr>
      <w:r>
        <w:rPr>
          <w:rFonts w:ascii="Times New Roman" w:hAnsi="Times New Roman"/>
          <w:b/>
          <w:sz w:val="22"/>
        </w:rPr>
        <w:t>Inter-rater reliability:</w:t>
      </w:r>
      <w:r>
        <w:rPr>
          <w:rFonts w:ascii="Times New Roman" w:hAnsi="Times New Roman"/>
          <w:sz w:val="22"/>
        </w:rPr>
        <w:t xml:space="preserve"> Krippendorff's α (ordinal metric) across all raters; weighted Cohen's κ (quadratic weights) pairwise as a secondary statistic. Report point estimate + bootstrap 95% CI.</w:t>
      </w:r>
    </w:p>
    <w:p>
      <w:pPr>
        <w:pStyle w:val="ListBullet"/>
      </w:pPr>
      <w:r>
        <w:rPr>
          <w:rFonts w:ascii="Times New Roman" w:hAnsi="Times New Roman"/>
          <w:b/>
          <w:sz w:val="22"/>
        </w:rPr>
        <w:t>Criterion agreement with the automated score:</w:t>
      </w:r>
      <w:r>
        <w:rPr>
          <w:rFonts w:ascii="Times New Roman" w:hAnsi="Times New Roman"/>
          <w:sz w:val="22"/>
        </w:rPr>
        <w:t xml:space="preserve"> per-rater Spearman ρ and Kendall's τ vs. the AST score; the pooled (mean-rating) ρ as the headline.</w:t>
      </w:r>
    </w:p>
    <w:p>
      <w:pPr>
        <w:pStyle w:val="ListBullet"/>
      </w:pPr>
      <w:r>
        <w:rPr>
          <w:rFonts w:ascii="Times New Roman" w:hAnsi="Times New Roman"/>
          <w:b/>
          <w:sz w:val="22"/>
        </w:rPr>
        <w:t>Band ordering:</w:t>
      </w:r>
      <w:r>
        <w:rPr>
          <w:rFonts w:ascii="Times New Roman" w:hAnsi="Times New Roman"/>
          <w:sz w:val="22"/>
        </w:rPr>
        <w:t xml:space="preserve"> mean rating by AST-score band, checked for non-decreasing order (per rater and pooled).</w:t>
      </w:r>
    </w:p>
    <w:p>
      <w:pPr>
        <w:spacing w:before="160" w:after="80"/>
      </w:pPr>
      <w:r>
        <w:rPr>
          <w:rFonts w:ascii="Times New Roman" w:hAnsi="Times New Roman"/>
          <w:b/>
          <w:color w:val="000000"/>
          <w:sz w:val="23"/>
        </w:rPr>
        <w:t>D.4 Baseline (single-rater, originating study)</w:t>
      </w:r>
    </w:p>
    <w:p>
      <w:pPr>
        <w:jc w:val="both"/>
      </w:pPr>
      <w:r>
        <w:rPr>
          <w:rFonts w:ascii="Times New Roman" w:hAnsi="Times New Roman"/>
          <w:sz w:val="22"/>
        </w:rPr>
        <w:t xml:space="preserve">For reference, the originating single-rater study (one frontend engineer, 3 yrs React/TS) yielded Spearman ρ = 0.751 (p &lt; 0.0001), Kendall's τ = 0.620, N = 53, with mean human rating rising (non-decreasing) across the six bands. The acknowledged limitation — </w:t>
      </w:r>
      <w:r>
        <w:rPr>
          <w:rFonts w:ascii="Times New Roman" w:hAnsi="Times New Roman"/>
          <w:i/>
          <w:sz w:val="22"/>
        </w:rPr>
        <w:t>single rater; inter-rater reliability not assessed</w:t>
      </w:r>
      <w:r>
        <w:rPr>
          <w:rFonts w:ascii="Times New Roman" w:hAnsi="Times New Roman"/>
          <w:sz w:val="22"/>
        </w:rPr>
        <w:t xml:space="preserve"> — is what the multi-rater study below resolves.</w:t>
      </w:r>
    </w:p>
    <w:p>
      <w:pPr>
        <w:spacing w:before="160" w:after="80"/>
      </w:pPr>
      <w:r>
        <w:rPr>
          <w:rFonts w:ascii="Times New Roman" w:hAnsi="Times New Roman"/>
          <w:b/>
          <w:color w:val="000000"/>
          <w:sz w:val="23"/>
        </w:rPr>
        <w:t>D.5 Multi-Rater Results</w:t>
      </w:r>
    </w:p>
    <w:p>
      <w:pPr>
        <w:jc w:val="both"/>
      </w:pPr>
      <w:r>
        <w:rPr>
          <w:rFonts w:ascii="Times New Roman" w:hAnsi="Times New Roman"/>
          <w:sz w:val="22"/>
        </w:rPr>
        <w:t>Four raters (the originating rater R1, plus three additional engineers with 2, 6, and 10 years of React/TypeScript experience, R2–R4) independently scored all 53 components.</w:t>
      </w:r>
    </w:p>
    <w:p>
      <w:pPr>
        <w:jc w:val="both"/>
      </w:pPr>
      <w:r>
        <w:rPr>
          <w:rFonts w:ascii="Times New Roman" w:hAnsi="Times New Roman"/>
          <w:i/>
          <w:sz w:val="22"/>
        </w:rPr>
        <w:t>Resampling unit.</w:t>
      </w:r>
      <w:r>
        <w:rPr>
          <w:rFonts w:ascii="Times New Roman" w:hAnsi="Times New Roman"/>
          <w:sz w:val="22"/>
        </w:rPr>
        <w:t xml:space="preserve"> All confidence intervals below are by </w:t>
      </w:r>
      <w:r>
        <w:rPr>
          <w:rFonts w:ascii="Times New Roman" w:hAnsi="Times New Roman"/>
          <w:b/>
          <w:sz w:val="22"/>
        </w:rPr>
        <w:t>bootstrap over the 53 components</w:t>
      </w:r>
      <w:r>
        <w:rPr>
          <w:rFonts w:ascii="Times New Roman" w:hAnsi="Times New Roman"/>
          <w:sz w:val="22"/>
        </w:rPr>
        <w:t xml:space="preserve"> (2,000 replicates, fixed seed) — the unit over which each statistic is computed — not over repositories, since the validation statistic is component-level, not panel-level.</w:t>
      </w:r>
    </w:p>
    <w:p>
      <w:pPr>
        <w:jc w:val="both"/>
      </w:pPr>
      <w:r>
        <w:rPr>
          <w:rFonts w:ascii="Times New Roman" w:hAnsi="Times New Roman"/>
          <w:b/>
          <w:sz w:val="22"/>
        </w:rPr>
        <w:t>Inter-rater reliability is strong.</w:t>
      </w:r>
      <w:r>
        <w:rPr>
          <w:rFonts w:ascii="Times New Roman" w:hAnsi="Times New Roman"/>
          <w:sz w:val="22"/>
        </w:rPr>
        <w:t xml:space="preserve"> Krippendorff's α (ordinal) across all four raters is </w:t>
      </w:r>
      <w:r>
        <w:rPr>
          <w:rFonts w:ascii="Times New Roman" w:hAnsi="Times New Roman"/>
          <w:b/>
          <w:sz w:val="22"/>
        </w:rPr>
        <w:t>0.870</w:t>
      </w:r>
      <w:r>
        <w:rPr>
          <w:rFonts w:ascii="Times New Roman" w:hAnsi="Times New Roman"/>
          <w:sz w:val="22"/>
        </w:rPr>
        <w:t xml:space="preserve">, 95% CI </w:t>
      </w:r>
      <w:r>
        <w:rPr>
          <w:rFonts w:ascii="Times New Roman" w:hAnsi="Times New Roman"/>
          <w:b/>
          <w:sz w:val="22"/>
        </w:rPr>
        <w:t>[0.776, 0.923]</w:t>
      </w:r>
      <w:r>
        <w:rPr>
          <w:rFonts w:ascii="Times New Roman" w:hAnsi="Times New Roman"/>
          <w:sz w:val="22"/>
        </w:rPr>
        <w:t xml:space="preserve"> — clearing the conventional α ≥ 0.80 threshold for strong agreement, with even the lower CI bound above the 0.667 acceptability floor. Pairwise quadratic-weighted Cohen's κ ranges 0.867–0.934 across the six rater pairs (mean </w:t>
      </w:r>
      <w:r>
        <w:rPr>
          <w:rFonts w:ascii="Times New Roman" w:hAnsi="Times New Roman"/>
          <w:b/>
          <w:sz w:val="22"/>
        </w:rPr>
        <w:t>0.897</w:t>
      </w:r>
      <w:r>
        <w:rPr>
          <w:rFonts w:ascii="Times New Roman" w:hAnsi="Times New Roman"/>
          <w:sz w:val="22"/>
        </w:rPr>
        <w:t xml:space="preserve">). Descriptively, </w:t>
      </w:r>
      <w:r>
        <w:rPr>
          <w:rFonts w:ascii="Times New Roman" w:hAnsi="Times New Roman"/>
          <w:b/>
          <w:sz w:val="22"/>
        </w:rPr>
        <w:t>all four raters agree exactly on 51% of components and fall within one point on 100%</w:t>
      </w:r>
      <w:r>
        <w:rPr>
          <w:rFonts w:ascii="Times New Roman" w:hAnsi="Times New Roman"/>
          <w:sz w:val="22"/>
        </w:rPr>
        <w:t xml:space="preserve"> (mean per-item SD = 0.25).</w:t>
      </w:r>
    </w:p>
    <w:p>
      <w:pPr>
        <w:jc w:val="both"/>
      </w:pPr>
      <w:r>
        <w:rPr>
          <w:rFonts w:ascii="Times New Roman" w:hAnsi="Times New Roman"/>
          <w:b/>
          <w:sz w:val="22"/>
        </w:rPr>
        <w:t>The validation does not rest on the metric's designer.</w:t>
      </w:r>
      <w:r>
        <w:rPr>
          <w:rFonts w:ascii="Times New Roman" w:hAnsi="Times New Roman"/>
          <w:sz w:val="22"/>
        </w:rPr>
        <w:t xml:space="preserve"> One rater (R1) is the author/designer of the AST metric, a construct-validity independence concern we name rather than gloss. Recomputing on the </w:t>
      </w:r>
      <w:r>
        <w:rPr>
          <w:rFonts w:ascii="Times New Roman" w:hAnsi="Times New Roman"/>
          <w:b/>
          <w:sz w:val="22"/>
        </w:rPr>
        <w:t>three independent raters (R2–R4) alone</w:t>
      </w:r>
      <w:r>
        <w:rPr>
          <w:rFonts w:ascii="Times New Roman" w:hAnsi="Times New Roman"/>
          <w:sz w:val="22"/>
        </w:rPr>
        <w:t xml:space="preserve">, reliability and criterion agreement are essentially unchanged — indeed marginally stronger: Krippendorff's α = </w:t>
      </w:r>
      <w:r>
        <w:rPr>
          <w:rFonts w:ascii="Times New Roman" w:hAnsi="Times New Roman"/>
          <w:b/>
          <w:sz w:val="22"/>
        </w:rPr>
        <w:t>0.880</w:t>
      </w:r>
      <w:r>
        <w:rPr>
          <w:rFonts w:ascii="Times New Roman" w:hAnsi="Times New Roman"/>
          <w:sz w:val="22"/>
        </w:rPr>
        <w:t xml:space="preserve">, 95% CI [0.787, 0.934] (vs. 0.870 all-four); pooled Spearman ρ = </w:t>
      </w:r>
      <w:r>
        <w:rPr>
          <w:rFonts w:ascii="Times New Roman" w:hAnsi="Times New Roman"/>
          <w:b/>
          <w:sz w:val="22"/>
        </w:rPr>
        <w:t>0.703</w:t>
      </w:r>
      <w:r>
        <w:rPr>
          <w:rFonts w:ascii="Times New Roman" w:hAnsi="Times New Roman"/>
          <w:sz w:val="22"/>
        </w:rPr>
        <w:t>, 95% CI [0.504, 0.842] (vs. 0.733 all-four). Per-rater ρ against the AST score is R1 = 0.751, R2 = 0.742, R3 = 0.670, R4 = 0.716, so R1 sits inside a tight band rather than above it — the designer is representative, not an outlier, and dropping the designer entirely leaves the conclusion intact.</w:t>
      </w:r>
    </w:p>
    <w:p>
      <w:pPr>
        <w:jc w:val="both"/>
      </w:pPr>
      <w:r>
        <w:rPr>
          <w:rFonts w:ascii="Times New Roman" w:hAnsi="Times New Roman"/>
          <w:b/>
          <w:sz w:val="22"/>
        </w:rPr>
        <w:t>Criterion agreement.</w:t>
      </w:r>
      <w:r>
        <w:rPr>
          <w:rFonts w:ascii="Times New Roman" w:hAnsi="Times New Roman"/>
          <w:sz w:val="22"/>
        </w:rPr>
        <w:t xml:space="preserve"> The all-four pooled mean-rating correlation is </w:t>
      </w:r>
      <w:r>
        <w:rPr>
          <w:rFonts w:ascii="Times New Roman" w:hAnsi="Times New Roman"/>
          <w:b/>
          <w:sz w:val="22"/>
        </w:rPr>
        <w:t>Spearman ρ = 0.733</w:t>
      </w:r>
      <w:r>
        <w:rPr>
          <w:rFonts w:ascii="Times New Roman" w:hAnsi="Times New Roman"/>
          <w:sz w:val="22"/>
        </w:rPr>
        <w:t>, 95% CI [0.553, 0.845]; Kendall's τ = 0.568. The pooled ρ is marginally below the single-rater 0.751 — expected, since averaging raters slightly attenuates a rank correlation — but it is now an estimate with a reliability footing and a confidence interval rather than one annotator's judgement. Table D1 collects the reliability and criterion statistics for both the all-four and three-independent-rater poolings.</w:t>
      </w:r>
    </w:p>
    <w:p>
      <w:pPr>
        <w:jc w:val="both"/>
      </w:pPr>
      <w:r>
        <w:rPr>
          <w:rFonts w:ascii="Times New Roman" w:hAnsi="Times New Roman"/>
          <w:b/>
          <w:sz w:val="22"/>
        </w:rPr>
        <w:t>Band ordering is non-decreasing (one adjacent tie).</w:t>
      </w:r>
      <w:r>
        <w:rPr>
          <w:rFonts w:ascii="Times New Roman" w:hAnsi="Times New Roman"/>
          <w:sz w:val="22"/>
        </w:rPr>
        <w:t xml:space="preserve"> Pooled mean rating rises across the six AST-score bands with a single adjacent tie (0.85–0.95 and 0.95–0.99 both 3.78 in the all-four data); we therefore describe the ordering as </w:t>
      </w:r>
      <w:r>
        <w:rPr>
          <w:rFonts w:ascii="Times New Roman" w:hAnsi="Times New Roman"/>
          <w:i/>
          <w:sz w:val="22"/>
        </w:rPr>
        <w:t>non-decreasing</w:t>
      </w:r>
      <w:r>
        <w:rPr>
          <w:rFonts w:ascii="Times New Roman" w:hAnsi="Times New Roman"/>
          <w:sz w:val="22"/>
        </w:rPr>
        <w:t xml:space="preserve"> rather than strictly monotonic. The three-independent-rater pooling shows the same shape with one negligible reversal (3.85 vs. 3.74 at the same adjacent bands), well within the per-band sampling noise (n = 9 per band).</w:t>
      </w:r>
    </w:p>
    <w:p>
      <w:pPr>
        <w:jc w:val="center"/>
      </w:pPr>
      <w:r>
        <w:rPr>
          <w:rFonts w:ascii="Times New Roman" w:hAnsi="Times New Roman"/>
          <w:b/>
          <w:sz w:val="20"/>
        </w:rPr>
        <w:t>Table D1. Multi-rater construct-validity results.</w:t>
      </w:r>
      <w:r>
        <w:rPr>
          <w:rFonts w:ascii="Times New Roman" w:hAnsi="Times New Roman"/>
          <w:sz w:val="20"/>
        </w:rPr>
        <w:t xml:space="preserve"> Independent-rater (R2–R4) values reported alongside all-four.</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3120"/>
        <w:gridCol w:w="3120"/>
        <w:gridCol w:w="3120"/>
      </w:tblGrid>
      <w:tr>
        <w:trPr>
          <w:tblHeader w:val="true"/>
        </w:trPr>
        <w:tc>
          <w:tcPr>
            <w:tcW w:type="dxa" w:w="3120"/>
          </w:tcPr>
          <w:p>
            <w:pPr>
              <w:jc w:val="center"/>
            </w:pPr>
            <w:r>
              <w:rPr>
                <w:b/>
              </w:rPr>
            </w:r>
            <w:r>
              <w:rPr>
                <w:rFonts w:ascii="Times New Roman" w:hAnsi="Times New Roman"/>
                <w:b/>
                <w:sz w:val="20"/>
              </w:rPr>
              <w:t>Statistic</w:t>
            </w:r>
          </w:p>
        </w:tc>
        <w:tc>
          <w:tcPr>
            <w:tcW w:type="dxa" w:w="3120"/>
          </w:tcPr>
          <w:p>
            <w:pPr>
              <w:jc w:val="center"/>
            </w:pPr>
            <w:r>
              <w:rPr>
                <w:b/>
              </w:rPr>
            </w:r>
            <w:r>
              <w:rPr>
                <w:rFonts w:ascii="Times New Roman" w:hAnsi="Times New Roman"/>
                <w:b/>
                <w:sz w:val="20"/>
              </w:rPr>
              <w:t>All four raters</w:t>
            </w:r>
          </w:p>
        </w:tc>
        <w:tc>
          <w:tcPr>
            <w:tcW w:type="dxa" w:w="3120"/>
          </w:tcPr>
          <w:p>
            <w:pPr>
              <w:jc w:val="center"/>
            </w:pPr>
            <w:r>
              <w:rPr>
                <w:b/>
              </w:rPr>
            </w:r>
            <w:r>
              <w:rPr>
                <w:rFonts w:ascii="Times New Roman" w:hAnsi="Times New Roman"/>
                <w:b/>
                <w:sz w:val="20"/>
              </w:rPr>
              <w:t>Three independent (R2–R4)</w:t>
            </w:r>
          </w:p>
        </w:tc>
      </w:tr>
      <w:tr>
        <w:tc>
          <w:tcPr>
            <w:tcW w:type="dxa" w:w="3120"/>
          </w:tcPr>
          <w:p>
            <w:pPr>
              <w:jc w:val="center"/>
            </w:pPr>
            <w:r/>
            <w:r>
              <w:rPr>
                <w:rFonts w:ascii="Times New Roman" w:hAnsi="Times New Roman"/>
                <w:sz w:val="20"/>
              </w:rPr>
              <w:t>Krippendorff's α (ordinal)</w:t>
            </w:r>
          </w:p>
        </w:tc>
        <w:tc>
          <w:tcPr>
            <w:tcW w:type="dxa" w:w="3120"/>
          </w:tcPr>
          <w:p>
            <w:pPr>
              <w:jc w:val="center"/>
            </w:pPr>
            <w:r/>
            <w:r>
              <w:rPr>
                <w:rFonts w:ascii="Times New Roman" w:hAnsi="Times New Roman"/>
                <w:b/>
                <w:sz w:val="20"/>
              </w:rPr>
              <w:t>0.870</w:t>
            </w:r>
            <w:r>
              <w:rPr>
                <w:rFonts w:ascii="Times New Roman" w:hAnsi="Times New Roman"/>
                <w:sz w:val="20"/>
              </w:rPr>
              <w:t xml:space="preserve"> [0.776, 0.923]</w:t>
            </w:r>
          </w:p>
        </w:tc>
        <w:tc>
          <w:tcPr>
            <w:tcW w:type="dxa" w:w="3120"/>
          </w:tcPr>
          <w:p>
            <w:pPr>
              <w:jc w:val="center"/>
            </w:pPr>
            <w:r/>
            <w:r>
              <w:rPr>
                <w:rFonts w:ascii="Times New Roman" w:hAnsi="Times New Roman"/>
                <w:b/>
                <w:sz w:val="20"/>
              </w:rPr>
              <w:t>0.880</w:t>
            </w:r>
            <w:r>
              <w:rPr>
                <w:rFonts w:ascii="Times New Roman" w:hAnsi="Times New Roman"/>
                <w:sz w:val="20"/>
              </w:rPr>
              <w:t xml:space="preserve"> [0.787, 0.934]</w:t>
            </w:r>
          </w:p>
        </w:tc>
      </w:tr>
      <w:tr>
        <w:tc>
          <w:tcPr>
            <w:tcW w:type="dxa" w:w="3120"/>
          </w:tcPr>
          <w:p>
            <w:pPr>
              <w:jc w:val="center"/>
            </w:pPr>
            <w:r/>
            <w:r>
              <w:rPr>
                <w:rFonts w:ascii="Times New Roman" w:hAnsi="Times New Roman"/>
                <w:sz w:val="20"/>
              </w:rPr>
              <w:t>Pooled Spearman ρ (mean rating vs. AST)</w:t>
            </w:r>
          </w:p>
        </w:tc>
        <w:tc>
          <w:tcPr>
            <w:tcW w:type="dxa" w:w="3120"/>
          </w:tcPr>
          <w:p>
            <w:pPr>
              <w:jc w:val="center"/>
            </w:pPr>
            <w:r/>
            <w:r>
              <w:rPr>
                <w:rFonts w:ascii="Times New Roman" w:hAnsi="Times New Roman"/>
                <w:sz w:val="20"/>
              </w:rPr>
              <w:t>0.733 [0.553, 0.845]</w:t>
            </w:r>
          </w:p>
        </w:tc>
        <w:tc>
          <w:tcPr>
            <w:tcW w:type="dxa" w:w="3120"/>
          </w:tcPr>
          <w:p>
            <w:pPr>
              <w:jc w:val="center"/>
            </w:pPr>
            <w:r/>
            <w:r>
              <w:rPr>
                <w:rFonts w:ascii="Times New Roman" w:hAnsi="Times New Roman"/>
                <w:sz w:val="20"/>
              </w:rPr>
              <w:t>0.703 [0.504, 0.842]</w:t>
            </w:r>
          </w:p>
        </w:tc>
      </w:tr>
      <w:tr>
        <w:tc>
          <w:tcPr>
            <w:tcW w:type="dxa" w:w="3120"/>
          </w:tcPr>
          <w:p>
            <w:pPr>
              <w:jc w:val="center"/>
            </w:pPr>
            <w:r/>
            <w:r>
              <w:rPr>
                <w:rFonts w:ascii="Times New Roman" w:hAnsi="Times New Roman"/>
                <w:sz w:val="20"/>
              </w:rPr>
              <w:t>Per-rater Spearman ρ (range)</w:t>
            </w:r>
          </w:p>
        </w:tc>
        <w:tc>
          <w:tcPr>
            <w:tcW w:type="dxa" w:w="3120"/>
          </w:tcPr>
          <w:p>
            <w:pPr>
              <w:jc w:val="center"/>
            </w:pPr>
            <w:r/>
            <w:r>
              <w:rPr>
                <w:rFonts w:ascii="Times New Roman" w:hAnsi="Times New Roman"/>
                <w:sz w:val="20"/>
              </w:rPr>
              <w:t>0.670–0.751</w:t>
            </w:r>
          </w:p>
        </w:tc>
        <w:tc>
          <w:tcPr>
            <w:tcW w:type="dxa" w:w="3120"/>
          </w:tcPr>
          <w:p>
            <w:pPr>
              <w:jc w:val="center"/>
            </w:pPr>
            <w:r/>
            <w:r>
              <w:rPr>
                <w:rFonts w:ascii="Times New Roman" w:hAnsi="Times New Roman"/>
                <w:sz w:val="20"/>
              </w:rPr>
              <w:t>0.670–0.742</w:t>
            </w:r>
          </w:p>
        </w:tc>
      </w:tr>
      <w:tr>
        <w:tc>
          <w:tcPr>
            <w:tcW w:type="dxa" w:w="3120"/>
          </w:tcPr>
          <w:p>
            <w:pPr>
              <w:jc w:val="center"/>
            </w:pPr>
            <w:r/>
            <w:r>
              <w:rPr>
                <w:rFonts w:ascii="Times New Roman" w:hAnsi="Times New Roman"/>
                <w:sz w:val="20"/>
              </w:rPr>
              <w:t>Mean pairwise quadratic-weighted κ</w:t>
            </w:r>
          </w:p>
        </w:tc>
        <w:tc>
          <w:tcPr>
            <w:tcW w:type="dxa" w:w="3120"/>
          </w:tcPr>
          <w:p>
            <w:pPr>
              <w:jc w:val="center"/>
            </w:pPr>
            <w:r/>
            <w:r>
              <w:rPr>
                <w:rFonts w:ascii="Times New Roman" w:hAnsi="Times New Roman"/>
                <w:sz w:val="20"/>
              </w:rPr>
              <w:t>0.897 (0.867–0.934)</w:t>
            </w:r>
          </w:p>
        </w:tc>
        <w:tc>
          <w:tcPr>
            <w:tcW w:type="dxa" w:w="3120"/>
          </w:tcPr>
          <w:p>
            <w:pPr>
              <w:jc w:val="center"/>
            </w:pPr>
            <w:r/>
            <w:r>
              <w:rPr>
                <w:rFonts w:ascii="Times New Roman" w:hAnsi="Times New Roman"/>
                <w:sz w:val="20"/>
              </w:rPr>
              <w:t>—</w:t>
            </w:r>
          </w:p>
        </w:tc>
      </w:tr>
      <w:tr>
        <w:tc>
          <w:tcPr>
            <w:tcW w:type="dxa" w:w="3120"/>
          </w:tcPr>
          <w:p>
            <w:pPr>
              <w:jc w:val="center"/>
            </w:pPr>
            <w:r/>
            <w:r>
              <w:rPr>
                <w:rFonts w:ascii="Times New Roman" w:hAnsi="Times New Roman"/>
                <w:sz w:val="20"/>
              </w:rPr>
              <w:t>Items within 1 point across raters</w:t>
            </w:r>
          </w:p>
        </w:tc>
        <w:tc>
          <w:tcPr>
            <w:tcW w:type="dxa" w:w="3120"/>
          </w:tcPr>
          <w:p>
            <w:pPr>
              <w:jc w:val="center"/>
            </w:pPr>
            <w:r/>
            <w:r>
              <w:rPr>
                <w:rFonts w:ascii="Times New Roman" w:hAnsi="Times New Roman"/>
                <w:sz w:val="20"/>
              </w:rPr>
              <w:t>100%</w:t>
            </w:r>
          </w:p>
        </w:tc>
        <w:tc>
          <w:tcPr>
            <w:tcW w:type="dxa" w:w="3120"/>
          </w:tcPr>
          <w:p>
            <w:pPr>
              <w:jc w:val="center"/>
            </w:pPr>
            <w:r/>
            <w:r>
              <w:rPr>
                <w:rFonts w:ascii="Times New Roman" w:hAnsi="Times New Roman"/>
                <w:sz w:val="20"/>
              </w:rPr>
              <w:t>100%</w:t>
            </w:r>
          </w:p>
        </w:tc>
      </w:tr>
    </w:tbl>
    <w:p/>
    <w:p>
      <w:pPr>
        <w:jc w:val="center"/>
      </w:pPr>
      <w:r>
        <w:rPr>
          <w:rFonts w:ascii="Times New Roman" w:hAnsi="Times New Roman"/>
          <w:b/>
          <w:sz w:val="20"/>
        </w:rPr>
        <w:t>Table D2. Band ordering (pooled mean rating by AST-score band).</w:t>
      </w:r>
      <w:r>
        <w:rPr>
          <w:rFonts w:ascii="Times New Roman" w:hAnsi="Times New Roman"/>
          <w:sz w:val="20"/>
        </w:rPr>
        <w:t xml:space="preserve"> Non-decreasing; the 0.85–0.95 / 0.95–0.99 pair is a tie in the all-four data.</w:t>
      </w:r>
    </w:p>
    <w:tbl>
      <w:tblPr>
        <w:tblW w:type="auto" w:w="0"/>
        <w:jc w:val="center"/>
        <w:tblLayout w:type="autofit"/>
        <w:tblLook w:firstColumn="1" w:firstRow="1" w:lastColumn="0" w:lastRow="0" w:noHBand="0" w:noVBand="1" w:val="04A0"/>
        <w:tblBorders>
          <w:top w:val="single" w:sz="8" w:space="0" w:color="000000"/>
          <w:bottom w:val="single" w:sz="8" w:space="0" w:color="000000"/>
          <w:insideH w:val="single" w:sz="2" w:space="0" w:color="888888"/>
        </w:tblBorders>
      </w:tblPr>
      <w:tblGrid>
        <w:gridCol w:w="2340"/>
        <w:gridCol w:w="2340"/>
        <w:gridCol w:w="2340"/>
        <w:gridCol w:w="2340"/>
      </w:tblGrid>
      <w:tr>
        <w:trPr>
          <w:tblHeader w:val="true"/>
        </w:trPr>
        <w:tc>
          <w:tcPr>
            <w:tcW w:type="dxa" w:w="2340"/>
          </w:tcPr>
          <w:p>
            <w:pPr>
              <w:jc w:val="center"/>
            </w:pPr>
            <w:r>
              <w:rPr>
                <w:b/>
              </w:rPr>
            </w:r>
            <w:r>
              <w:rPr>
                <w:rFonts w:ascii="Times New Roman" w:hAnsi="Times New Roman"/>
                <w:b/>
                <w:sz w:val="20"/>
              </w:rPr>
              <w:t>AST band</w:t>
            </w:r>
          </w:p>
        </w:tc>
        <w:tc>
          <w:tcPr>
            <w:tcW w:type="dxa" w:w="2340"/>
          </w:tcPr>
          <w:p>
            <w:pPr>
              <w:jc w:val="center"/>
            </w:pPr>
            <w:r>
              <w:rPr>
                <w:b/>
              </w:rPr>
            </w:r>
            <w:r>
              <w:rPr>
                <w:rFonts w:ascii="Times New Roman" w:hAnsi="Times New Roman"/>
                <w:b/>
                <w:sz w:val="20"/>
              </w:rPr>
              <w:t>n</w:t>
            </w:r>
          </w:p>
        </w:tc>
        <w:tc>
          <w:tcPr>
            <w:tcW w:type="dxa" w:w="2340"/>
          </w:tcPr>
          <w:p>
            <w:pPr>
              <w:jc w:val="center"/>
            </w:pPr>
            <w:r>
              <w:rPr>
                <w:b/>
              </w:rPr>
            </w:r>
            <w:r>
              <w:rPr>
                <w:rFonts w:ascii="Times New Roman" w:hAnsi="Times New Roman"/>
                <w:b/>
                <w:sz w:val="20"/>
              </w:rPr>
              <w:t>All-four mean</w:t>
            </w:r>
          </w:p>
        </w:tc>
        <w:tc>
          <w:tcPr>
            <w:tcW w:type="dxa" w:w="2340"/>
          </w:tcPr>
          <w:p>
            <w:pPr>
              <w:jc w:val="center"/>
            </w:pPr>
            <w:r>
              <w:rPr>
                <w:b/>
              </w:rPr>
            </w:r>
            <w:r>
              <w:rPr>
                <w:rFonts w:ascii="Times New Roman" w:hAnsi="Times New Roman"/>
                <w:b/>
                <w:sz w:val="20"/>
              </w:rPr>
              <w:t>Independent (R2–R4) mean</w:t>
            </w:r>
          </w:p>
        </w:tc>
      </w:tr>
      <w:tr>
        <w:tc>
          <w:tcPr>
            <w:tcW w:type="dxa" w:w="2340"/>
          </w:tcPr>
          <w:p>
            <w:pPr>
              <w:jc w:val="center"/>
            </w:pPr>
            <w:r/>
            <w:r>
              <w:rPr>
                <w:rFonts w:ascii="Times New Roman" w:hAnsi="Times New Roman"/>
                <w:sz w:val="20"/>
              </w:rPr>
              <w:t>0.00–0.50</w:t>
            </w:r>
          </w:p>
        </w:tc>
        <w:tc>
          <w:tcPr>
            <w:tcW w:type="dxa" w:w="2340"/>
          </w:tcPr>
          <w:p>
            <w:pPr>
              <w:jc w:val="center"/>
            </w:pPr>
            <w:r/>
            <w:r>
              <w:rPr>
                <w:rFonts w:ascii="Times New Roman" w:hAnsi="Times New Roman"/>
                <w:sz w:val="20"/>
              </w:rPr>
              <w:t>9</w:t>
            </w:r>
          </w:p>
        </w:tc>
        <w:tc>
          <w:tcPr>
            <w:tcW w:type="dxa" w:w="2340"/>
          </w:tcPr>
          <w:p>
            <w:pPr>
              <w:jc w:val="center"/>
            </w:pPr>
            <w:r/>
            <w:r>
              <w:rPr>
                <w:rFonts w:ascii="Times New Roman" w:hAnsi="Times New Roman"/>
                <w:sz w:val="20"/>
              </w:rPr>
              <w:t>1.53</w:t>
            </w:r>
          </w:p>
        </w:tc>
        <w:tc>
          <w:tcPr>
            <w:tcW w:type="dxa" w:w="2340"/>
          </w:tcPr>
          <w:p>
            <w:pPr>
              <w:jc w:val="center"/>
            </w:pPr>
            <w:r/>
            <w:r>
              <w:rPr>
                <w:rFonts w:ascii="Times New Roman" w:hAnsi="Times New Roman"/>
                <w:sz w:val="20"/>
              </w:rPr>
              <w:t>1.52</w:t>
            </w:r>
          </w:p>
        </w:tc>
      </w:tr>
      <w:tr>
        <w:tc>
          <w:tcPr>
            <w:tcW w:type="dxa" w:w="2340"/>
          </w:tcPr>
          <w:p>
            <w:pPr>
              <w:jc w:val="center"/>
            </w:pPr>
            <w:r/>
            <w:r>
              <w:rPr>
                <w:rFonts w:ascii="Times New Roman" w:hAnsi="Times New Roman"/>
                <w:sz w:val="20"/>
              </w:rPr>
              <w:t>0.50–0.70</w:t>
            </w:r>
          </w:p>
        </w:tc>
        <w:tc>
          <w:tcPr>
            <w:tcW w:type="dxa" w:w="2340"/>
          </w:tcPr>
          <w:p>
            <w:pPr>
              <w:jc w:val="center"/>
            </w:pPr>
            <w:r/>
            <w:r>
              <w:rPr>
                <w:rFonts w:ascii="Times New Roman" w:hAnsi="Times New Roman"/>
                <w:sz w:val="20"/>
              </w:rPr>
              <w:t>9</w:t>
            </w:r>
          </w:p>
        </w:tc>
        <w:tc>
          <w:tcPr>
            <w:tcW w:type="dxa" w:w="2340"/>
          </w:tcPr>
          <w:p>
            <w:pPr>
              <w:jc w:val="center"/>
            </w:pPr>
            <w:r/>
            <w:r>
              <w:rPr>
                <w:rFonts w:ascii="Times New Roman" w:hAnsi="Times New Roman"/>
                <w:sz w:val="20"/>
              </w:rPr>
              <w:t>2.53</w:t>
            </w:r>
          </w:p>
        </w:tc>
        <w:tc>
          <w:tcPr>
            <w:tcW w:type="dxa" w:w="2340"/>
          </w:tcPr>
          <w:p>
            <w:pPr>
              <w:jc w:val="center"/>
            </w:pPr>
            <w:r/>
            <w:r>
              <w:rPr>
                <w:rFonts w:ascii="Times New Roman" w:hAnsi="Times New Roman"/>
                <w:sz w:val="20"/>
              </w:rPr>
              <w:t>2.59</w:t>
            </w:r>
          </w:p>
        </w:tc>
      </w:tr>
      <w:tr>
        <w:tc>
          <w:tcPr>
            <w:tcW w:type="dxa" w:w="2340"/>
          </w:tcPr>
          <w:p>
            <w:pPr>
              <w:jc w:val="center"/>
            </w:pPr>
            <w:r/>
            <w:r>
              <w:rPr>
                <w:rFonts w:ascii="Times New Roman" w:hAnsi="Times New Roman"/>
                <w:sz w:val="20"/>
              </w:rPr>
              <w:t>0.70–0.85</w:t>
            </w:r>
          </w:p>
        </w:tc>
        <w:tc>
          <w:tcPr>
            <w:tcW w:type="dxa" w:w="2340"/>
          </w:tcPr>
          <w:p>
            <w:pPr>
              <w:jc w:val="center"/>
            </w:pPr>
            <w:r/>
            <w:r>
              <w:rPr>
                <w:rFonts w:ascii="Times New Roman" w:hAnsi="Times New Roman"/>
                <w:sz w:val="20"/>
              </w:rPr>
              <w:t>9</w:t>
            </w:r>
          </w:p>
        </w:tc>
        <w:tc>
          <w:tcPr>
            <w:tcW w:type="dxa" w:w="2340"/>
          </w:tcPr>
          <w:p>
            <w:pPr>
              <w:jc w:val="center"/>
            </w:pPr>
            <w:r/>
            <w:r>
              <w:rPr>
                <w:rFonts w:ascii="Times New Roman" w:hAnsi="Times New Roman"/>
                <w:sz w:val="20"/>
              </w:rPr>
              <w:t>3.31</w:t>
            </w:r>
          </w:p>
        </w:tc>
        <w:tc>
          <w:tcPr>
            <w:tcW w:type="dxa" w:w="2340"/>
          </w:tcPr>
          <w:p>
            <w:pPr>
              <w:jc w:val="center"/>
            </w:pPr>
            <w:r/>
            <w:r>
              <w:rPr>
                <w:rFonts w:ascii="Times New Roman" w:hAnsi="Times New Roman"/>
                <w:sz w:val="20"/>
              </w:rPr>
              <w:t>3.41</w:t>
            </w:r>
          </w:p>
        </w:tc>
      </w:tr>
      <w:tr>
        <w:tc>
          <w:tcPr>
            <w:tcW w:type="dxa" w:w="2340"/>
          </w:tcPr>
          <w:p>
            <w:pPr>
              <w:jc w:val="center"/>
            </w:pPr>
            <w:r/>
            <w:r>
              <w:rPr>
                <w:rFonts w:ascii="Times New Roman" w:hAnsi="Times New Roman"/>
                <w:sz w:val="20"/>
              </w:rPr>
              <w:t>0.85–0.95</w:t>
            </w:r>
          </w:p>
        </w:tc>
        <w:tc>
          <w:tcPr>
            <w:tcW w:type="dxa" w:w="2340"/>
          </w:tcPr>
          <w:p>
            <w:pPr>
              <w:jc w:val="center"/>
            </w:pPr>
            <w:r/>
            <w:r>
              <w:rPr>
                <w:rFonts w:ascii="Times New Roman" w:hAnsi="Times New Roman"/>
                <w:sz w:val="20"/>
              </w:rPr>
              <w:t>9</w:t>
            </w:r>
          </w:p>
        </w:tc>
        <w:tc>
          <w:tcPr>
            <w:tcW w:type="dxa" w:w="2340"/>
          </w:tcPr>
          <w:p>
            <w:pPr>
              <w:jc w:val="center"/>
            </w:pPr>
            <w:r/>
            <w:r>
              <w:rPr>
                <w:rFonts w:ascii="Times New Roman" w:hAnsi="Times New Roman"/>
                <w:sz w:val="20"/>
              </w:rPr>
              <w:t>3.78</w:t>
            </w:r>
          </w:p>
        </w:tc>
        <w:tc>
          <w:tcPr>
            <w:tcW w:type="dxa" w:w="2340"/>
          </w:tcPr>
          <w:p>
            <w:pPr>
              <w:jc w:val="center"/>
            </w:pPr>
            <w:r/>
            <w:r>
              <w:rPr>
                <w:rFonts w:ascii="Times New Roman" w:hAnsi="Times New Roman"/>
                <w:sz w:val="20"/>
              </w:rPr>
              <w:t>3.85</w:t>
            </w:r>
          </w:p>
        </w:tc>
      </w:tr>
      <w:tr>
        <w:tc>
          <w:tcPr>
            <w:tcW w:type="dxa" w:w="2340"/>
          </w:tcPr>
          <w:p>
            <w:pPr>
              <w:jc w:val="center"/>
            </w:pPr>
            <w:r/>
            <w:r>
              <w:rPr>
                <w:rFonts w:ascii="Times New Roman" w:hAnsi="Times New Roman"/>
                <w:sz w:val="20"/>
              </w:rPr>
              <w:t>0.95–0.99</w:t>
            </w:r>
          </w:p>
        </w:tc>
        <w:tc>
          <w:tcPr>
            <w:tcW w:type="dxa" w:w="2340"/>
          </w:tcPr>
          <w:p>
            <w:pPr>
              <w:jc w:val="center"/>
            </w:pPr>
            <w:r/>
            <w:r>
              <w:rPr>
                <w:rFonts w:ascii="Times New Roman" w:hAnsi="Times New Roman"/>
                <w:sz w:val="20"/>
              </w:rPr>
              <w:t>9</w:t>
            </w:r>
          </w:p>
        </w:tc>
        <w:tc>
          <w:tcPr>
            <w:tcW w:type="dxa" w:w="2340"/>
          </w:tcPr>
          <w:p>
            <w:pPr>
              <w:jc w:val="center"/>
            </w:pPr>
            <w:r/>
            <w:r>
              <w:rPr>
                <w:rFonts w:ascii="Times New Roman" w:hAnsi="Times New Roman"/>
                <w:sz w:val="20"/>
              </w:rPr>
              <w:t>3.78</w:t>
            </w:r>
          </w:p>
        </w:tc>
        <w:tc>
          <w:tcPr>
            <w:tcW w:type="dxa" w:w="2340"/>
          </w:tcPr>
          <w:p>
            <w:pPr>
              <w:jc w:val="center"/>
            </w:pPr>
            <w:r/>
            <w:r>
              <w:rPr>
                <w:rFonts w:ascii="Times New Roman" w:hAnsi="Times New Roman"/>
                <w:sz w:val="20"/>
              </w:rPr>
              <w:t>3.74</w:t>
            </w:r>
          </w:p>
        </w:tc>
      </w:tr>
      <w:tr>
        <w:tc>
          <w:tcPr>
            <w:tcW w:type="dxa" w:w="2340"/>
          </w:tcPr>
          <w:p>
            <w:pPr>
              <w:jc w:val="center"/>
            </w:pPr>
            <w:r/>
            <w:r>
              <w:rPr>
                <w:rFonts w:ascii="Times New Roman" w:hAnsi="Times New Roman"/>
                <w:sz w:val="20"/>
              </w:rPr>
              <w:t>0.99–1.00</w:t>
            </w:r>
          </w:p>
        </w:tc>
        <w:tc>
          <w:tcPr>
            <w:tcW w:type="dxa" w:w="2340"/>
          </w:tcPr>
          <w:p>
            <w:pPr>
              <w:jc w:val="center"/>
            </w:pPr>
            <w:r/>
            <w:r>
              <w:rPr>
                <w:rFonts w:ascii="Times New Roman" w:hAnsi="Times New Roman"/>
                <w:sz w:val="20"/>
              </w:rPr>
              <w:t>8</w:t>
            </w:r>
          </w:p>
        </w:tc>
        <w:tc>
          <w:tcPr>
            <w:tcW w:type="dxa" w:w="2340"/>
          </w:tcPr>
          <w:p>
            <w:pPr>
              <w:jc w:val="center"/>
            </w:pPr>
            <w:r/>
            <w:r>
              <w:rPr>
                <w:rFonts w:ascii="Times New Roman" w:hAnsi="Times New Roman"/>
                <w:sz w:val="20"/>
              </w:rPr>
              <w:t>4.03</w:t>
            </w:r>
          </w:p>
        </w:tc>
        <w:tc>
          <w:tcPr>
            <w:tcW w:type="dxa" w:w="2340"/>
          </w:tcPr>
          <w:p>
            <w:pPr>
              <w:jc w:val="center"/>
            </w:pPr>
            <w:r/>
            <w:r>
              <w:rPr>
                <w:rFonts w:ascii="Times New Roman" w:hAnsi="Times New Roman"/>
                <w:sz w:val="20"/>
              </w:rPr>
              <w:t>4.04</w:t>
            </w:r>
          </w:p>
        </w:tc>
      </w:tr>
    </w:tbl>
    <w:p/>
    <w:p>
      <w:pPr>
        <w:jc w:val="both"/>
      </w:pPr>
      <w:r>
        <w:rPr>
          <w:rFonts w:ascii="Times New Roman" w:hAnsi="Times New Roman"/>
          <w:sz w:val="22"/>
        </w:rPr>
        <w:t>The automated AST semantic score is thus a validated operationalisation of semantic-HTML quality: independent engineers agree with each other at α = 0.88 and with the automated score at ρ = 0.67–0.74, the ordering is non-decreasing across bands, and the result is robust to excluding the metric's designer. We retain the originating study's scope limitation that headless-UI / React-Native components (≈15% of the sample) abstract HTML semantics away and tend to draw mid-scale ratings from both the metric and the raters.</w:t>
      </w:r>
    </w:p>
    <w:p>
      <w:pPr>
        <w:spacing w:before="240" w:after="80"/>
      </w:pPr>
      <w:r>
        <w:rPr>
          <w:rFonts w:ascii="Times New Roman" w:hAnsi="Times New Roman"/>
          <w:b/>
          <w:color w:val="000000"/>
          <w:sz w:val="26"/>
        </w:rPr>
        <w:t>References</w:t>
      </w:r>
    </w:p>
    <w:p>
      <w:pPr>
        <w:pStyle w:val="ListNumber"/>
      </w:pPr>
      <w:r>
        <w:rPr>
          <w:rFonts w:ascii="Times New Roman" w:hAnsi="Times New Roman"/>
          <w:sz w:val="22"/>
        </w:rPr>
        <w:t xml:space="preserve">Mowar, P., Peng, Y.-H., Wu, J., Steinfeld, A., &amp; Bigham, J. P. (2025). CodeA11y: Making AI Coding Assistants Useful for Accessible Web Development. </w:t>
      </w:r>
      <w:r>
        <w:rPr>
          <w:rFonts w:ascii="Times New Roman" w:hAnsi="Times New Roman"/>
          <w:i/>
          <w:sz w:val="22"/>
        </w:rPr>
        <w:t>Proceedings of the 2025 CHI Conference on Human Factors in Computing Systems (CHI '25).</w:t>
      </w:r>
      <w:r>
        <w:rPr>
          <w:rFonts w:ascii="Times New Roman" w:hAnsi="Times New Roman"/>
          <w:sz w:val="22"/>
        </w:rPr>
        <w:t xml:space="preserve"> DOI:10.1145/3706598.3713335. arXiv:2502.10884.</w:t>
      </w:r>
    </w:p>
    <w:p>
      <w:pPr>
        <w:pStyle w:val="ListNumber"/>
      </w:pPr>
      <w:r>
        <w:rPr>
          <w:rFonts w:ascii="Times New Roman" w:hAnsi="Times New Roman"/>
          <w:sz w:val="22"/>
        </w:rPr>
        <w:t xml:space="preserve">He, H., Miller, C., Agarwal, S., Kästner, C., &amp; Vasilescu, B. (2026). Speed at the Cost of Quality: How Cursor AI Increases Short-Term Velocity and Long-Term Complexity in Open-Source Projects. </w:t>
      </w:r>
      <w:r>
        <w:rPr>
          <w:rFonts w:ascii="Times New Roman" w:hAnsi="Times New Roman"/>
          <w:i/>
          <w:sz w:val="22"/>
        </w:rPr>
        <w:t>Proceedings of the 23rd International Conference on Mining Software Repositories (MSR '26),</w:t>
      </w:r>
      <w:r>
        <w:rPr>
          <w:rFonts w:ascii="Times New Roman" w:hAnsi="Times New Roman"/>
          <w:sz w:val="22"/>
        </w:rPr>
        <w:t xml:space="preserve"> Rio de Janeiro. DOI:10.1145/3793302.3793349. arXiv:2511.04427.</w:t>
      </w:r>
    </w:p>
    <w:p>
      <w:pPr>
        <w:pStyle w:val="ListNumber"/>
      </w:pPr>
      <w:r>
        <w:rPr>
          <w:rFonts w:ascii="Times New Roman" w:hAnsi="Times New Roman"/>
          <w:sz w:val="22"/>
        </w:rPr>
        <w:t xml:space="preserve">He, Z., Huq, S. F., &amp; Malek, S. (2025). Enhancing Web Accessibility: Automated Detection of Issues with Generative AI (GenA11y). </w:t>
      </w:r>
      <w:r>
        <w:rPr>
          <w:rFonts w:ascii="Times New Roman" w:hAnsi="Times New Roman"/>
          <w:i/>
          <w:sz w:val="22"/>
        </w:rPr>
        <w:t>Proceedings of the ACM on Software Engineering,</w:t>
      </w:r>
      <w:r>
        <w:rPr>
          <w:rFonts w:ascii="Times New Roman" w:hAnsi="Times New Roman"/>
          <w:sz w:val="22"/>
        </w:rPr>
        <w:t xml:space="preserve"> 2(FSE), 2264–2287. DOI:10.1145/3729371.</w:t>
      </w:r>
    </w:p>
    <w:p>
      <w:pPr>
        <w:pStyle w:val="ListNumber"/>
      </w:pPr>
      <w:r>
        <w:rPr>
          <w:rFonts w:ascii="Times New Roman" w:hAnsi="Times New Roman"/>
          <w:sz w:val="22"/>
        </w:rPr>
        <w:t xml:space="preserve">Nahar, N., Kästner, C., Butler, J., Parnin, C., Zimmermann, T., &amp; Bird, C. (2025). Beyond the Comfort Zone: Emerging Solutions to Overcome Challenges in Integrating LLMs into Software Products. </w:t>
      </w:r>
      <w:r>
        <w:rPr>
          <w:rFonts w:ascii="Times New Roman" w:hAnsi="Times New Roman"/>
          <w:i/>
          <w:sz w:val="22"/>
        </w:rPr>
        <w:t>Proceedings of the 47th International Conference on Software Engineering: Software Engineering in Practice (ICSE-SEIP '25),</w:t>
      </w:r>
      <w:r>
        <w:rPr>
          <w:rFonts w:ascii="Times New Roman" w:hAnsi="Times New Roman"/>
          <w:sz w:val="22"/>
        </w:rPr>
        <w:t xml:space="preserve"> 516–527. DOI:10.1109/ICSE-SEIP66354.2025.00051. arXiv:2410.12071.</w:t>
      </w:r>
    </w:p>
    <w:p>
      <w:pPr>
        <w:pStyle w:val="ListNumber"/>
      </w:pPr>
      <w:r>
        <w:rPr>
          <w:rFonts w:ascii="Times New Roman" w:hAnsi="Times New Roman"/>
          <w:sz w:val="22"/>
        </w:rPr>
        <w:t xml:space="preserve">Callaway, B., &amp; Sant'Anna, P. H. C. (2021). Difference-in-Differences with Multiple Time Periods. </w:t>
      </w:r>
      <w:r>
        <w:rPr>
          <w:rFonts w:ascii="Times New Roman" w:hAnsi="Times New Roman"/>
          <w:i/>
          <w:sz w:val="22"/>
        </w:rPr>
        <w:t>Journal of Econometrics,</w:t>
      </w:r>
      <w:r>
        <w:rPr>
          <w:rFonts w:ascii="Times New Roman" w:hAnsi="Times New Roman"/>
          <w:sz w:val="22"/>
        </w:rPr>
        <w:t xml:space="preserve"> 225(2), 200–230. DOI:10.1016/j.jeconom.2020.12.001.</w:t>
      </w:r>
    </w:p>
    <w:p>
      <w:pPr>
        <w:pStyle w:val="ListNumber"/>
      </w:pPr>
      <w:r>
        <w:rPr>
          <w:rFonts w:ascii="Times New Roman" w:hAnsi="Times New Roman"/>
          <w:sz w:val="22"/>
        </w:rPr>
        <w:t xml:space="preserve">Cameron, A. C., Gelbach, J. B., &amp; Miller, D. L. (2008). Bootstrap-Based Improvements for Inference with Clustered Errors. </w:t>
      </w:r>
      <w:r>
        <w:rPr>
          <w:rFonts w:ascii="Times New Roman" w:hAnsi="Times New Roman"/>
          <w:i/>
          <w:sz w:val="22"/>
        </w:rPr>
        <w:t>Review of Economics and Statistics,</w:t>
      </w:r>
      <w:r>
        <w:rPr>
          <w:rFonts w:ascii="Times New Roman" w:hAnsi="Times New Roman"/>
          <w:sz w:val="22"/>
        </w:rPr>
        <w:t xml:space="preserve"> 90(3), 414–427. DOI:10.1162/rest.90.3.414.</w:t>
      </w:r>
    </w:p>
    <w:p>
      <w:pPr>
        <w:pStyle w:val="ListNumber"/>
      </w:pPr>
      <w:r>
        <w:rPr>
          <w:rFonts w:ascii="Times New Roman" w:hAnsi="Times New Roman"/>
          <w:sz w:val="22"/>
        </w:rPr>
        <w:t xml:space="preserve">Firpo, S., Fortin, N. M., &amp; Lemieux, T. (2009). Unconditional Quantile Regressions. </w:t>
      </w:r>
      <w:r>
        <w:rPr>
          <w:rFonts w:ascii="Times New Roman" w:hAnsi="Times New Roman"/>
          <w:i/>
          <w:sz w:val="22"/>
        </w:rPr>
        <w:t>Econometrica,</w:t>
      </w:r>
      <w:r>
        <w:rPr>
          <w:rFonts w:ascii="Times New Roman" w:hAnsi="Times New Roman"/>
          <w:sz w:val="22"/>
        </w:rPr>
        <w:t xml:space="preserve"> 77(3), 953–973. DOI:10.3982/ECTA6822.</w:t>
      </w:r>
    </w:p>
    <w:p>
      <w:pPr>
        <w:pStyle w:val="ListNumber"/>
      </w:pPr>
      <w:r>
        <w:rPr>
          <w:rFonts w:ascii="Times New Roman" w:hAnsi="Times New Roman"/>
          <w:sz w:val="22"/>
        </w:rPr>
        <w:t xml:space="preserve">Goel, A. L., &amp; Okumoto, K. (1979). Time-Dependent Error-Detection Rate Model for Software Reliability and Other Performance Measures. </w:t>
      </w:r>
      <w:r>
        <w:rPr>
          <w:rFonts w:ascii="Times New Roman" w:hAnsi="Times New Roman"/>
          <w:i/>
          <w:sz w:val="22"/>
        </w:rPr>
        <w:t>IEEE Transactions on Reliability,</w:t>
      </w:r>
      <w:r>
        <w:rPr>
          <w:rFonts w:ascii="Times New Roman" w:hAnsi="Times New Roman"/>
          <w:sz w:val="22"/>
        </w:rPr>
        <w:t xml:space="preserve"> R-28(3), 206–211. DOI:10.1109/TR.1979.5220566.</w:t>
      </w:r>
    </w:p>
    <w:p>
      <w:pPr>
        <w:pStyle w:val="ListNumber"/>
      </w:pPr>
      <w:r>
        <w:rPr>
          <w:rFonts w:ascii="Times New Roman" w:hAnsi="Times New Roman"/>
          <w:sz w:val="22"/>
        </w:rPr>
        <w:t xml:space="preserve">Tobin, J. (1958). Estimation of Relationships for Limited Dependent Variables. </w:t>
      </w:r>
      <w:r>
        <w:rPr>
          <w:rFonts w:ascii="Times New Roman" w:hAnsi="Times New Roman"/>
          <w:i/>
          <w:sz w:val="22"/>
        </w:rPr>
        <w:t>Econometrica,</w:t>
      </w:r>
      <w:r>
        <w:rPr>
          <w:rFonts w:ascii="Times New Roman" w:hAnsi="Times New Roman"/>
          <w:sz w:val="22"/>
        </w:rPr>
        <w:t xml:space="preserve"> 26(1), 24–36. DOI:10.2307/1907382.</w:t>
      </w:r>
    </w:p>
    <w:p>
      <w:pPr>
        <w:pStyle w:val="ListNumber"/>
      </w:pPr>
      <w:r>
        <w:rPr>
          <w:rFonts w:ascii="Times New Roman" w:hAnsi="Times New Roman"/>
          <w:sz w:val="22"/>
        </w:rPr>
        <w:t xml:space="preserve">Hayes, A. F., &amp; Krippendorff, K. (2007). Answering the Call for a Standard Reliability Measure for Coding Data. </w:t>
      </w:r>
      <w:r>
        <w:rPr>
          <w:rFonts w:ascii="Times New Roman" w:hAnsi="Times New Roman"/>
          <w:i/>
          <w:sz w:val="22"/>
        </w:rPr>
        <w:t>Communication Methods and Measures,</w:t>
      </w:r>
      <w:r>
        <w:rPr>
          <w:rFonts w:ascii="Times New Roman" w:hAnsi="Times New Roman"/>
          <w:sz w:val="22"/>
        </w:rPr>
        <w:t xml:space="preserve"> 1(1), 77–89. DOI:10.1080/19312450709336664.</w:t>
      </w:r>
    </w:p>
    <w:p>
      <w:pPr>
        <w:pStyle w:val="ListNumber"/>
      </w:pPr>
      <w:r>
        <w:rPr>
          <w:rFonts w:ascii="Times New Roman" w:hAnsi="Times New Roman"/>
          <w:sz w:val="22"/>
        </w:rPr>
        <w:t xml:space="preserve">Rosenbaum, P. R., &amp; Rubin, D. B. (1983). The Central Role of the Propensity Score in Observational Studies for Causal Effects. </w:t>
      </w:r>
      <w:r>
        <w:rPr>
          <w:rFonts w:ascii="Times New Roman" w:hAnsi="Times New Roman"/>
          <w:i/>
          <w:sz w:val="22"/>
        </w:rPr>
        <w:t>Biometrika,</w:t>
      </w:r>
      <w:r>
        <w:rPr>
          <w:rFonts w:ascii="Times New Roman" w:hAnsi="Times New Roman"/>
          <w:sz w:val="22"/>
        </w:rPr>
        <w:t xml:space="preserve"> 70(1), 41–55. DOI:10.1093/biomet/70.1.41.</w:t>
      </w:r>
    </w:p>
    <w:p>
      <w:pPr>
        <w:pStyle w:val="ListNumber"/>
      </w:pPr>
      <w:r>
        <w:rPr>
          <w:rFonts w:ascii="Times New Roman" w:hAnsi="Times New Roman"/>
          <w:sz w:val="22"/>
        </w:rPr>
        <w:t xml:space="preserve">Shull, F. J., Carver, J. C., Vegas, S., &amp; Juristo, N. (2008). The Role of Replications in Empirical Software Engineering. </w:t>
      </w:r>
      <w:r>
        <w:rPr>
          <w:rFonts w:ascii="Times New Roman" w:hAnsi="Times New Roman"/>
          <w:i/>
          <w:sz w:val="22"/>
        </w:rPr>
        <w:t>Empirical Software Engineering,</w:t>
      </w:r>
      <w:r>
        <w:rPr>
          <w:rFonts w:ascii="Times New Roman" w:hAnsi="Times New Roman"/>
          <w:sz w:val="22"/>
        </w:rPr>
        <w:t xml:space="preserve"> 13(2), 211–218. DOI:10.1007/s10664-008-9060-1.</w:t>
      </w:r>
    </w:p>
    <w:p>
      <w:pPr>
        <w:pStyle w:val="ListNumber"/>
      </w:pPr>
      <w:r>
        <w:rPr>
          <w:rFonts w:ascii="Times New Roman" w:hAnsi="Times New Roman"/>
          <w:sz w:val="22"/>
        </w:rPr>
        <w:t xml:space="preserve">Da Silva, F. Q. B., Suassuna, M., França, A. C. C., et al. (2014). Replication of Empirical Studies in Software Engineering Research: A Systematic Mapping Study. </w:t>
      </w:r>
      <w:r>
        <w:rPr>
          <w:rFonts w:ascii="Times New Roman" w:hAnsi="Times New Roman"/>
          <w:i/>
          <w:sz w:val="22"/>
        </w:rPr>
        <w:t>Empirical Software Engineering,</w:t>
      </w:r>
      <w:r>
        <w:rPr>
          <w:rFonts w:ascii="Times New Roman" w:hAnsi="Times New Roman"/>
          <w:sz w:val="22"/>
        </w:rPr>
        <w:t xml:space="preserve"> 19(3), 501–557. DOI:10.1007/s10664-012-9227-7.</w:t>
      </w:r>
    </w:p>
    <w:p>
      <w:pPr>
        <w:pStyle w:val="ListNumber"/>
      </w:pPr>
      <w:r>
        <w:rPr>
          <w:rFonts w:ascii="Times New Roman" w:hAnsi="Times New Roman"/>
          <w:sz w:val="22"/>
        </w:rPr>
        <w:t xml:space="preserve">Athey, S., &amp; Imbens, G. W. (2006). Identification and Inference in Nonlinear Difference-in-Differences Models. </w:t>
      </w:r>
      <w:r>
        <w:rPr>
          <w:rFonts w:ascii="Times New Roman" w:hAnsi="Times New Roman"/>
          <w:i/>
          <w:sz w:val="22"/>
        </w:rPr>
        <w:t>Econometrica,</w:t>
      </w:r>
      <w:r>
        <w:rPr>
          <w:rFonts w:ascii="Times New Roman" w:hAnsi="Times New Roman"/>
          <w:sz w:val="22"/>
        </w:rPr>
        <w:t xml:space="preserve"> 74(2), 431–497. DOI:10.1111/j.1468-0262.2006.00668.x.</w:t>
      </w:r>
    </w:p>
    <w:p>
      <w:pPr>
        <w:pStyle w:val="ListNumber"/>
      </w:pPr>
      <w:r>
        <w:rPr>
          <w:rFonts w:ascii="Times New Roman" w:hAnsi="Times New Roman"/>
          <w:sz w:val="22"/>
        </w:rPr>
        <w:t xml:space="preserve">Callaway, B., &amp; Li, T. (2019). Quantile Treatment Effects in Difference in Differences Models with Panel Data. </w:t>
      </w:r>
      <w:r>
        <w:rPr>
          <w:rFonts w:ascii="Times New Roman" w:hAnsi="Times New Roman"/>
          <w:i/>
          <w:sz w:val="22"/>
        </w:rPr>
        <w:t>Quantitative Economics,</w:t>
      </w:r>
      <w:r>
        <w:rPr>
          <w:rFonts w:ascii="Times New Roman" w:hAnsi="Times New Roman"/>
          <w:sz w:val="22"/>
        </w:rPr>
        <w:t xml:space="preserve"> 10(4), 1579–1618. DOI:10.3982/QE935.</w:t>
      </w:r>
    </w:p>
    <w:p>
      <w:pPr>
        <w:pStyle w:val="ListNumber"/>
      </w:pPr>
      <w:r>
        <w:rPr>
          <w:rFonts w:ascii="Times New Roman" w:hAnsi="Times New Roman"/>
          <w:sz w:val="22"/>
        </w:rPr>
        <w:t xml:space="preserve">Becker, J., Rush, N., Barnes, B., &amp; Rein, D. (2025). </w:t>
      </w:r>
      <w:r>
        <w:rPr>
          <w:rFonts w:ascii="Times New Roman" w:hAnsi="Times New Roman"/>
          <w:i/>
          <w:sz w:val="22"/>
        </w:rPr>
        <w:t>Measuring the Impact of Early-2025 AI on Experienced Open-Source Developer Productivity.</w:t>
      </w:r>
      <w:r>
        <w:rPr>
          <w:rFonts w:ascii="Times New Roman" w:hAnsi="Times New Roman"/>
          <w:sz w:val="22"/>
        </w:rPr>
        <w:t xml:space="preserve"> METR. arXiv:2507.09089.</w:t>
      </w:r>
    </w:p>
    <w:p>
      <w:pPr>
        <w:pStyle w:val="ListNumber"/>
      </w:pPr>
      <w:r>
        <w:rPr>
          <w:rFonts w:ascii="Times New Roman" w:hAnsi="Times New Roman"/>
          <w:sz w:val="22"/>
        </w:rPr>
        <w:t xml:space="preserve">Anderson, T. W., &amp; Goodman, L. A. (1957). Statistical Inference about Markov Chains. </w:t>
      </w:r>
      <w:r>
        <w:rPr>
          <w:rFonts w:ascii="Times New Roman" w:hAnsi="Times New Roman"/>
          <w:i/>
          <w:sz w:val="22"/>
        </w:rPr>
        <w:t>The Annals of Mathematical Statistics,</w:t>
      </w:r>
      <w:r>
        <w:rPr>
          <w:rFonts w:ascii="Times New Roman" w:hAnsi="Times New Roman"/>
          <w:sz w:val="22"/>
        </w:rPr>
        <w:t xml:space="preserve"> 28(1), 89–110. DOI:10.1214/aoms/1177707039.</w:t>
      </w:r>
    </w:p>
    <w:p>
      <w:pPr>
        <w:pStyle w:val="ListNumber"/>
      </w:pPr>
      <w:r>
        <w:rPr>
          <w:rFonts w:ascii="Times New Roman" w:hAnsi="Times New Roman"/>
          <w:sz w:val="22"/>
        </w:rPr>
        <w:t xml:space="preserve">W3C. (2018). </w:t>
      </w:r>
      <w:r>
        <w:rPr>
          <w:rFonts w:ascii="Times New Roman" w:hAnsi="Times New Roman"/>
          <w:i/>
          <w:sz w:val="22"/>
        </w:rPr>
        <w:t>Web Content Accessibility Guidelines (WCAG) 2.1.</w:t>
      </w:r>
      <w:r>
        <w:rPr>
          <w:rFonts w:ascii="Times New Roman" w:hAnsi="Times New Roman"/>
          <w:sz w:val="22"/>
        </w:rPr>
        <w:t xml:space="preserve"> W3C Recommendation.</w:t>
      </w:r>
    </w:p>
    <w:p>
      <w:pPr>
        <w:pStyle w:val="ListNumber"/>
      </w:pPr>
      <w:r>
        <w:rPr>
          <w:rFonts w:ascii="Times New Roman" w:hAnsi="Times New Roman"/>
          <w:sz w:val="22"/>
        </w:rPr>
        <w:t xml:space="preserve">Deque Systems. (2023). </w:t>
      </w:r>
      <w:r>
        <w:rPr>
          <w:rFonts w:ascii="Times New Roman" w:hAnsi="Times New Roman"/>
          <w:i/>
          <w:sz w:val="22"/>
        </w:rPr>
        <w:t>axe-core: Accessibility Testing Engine.</w:t>
      </w:r>
      <w:r>
        <w:rPr>
          <w:rFonts w:ascii="Times New Roman" w:hAnsi="Times New Roman"/>
          <w:sz w:val="22"/>
        </w:rPr>
        <w:t xml:space="preserve"> https://github.com/dequelabs/axe-core</w:t>
      </w:r>
    </w:p>
    <w:p>
      <w:pPr>
        <w:pStyle w:val="ListNumber"/>
      </w:pPr>
      <w:r>
        <w:rPr>
          <w:rFonts w:ascii="Times New Roman" w:hAnsi="Times New Roman"/>
          <w:sz w:val="22"/>
        </w:rPr>
        <w:t xml:space="preserve">Goodman-Bacon, A. (2021). Difference-in-Differences with Variation in Treatment Timing. </w:t>
      </w:r>
      <w:r>
        <w:rPr>
          <w:rFonts w:ascii="Times New Roman" w:hAnsi="Times New Roman"/>
          <w:i/>
          <w:sz w:val="22"/>
        </w:rPr>
        <w:t>Journal of Econometrics,</w:t>
      </w:r>
      <w:r>
        <w:rPr>
          <w:rFonts w:ascii="Times New Roman" w:hAnsi="Times New Roman"/>
          <w:sz w:val="22"/>
        </w:rPr>
        <w:t xml:space="preserve"> 225(2), 254–277. DOI:10.1016/j.jeconom.2021.03.014.</w:t>
      </w:r>
    </w:p>
    <w:p>
      <w:pPr>
        <w:pStyle w:val="ListNumber"/>
      </w:pPr>
      <w:r>
        <w:rPr>
          <w:rFonts w:ascii="Times New Roman" w:hAnsi="Times New Roman"/>
          <w:sz w:val="22"/>
        </w:rPr>
        <w:t xml:space="preserve">Sun, L., &amp; Abraham, S. (2021). Estimating Dynamic Treatment Effects in Event Studies with Heterogeneous Treatment Effects. </w:t>
      </w:r>
      <w:r>
        <w:rPr>
          <w:rFonts w:ascii="Times New Roman" w:hAnsi="Times New Roman"/>
          <w:i/>
          <w:sz w:val="22"/>
        </w:rPr>
        <w:t>Journal of Econometrics,</w:t>
      </w:r>
      <w:r>
        <w:rPr>
          <w:rFonts w:ascii="Times New Roman" w:hAnsi="Times New Roman"/>
          <w:sz w:val="22"/>
        </w:rPr>
        <w:t xml:space="preserve"> 225(2), 175–199. DOI:10.1016/j.jeconom.2020.09.006.</w:t>
      </w:r>
    </w:p>
    <w:p>
      <w:pPr>
        <w:pStyle w:val="ListNumber"/>
      </w:pPr>
      <w:r>
        <w:rPr>
          <w:rFonts w:ascii="Times New Roman" w:hAnsi="Times New Roman"/>
          <w:sz w:val="22"/>
        </w:rPr>
        <w:t xml:space="preserve">Borusyak, K., Jaravel, X., &amp; Spiess, J. (2024). Revisiting Event-Study Designs: Robust and Efficient Estimation. </w:t>
      </w:r>
      <w:r>
        <w:rPr>
          <w:rFonts w:ascii="Times New Roman" w:hAnsi="Times New Roman"/>
          <w:i/>
          <w:sz w:val="22"/>
        </w:rPr>
        <w:t>Review of Economic Studies,</w:t>
      </w:r>
      <w:r>
        <w:rPr>
          <w:rFonts w:ascii="Times New Roman" w:hAnsi="Times New Roman"/>
          <w:sz w:val="22"/>
        </w:rPr>
        <w:t xml:space="preserve"> 91(6), 3253–3285. DOI:10.1093/restud/rdae007.</w:t>
      </w:r>
    </w:p>
    <w:p>
      <w:pPr>
        <w:pStyle w:val="ListNumber"/>
      </w:pPr>
      <w:r>
        <w:rPr>
          <w:rFonts w:ascii="Times New Roman" w:hAnsi="Times New Roman"/>
          <w:sz w:val="22"/>
        </w:rPr>
        <w:t xml:space="preserve">de Chaisemartin, C., &amp; D'Haultfœuille, X. (2020). Two-Way Fixed Effects Estimators with Heterogeneous Treatment Effects. </w:t>
      </w:r>
      <w:r>
        <w:rPr>
          <w:rFonts w:ascii="Times New Roman" w:hAnsi="Times New Roman"/>
          <w:i/>
          <w:sz w:val="22"/>
        </w:rPr>
        <w:t>American Economic Review,</w:t>
      </w:r>
      <w:r>
        <w:rPr>
          <w:rFonts w:ascii="Times New Roman" w:hAnsi="Times New Roman"/>
          <w:sz w:val="22"/>
        </w:rPr>
        <w:t xml:space="preserve"> 110(9), 2964–2996. DOI:10.1257/aer.20181169.</w:t>
      </w:r>
    </w:p>
    <w:p>
      <w:pPr>
        <w:pStyle w:val="ListNumber"/>
      </w:pPr>
      <w:r>
        <w:rPr>
          <w:rFonts w:ascii="Times New Roman" w:hAnsi="Times New Roman"/>
          <w:sz w:val="22"/>
        </w:rPr>
        <w:t xml:space="preserve">Lakens, D. (2017). Equivalence Tests: A Practical Primer for t-Tests, Correlations, and Meta-Analyses. </w:t>
      </w:r>
      <w:r>
        <w:rPr>
          <w:rFonts w:ascii="Times New Roman" w:hAnsi="Times New Roman"/>
          <w:i/>
          <w:sz w:val="22"/>
        </w:rPr>
        <w:t>Social Psychological and Personality Science,</w:t>
      </w:r>
      <w:r>
        <w:rPr>
          <w:rFonts w:ascii="Times New Roman" w:hAnsi="Times New Roman"/>
          <w:sz w:val="22"/>
        </w:rPr>
        <w:t xml:space="preserve"> 8(4), 355–362. DOI:10.1177/1948550617697177.</w:t>
      </w:r>
    </w:p>
    <w:p>
      <w:pPr>
        <w:pStyle w:val="ListNumber"/>
      </w:pPr>
      <w:r>
        <w:rPr>
          <w:rFonts w:ascii="Times New Roman" w:hAnsi="Times New Roman"/>
          <w:sz w:val="22"/>
        </w:rPr>
        <w:t xml:space="preserve">Benjamini, Y., &amp; Hochberg, Y. (1995). Controlling the False Discovery Rate: A Practical and Powerful Approach to Multiple Testing. </w:t>
      </w:r>
      <w:r>
        <w:rPr>
          <w:rFonts w:ascii="Times New Roman" w:hAnsi="Times New Roman"/>
          <w:i/>
          <w:sz w:val="22"/>
        </w:rPr>
        <w:t>Journal of the Royal Statistical Society: Series B,</w:t>
      </w:r>
      <w:r>
        <w:rPr>
          <w:rFonts w:ascii="Times New Roman" w:hAnsi="Times New Roman"/>
          <w:sz w:val="22"/>
        </w:rPr>
        <w:t xml:space="preserve"> 57(1), 289–300. DOI:10.1111/j.2517-6161.1995.tb02031.x.</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8"/>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