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F1D9" w14:textId="27C1ABD6" w:rsidR="000C2000" w:rsidRDefault="00FF6331" w:rsidP="00FF6331">
      <w:pPr>
        <w:jc w:val="center"/>
        <w:rPr>
          <w:b/>
          <w:bCs/>
        </w:rPr>
      </w:pPr>
      <w:r w:rsidRPr="00FF6331">
        <w:rPr>
          <w:b/>
          <w:bCs/>
        </w:rPr>
        <w:t>BDL — Capacity Planning ML Model</w:t>
      </w:r>
    </w:p>
    <w:p w14:paraId="35A24FA5" w14:textId="77777777" w:rsidR="00FF6331" w:rsidRDefault="00FF6331" w:rsidP="00FF6331">
      <w:pPr>
        <w:rPr>
          <w:b/>
          <w:bCs/>
        </w:rPr>
      </w:pPr>
    </w:p>
    <w:p w14:paraId="5CDCA382" w14:textId="77777777" w:rsidR="00FF6331" w:rsidRPr="00FF6331" w:rsidRDefault="00FF6331" w:rsidP="00FF6331">
      <w:pPr>
        <w:rPr>
          <w:b/>
          <w:bCs/>
        </w:rPr>
      </w:pPr>
      <w:r w:rsidRPr="00FF6331">
        <w:rPr>
          <w:b/>
          <w:bCs/>
        </w:rPr>
        <w:t>Why BDL is different from a normal factory: BDL produces guided missiles, ATGMs, torpedoes, and underwater weapons — low volume (tens to hundreds of units per order), extremely high complexity (300–1000+ sub-assemblies per missile), long lead times (months to years), strict AS9100D quality gates, and defence delivery commitments to the Indian Army/Navy/Air Force.</w:t>
      </w:r>
    </w:p>
    <w:p w14:paraId="17799522" w14:textId="77777777" w:rsidR="00FF6331" w:rsidRPr="00FF6331" w:rsidRDefault="00FF6331" w:rsidP="00FF6331">
      <w:pPr>
        <w:rPr>
          <w:b/>
          <w:bCs/>
        </w:rPr>
      </w:pPr>
      <w:r w:rsidRPr="00FF6331">
        <w:rPr>
          <w:b/>
          <w:bCs/>
        </w:rPr>
        <w:t>BDL-specific manufacturing realities</w:t>
      </w:r>
    </w:p>
    <w:p w14:paraId="2E5B0A33" w14:textId="77777777" w:rsidR="00FF6331" w:rsidRPr="00FF6331" w:rsidRDefault="00FF6331" w:rsidP="00FF6331">
      <w:pPr>
        <w:rPr>
          <w:b/>
          <w:bCs/>
        </w:rPr>
      </w:pPr>
      <w:r w:rsidRPr="00FF6331">
        <w:rPr>
          <w:b/>
          <w:bCs/>
        </w:rPr>
        <w:t>Orders are government-contracted with fixed delivery schedules. Late delivery = defence readiness risk, not just a business penalty.</w:t>
      </w:r>
    </w:p>
    <w:p w14:paraId="75A31FFD" w14:textId="77777777" w:rsidR="00FF6331" w:rsidRPr="00FF6331" w:rsidRDefault="00FF6331" w:rsidP="00FF6331">
      <w:pPr>
        <w:rPr>
          <w:b/>
          <w:bCs/>
        </w:rPr>
      </w:pPr>
      <w:r w:rsidRPr="00FF6331">
        <w:rPr>
          <w:b/>
          <w:bCs/>
        </w:rPr>
        <w:t xml:space="preserve">Each missile system (Akash, Milan-2T, </w:t>
      </w:r>
      <w:proofErr w:type="spellStart"/>
      <w:r w:rsidRPr="00FF6331">
        <w:rPr>
          <w:b/>
          <w:bCs/>
        </w:rPr>
        <w:t>Konkurs</w:t>
      </w:r>
      <w:proofErr w:type="spellEnd"/>
      <w:r w:rsidRPr="00FF6331">
        <w:rPr>
          <w:b/>
          <w:bCs/>
        </w:rPr>
        <w:t xml:space="preserve">, Nag, Amogha-III, Astra, Heavyweight Torpedo) has its own process sheet with unique operation sequences across multiple work </w:t>
      </w:r>
      <w:proofErr w:type="spellStart"/>
      <w:r w:rsidRPr="00FF6331">
        <w:rPr>
          <w:b/>
          <w:bCs/>
        </w:rPr>
        <w:t>centers</w:t>
      </w:r>
      <w:proofErr w:type="spellEnd"/>
      <w:r w:rsidRPr="00FF6331">
        <w:rPr>
          <w:b/>
          <w:bCs/>
        </w:rPr>
        <w:t>.</w:t>
      </w:r>
    </w:p>
    <w:p w14:paraId="0E0F2878" w14:textId="77777777" w:rsidR="00FF6331" w:rsidRPr="00FF6331" w:rsidRDefault="00FF6331" w:rsidP="00FF6331">
      <w:pPr>
        <w:rPr>
          <w:b/>
          <w:bCs/>
        </w:rPr>
      </w:pPr>
      <w:r w:rsidRPr="00FF6331">
        <w:rPr>
          <w:b/>
          <w:bCs/>
        </w:rPr>
        <w:t xml:space="preserve">4 active manufacturing units (Hyderabad, </w:t>
      </w:r>
      <w:proofErr w:type="spellStart"/>
      <w:r w:rsidRPr="00FF6331">
        <w:rPr>
          <w:b/>
          <w:bCs/>
        </w:rPr>
        <w:t>Bhanur</w:t>
      </w:r>
      <w:proofErr w:type="spellEnd"/>
      <w:r w:rsidRPr="00FF6331">
        <w:rPr>
          <w:b/>
          <w:bCs/>
        </w:rPr>
        <w:t xml:space="preserve">, </w:t>
      </w:r>
      <w:proofErr w:type="spellStart"/>
      <w:r w:rsidRPr="00FF6331">
        <w:rPr>
          <w:b/>
          <w:bCs/>
        </w:rPr>
        <w:t>Ibrahimpatnam</w:t>
      </w:r>
      <w:proofErr w:type="spellEnd"/>
      <w:r w:rsidRPr="00FF6331">
        <w:rPr>
          <w:b/>
          <w:bCs/>
        </w:rPr>
        <w:t xml:space="preserve">, Visakhapatnam) + 2 new units coming in FY27 — each with different work </w:t>
      </w:r>
      <w:proofErr w:type="spellStart"/>
      <w:r w:rsidRPr="00FF6331">
        <w:rPr>
          <w:b/>
          <w:bCs/>
        </w:rPr>
        <w:t>center</w:t>
      </w:r>
      <w:proofErr w:type="spellEnd"/>
      <w:r w:rsidRPr="00FF6331">
        <w:rPr>
          <w:b/>
          <w:bCs/>
        </w:rPr>
        <w:t xml:space="preserve"> configurations.</w:t>
      </w:r>
    </w:p>
    <w:p w14:paraId="76904B4C" w14:textId="77777777" w:rsidR="00FF6331" w:rsidRPr="00FF6331" w:rsidRDefault="00FF6331" w:rsidP="00FF6331">
      <w:pPr>
        <w:rPr>
          <w:b/>
          <w:bCs/>
        </w:rPr>
      </w:pPr>
      <w:r w:rsidRPr="00FF6331">
        <w:rPr>
          <w:b/>
          <w:bCs/>
        </w:rPr>
        <w:t>AS9100D certification mandates traceability, First Article Inspection (FAI), quality gate clearance times, and zero-defect targets — these must be modelled as capacity constraints.</w:t>
      </w:r>
    </w:p>
    <w:p w14:paraId="18A59C4C" w14:textId="77777777" w:rsidR="00FF6331" w:rsidRPr="00FF6331" w:rsidRDefault="00FF6331" w:rsidP="00FF6331">
      <w:pPr>
        <w:rPr>
          <w:b/>
          <w:bCs/>
        </w:rPr>
      </w:pPr>
      <w:r w:rsidRPr="00FF6331">
        <w:rPr>
          <w:b/>
          <w:bCs/>
        </w:rPr>
        <w:t>BDL's order book is ₹26,000 crore with ₹15,000 crore more expected in FY27. Capacity planning directly determines whether these contracts can be executed on time.</w:t>
      </w:r>
    </w:p>
    <w:p w14:paraId="2469C27D" w14:textId="77777777" w:rsidR="00FF6331" w:rsidRPr="00FF6331" w:rsidRDefault="00FF6331" w:rsidP="00FF6331">
      <w:pPr>
        <w:rPr>
          <w:b/>
          <w:bCs/>
        </w:rPr>
      </w:pPr>
      <w:r w:rsidRPr="00FF6331">
        <w:rPr>
          <w:b/>
          <w:bCs/>
        </w:rPr>
        <w:t xml:space="preserve">Specialized work </w:t>
      </w:r>
      <w:proofErr w:type="spellStart"/>
      <w:r w:rsidRPr="00FF6331">
        <w:rPr>
          <w:b/>
          <w:bCs/>
        </w:rPr>
        <w:t>centers</w:t>
      </w:r>
      <w:proofErr w:type="spellEnd"/>
      <w:r w:rsidRPr="00FF6331">
        <w:rPr>
          <w:b/>
          <w:bCs/>
        </w:rPr>
        <w:t xml:space="preserve"> (Seeker assembly, Warhead production, Propulsion, Electronics/PCB/SMT, Final integration, Proof testing) cannot be substituted — a bottleneck at Seeker assembly stalls the entire missile line.</w:t>
      </w:r>
    </w:p>
    <w:p w14:paraId="0856F5B4" w14:textId="77777777" w:rsidR="00FF6331" w:rsidRPr="00FF6331" w:rsidRDefault="00FF6331" w:rsidP="00FF6331">
      <w:pPr>
        <w:rPr>
          <w:b/>
          <w:bCs/>
        </w:rPr>
      </w:pPr>
      <w:r w:rsidRPr="00FF6331">
        <w:rPr>
          <w:b/>
          <w:bCs/>
        </w:rPr>
        <w:t>Data is defence-sensitive. All ML workloads must run on-premise on BDL's internal servers. No cloud. No external APIs in production.</w:t>
      </w:r>
    </w:p>
    <w:p>
      <w:r>
        <w:rPr>
          <w:b/>
          <w:sz w:val="28"/>
        </w:rPr>
        <w:t>Model Design Explanation</w:t>
      </w:r>
    </w:p>
    <w:p>
      <w:pPr/>
      <w:r>
        <w:t>Model Design Explanation:</w:t>
        <w:br/>
        <w:t>(a) Model A (Required Capacity Regressor) achieves a high R² score (~0.994) because the capacity load is derived synthetically via a deterministic cycle-time formula wrapped with 5% Gaussian noise, which is expected behavior for verification of the regression baseline. (b) Model B (Utilization Regressor) converges to a near-perfect R² (~1.0) because it learns the exact mathematical capacity utilization formula (required capacity divided by available capacity) directly from the input features, confirming that the network has correctly mapped the physical pipeline logic. (c) The validation scores for Model C (Bottleneck Classifier) and Model E (Overload Severity Classifier) dropped from their initial 100% scores in previous versions to defensible and realistic levels (macro F1 of ~85-90%). This drop occurred because we resolved target leakage and circular dependency by replacing true capacity labels with out-of-fold (OOF) predictions from Model A in the downstream feature sets. Note that some minor inflation remains since load_per_line and OOF required capacity are in features_other, which reduces but does not completely eliminate the leakage, representing a practical and explainable design compromise. (d) To address Model E's 'Warning' class recall weakness—caused by severe class imbalance where the warning state is naturally scarce in the factory schedule—we adjusted the data generation distribution to provide a more even representation of moderate-load scenarios and applied balanced class weighting (class_weight='balanced') during training, successfully boosting warning detection recall to ~70%.</w:t>
      </w:r>
    </w:p>
    <w:sectPr w:rsidR="00FF6331" w:rsidRPr="00FF63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31"/>
    <w:rsid w:val="000C2000"/>
    <w:rsid w:val="001B5182"/>
    <w:rsid w:val="003F05DC"/>
    <w:rsid w:val="005C48F6"/>
    <w:rsid w:val="00FF6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8617"/>
  <w15:chartTrackingRefBased/>
  <w15:docId w15:val="{F2B9F072-6E82-453D-A077-88D8A68D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3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3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3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3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3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3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3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3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3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3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331"/>
    <w:rPr>
      <w:rFonts w:eastAsiaTheme="majorEastAsia" w:cstheme="majorBidi"/>
      <w:color w:val="272727" w:themeColor="text1" w:themeTint="D8"/>
    </w:rPr>
  </w:style>
  <w:style w:type="paragraph" w:styleId="Title">
    <w:name w:val="Title"/>
    <w:basedOn w:val="Normal"/>
    <w:next w:val="Normal"/>
    <w:link w:val="TitleChar"/>
    <w:uiPriority w:val="10"/>
    <w:qFormat/>
    <w:rsid w:val="00FF6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331"/>
    <w:pPr>
      <w:spacing w:before="160"/>
      <w:jc w:val="center"/>
    </w:pPr>
    <w:rPr>
      <w:i/>
      <w:iCs/>
      <w:color w:val="404040" w:themeColor="text1" w:themeTint="BF"/>
    </w:rPr>
  </w:style>
  <w:style w:type="character" w:customStyle="1" w:styleId="QuoteChar">
    <w:name w:val="Quote Char"/>
    <w:basedOn w:val="DefaultParagraphFont"/>
    <w:link w:val="Quote"/>
    <w:uiPriority w:val="29"/>
    <w:rsid w:val="00FF6331"/>
    <w:rPr>
      <w:i/>
      <w:iCs/>
      <w:color w:val="404040" w:themeColor="text1" w:themeTint="BF"/>
    </w:rPr>
  </w:style>
  <w:style w:type="paragraph" w:styleId="ListParagraph">
    <w:name w:val="List Paragraph"/>
    <w:basedOn w:val="Normal"/>
    <w:uiPriority w:val="34"/>
    <w:qFormat/>
    <w:rsid w:val="00FF6331"/>
    <w:pPr>
      <w:ind w:left="720"/>
      <w:contextualSpacing/>
    </w:pPr>
  </w:style>
  <w:style w:type="character" w:styleId="IntenseEmphasis">
    <w:name w:val="Intense Emphasis"/>
    <w:basedOn w:val="DefaultParagraphFont"/>
    <w:uiPriority w:val="21"/>
    <w:qFormat/>
    <w:rsid w:val="00FF6331"/>
    <w:rPr>
      <w:i/>
      <w:iCs/>
      <w:color w:val="2F5496" w:themeColor="accent1" w:themeShade="BF"/>
    </w:rPr>
  </w:style>
  <w:style w:type="paragraph" w:styleId="IntenseQuote">
    <w:name w:val="Intense Quote"/>
    <w:basedOn w:val="Normal"/>
    <w:next w:val="Normal"/>
    <w:link w:val="IntenseQuoteChar"/>
    <w:uiPriority w:val="30"/>
    <w:qFormat/>
    <w:rsid w:val="00FF63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331"/>
    <w:rPr>
      <w:i/>
      <w:iCs/>
      <w:color w:val="2F5496" w:themeColor="accent1" w:themeShade="BF"/>
    </w:rPr>
  </w:style>
  <w:style w:type="character" w:styleId="IntenseReference">
    <w:name w:val="Intense Reference"/>
    <w:basedOn w:val="DefaultParagraphFont"/>
    <w:uiPriority w:val="32"/>
    <w:qFormat/>
    <w:rsid w:val="00FF63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Somisetty Veda Sai</dc:creator>
  <cp:keywords/>
  <dc:description/>
  <cp:lastModifiedBy>Somisetty Veda Sai</cp:lastModifiedBy>
  <cp:revision>1</cp:revision>
  <dcterms:created xsi:type="dcterms:W3CDTF">2026-05-26T10:29:00Z</dcterms:created>
  <dcterms:modified xsi:type="dcterms:W3CDTF">2026-05-26T10:34:00Z</dcterms:modified>
</cp:coreProperties>
</file>