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7A4A"/>
          <w:spacing w:val="40"/>
          <w:sz w:val="20"/>
          <w:szCs w:val="20"/>
        </w:rPr>
        <w:t xml:space="preserve">CAMPUSPULSE 2026</w:t>
      </w:r>
    </w:p>
    <w:p>
      <w:pPr>
        <w:pStyle w:val="Title"/>
      </w:pPr>
      <w:r>
        <w:t xml:space="preserve">Final Presentation — Speaking Script</w:t>
      </w:r>
    </w:p>
    <w:p>
      <w:pPr>
        <w:spacing w:after="240"/>
      </w:pPr>
      <w:r>
        <w:rPr>
          <w:color w:val="5E6E5E"/>
          <w:sz w:val="22"/>
          <w:szCs w:val="22"/>
        </w:rPr>
        <w:t xml:space="preserve">10 minutes · 15 slides · four speakers with equal time · Team 4, EPITA Big Data &amp; Cloud Computing</w:t>
      </w:r>
    </w:p>
    <w:p>
      <w:pPr>
        <w:spacing w:after="160"/>
      </w:pPr>
      <w:r>
        <w:t xml:space="preserve">Deck: </w:t>
      </w:r>
      <w:r>
        <w:rPr>
          <w:b/>
          <w:bCs/>
        </w:rPr>
        <w:t xml:space="preserve">CampusPulse_2026_Final_Presentation.pptx</w:t>
      </w:r>
      <w:r>
        <w:t xml:space="preserve">. The same words are in each slide's speaker notes. Read aloud at a natural pace this takes about 9½ minutes, which leaves room for the live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26"/>
      </w:tblGrid>
      <w:tr>
        <w:trPr>
          <w:tblHeader/>
        </w:trPr>
        <w:tc>
          <w:tcPr>
            <w:tcW w:type="dxa" w:w="2200"/>
            <w:tcBorders>
              <w:top w:val="single" w:color="C8D5C8" w:sz="4"/>
              <w:left w:val="single" w:color="C8D5C8" w:sz="4"/>
              <w:bottom w:val="single" w:color="C8D5C8" w:sz="4"/>
              <w:right w:val="single" w:color="C8D5C8" w:sz="4"/>
            </w:tcBorders>
            <w:shd w:fill="2A7A4A" w:color="auto" w:val="clear"/>
            <w:tcMar>
              <w:top w:type="dxa" w:w="80"/>
              <w:left w:type="dxa" w:w="120"/>
              <w:bottom w:type="dxa" w:w="80"/>
              <w:right w:type="dxa" w:w="120"/>
            </w:tcMar>
          </w:tcPr>
          <w:p>
            <w:r>
              <w:rPr>
                <w:b/>
                <w:bCs/>
                <w:color w:val="FFFFFF"/>
                <w:sz w:val="20"/>
                <w:szCs w:val="20"/>
              </w:rPr>
              <w:t xml:space="preserve">Speaker</w:t>
            </w:r>
          </w:p>
        </w:tc>
        <w:tc>
          <w:tcPr>
            <w:tcW w:type="dxa" w:w="5000"/>
            <w:tcBorders>
              <w:top w:val="single" w:color="C8D5C8" w:sz="4"/>
              <w:left w:val="single" w:color="C8D5C8" w:sz="4"/>
              <w:bottom w:val="single" w:color="C8D5C8" w:sz="4"/>
              <w:right w:val="single" w:color="C8D5C8" w:sz="4"/>
            </w:tcBorders>
            <w:shd w:fill="2A7A4A" w:color="auto" w:val="clear"/>
            <w:tcMar>
              <w:top w:type="dxa" w:w="80"/>
              <w:left w:type="dxa" w:w="120"/>
              <w:bottom w:type="dxa" w:w="80"/>
              <w:right w:type="dxa" w:w="120"/>
            </w:tcMar>
          </w:tcPr>
          <w:p>
            <w:r>
              <w:rPr>
                <w:b/>
                <w:bCs/>
                <w:color w:val="FFFFFF"/>
                <w:sz w:val="20"/>
                <w:szCs w:val="20"/>
              </w:rPr>
              <w:t xml:space="preserve">Slides</w:t>
            </w:r>
          </w:p>
        </w:tc>
        <w:tc>
          <w:tcPr>
            <w:tcW w:type="dxa" w:w="1826"/>
            <w:tcBorders>
              <w:top w:val="single" w:color="C8D5C8" w:sz="4"/>
              <w:left w:val="single" w:color="C8D5C8" w:sz="4"/>
              <w:bottom w:val="single" w:color="C8D5C8" w:sz="4"/>
              <w:right w:val="single" w:color="C8D5C8" w:sz="4"/>
            </w:tcBorders>
            <w:shd w:fill="2A7A4A" w:color="auto" w:val="clear"/>
            <w:tcMar>
              <w:top w:type="dxa" w:w="80"/>
              <w:left w:type="dxa" w:w="120"/>
              <w:bottom w:type="dxa" w:w="80"/>
              <w:right w:type="dxa" w:w="120"/>
            </w:tcMar>
          </w:tcPr>
          <w:p>
            <w:r>
              <w:rPr>
                <w:b/>
                <w:bCs/>
                <w:color w:val="FFFFFF"/>
                <w:sz w:val="20"/>
                <w:szCs w:val="20"/>
              </w:rPr>
              <w:t xml:space="preserve">Time</w:t>
            </w:r>
          </w:p>
        </w:tc>
      </w:tr>
      <w:tr>
        <w:trPr>
          <w:tblHeader w:val="false"/>
        </w:trPr>
        <w:tc>
          <w:tcPr>
            <w:tcW w:type="dxa" w:w="2200"/>
            <w:tcBorders>
              <w:top w:val="single" w:color="C8D5C8" w:sz="4"/>
              <w:left w:val="single" w:color="C8D5C8" w:sz="4"/>
              <w:bottom w:val="single" w:color="C8D5C8" w:sz="4"/>
              <w:right w:val="single" w:color="C8D5C8" w:sz="4"/>
            </w:tcBorders>
            <w:shd w:fill="FFFFFF" w:color="auto" w:val="clear"/>
            <w:tcMar>
              <w:top w:type="dxa" w:w="80"/>
              <w:left w:type="dxa" w:w="120"/>
              <w:bottom w:type="dxa" w:w="80"/>
              <w:right w:type="dxa" w:w="120"/>
            </w:tcMar>
          </w:tcPr>
          <w:p>
            <w:r>
              <w:rPr>
                <w:b/>
                <w:bCs/>
                <w:color w:val="2A7A4A"/>
                <w:sz w:val="20"/>
                <w:szCs w:val="20"/>
              </w:rPr>
              <w:t xml:space="preserve">Somitha Gudivada</w:t>
            </w:r>
          </w:p>
        </w:tc>
        <w:tc>
          <w:tcPr>
            <w:tcW w:type="dxa" w:w="5000"/>
            <w:tcBorders>
              <w:top w:val="single" w:color="C8D5C8" w:sz="4"/>
              <w:left w:val="single" w:color="C8D5C8" w:sz="4"/>
              <w:bottom w:val="single" w:color="C8D5C8" w:sz="4"/>
              <w:right w:val="single" w:color="C8D5C8" w:sz="4"/>
            </w:tcBorders>
            <w:shd w:fill="FFFFFF" w:color="auto" w:val="clear"/>
            <w:tcMar>
              <w:top w:type="dxa" w:w="80"/>
              <w:left w:type="dxa" w:w="120"/>
              <w:bottom w:type="dxa" w:w="80"/>
              <w:right w:type="dxa" w:w="120"/>
            </w:tcMar>
          </w:tcPr>
          <w:p>
            <w:r>
              <w:rPr>
                <w:b w:val="false"/>
                <w:bCs w:val="false"/>
                <w:color w:val="1B2E1B"/>
                <w:sz w:val="20"/>
                <w:szCs w:val="20"/>
              </w:rPr>
              <w:t xml:space="preserve">1 – 4: Title, Problem and what we delivered, Architecture, One event end to end</w:t>
            </w:r>
          </w:p>
        </w:tc>
        <w:tc>
          <w:tcPr>
            <w:tcW w:type="dxa" w:w="1826"/>
            <w:tcBorders>
              <w:top w:val="single" w:color="C8D5C8" w:sz="4"/>
              <w:left w:val="single" w:color="C8D5C8" w:sz="4"/>
              <w:bottom w:val="single" w:color="C8D5C8" w:sz="4"/>
              <w:right w:val="single" w:color="C8D5C8" w:sz="4"/>
            </w:tcBorders>
            <w:shd w:fill="FFFFFF" w:color="auto" w:val="clear"/>
            <w:tcMar>
              <w:top w:type="dxa" w:w="80"/>
              <w:left w:type="dxa" w:w="120"/>
              <w:bottom w:type="dxa" w:w="80"/>
              <w:right w:type="dxa" w:w="120"/>
            </w:tcMar>
          </w:tcPr>
          <w:p>
            <w:r>
              <w:rPr>
                <w:b w:val="false"/>
                <w:bCs w:val="false"/>
                <w:color w:val="1B2E1B"/>
                <w:sz w:val="20"/>
                <w:szCs w:val="20"/>
              </w:rPr>
              <w:t xml:space="preserve">0:00 – 2:20</w:t>
            </w:r>
          </w:p>
        </w:tc>
      </w:tr>
      <w:tr>
        <w:trPr>
          <w:tblHeader w:val="false"/>
        </w:trPr>
        <w:tc>
          <w:tcPr>
            <w:tcW w:type="dxa" w:w="2200"/>
            <w:tcBorders>
              <w:top w:val="single" w:color="C8D5C8" w:sz="4"/>
              <w:left w:val="single" w:color="C8D5C8" w:sz="4"/>
              <w:bottom w:val="single" w:color="C8D5C8" w:sz="4"/>
              <w:right w:val="single" w:color="C8D5C8" w:sz="4"/>
            </w:tcBorders>
            <w:shd w:fill="F5F6F1" w:color="auto" w:val="clear"/>
            <w:tcMar>
              <w:top w:type="dxa" w:w="80"/>
              <w:left w:type="dxa" w:w="120"/>
              <w:bottom w:type="dxa" w:w="80"/>
              <w:right w:type="dxa" w:w="120"/>
            </w:tcMar>
          </w:tcPr>
          <w:p>
            <w:r>
              <w:rPr>
                <w:b/>
                <w:bCs/>
                <w:color w:val="6A4898"/>
                <w:sz w:val="20"/>
                <w:szCs w:val="20"/>
              </w:rPr>
              <w:t xml:space="preserve">Meha</w:t>
            </w:r>
          </w:p>
        </w:tc>
        <w:tc>
          <w:tcPr>
            <w:tcW w:type="dxa" w:w="5000"/>
            <w:tcBorders>
              <w:top w:val="single" w:color="C8D5C8" w:sz="4"/>
              <w:left w:val="single" w:color="C8D5C8" w:sz="4"/>
              <w:bottom w:val="single" w:color="C8D5C8" w:sz="4"/>
              <w:right w:val="single" w:color="C8D5C8" w:sz="4"/>
            </w:tcBorders>
            <w:shd w:fill="F5F6F1" w:color="auto" w:val="clear"/>
            <w:tcMar>
              <w:top w:type="dxa" w:w="80"/>
              <w:left w:type="dxa" w:w="120"/>
              <w:bottom w:type="dxa" w:w="80"/>
              <w:right w:type="dxa" w:w="120"/>
            </w:tcMar>
          </w:tcPr>
          <w:p>
            <w:r>
              <w:rPr>
                <w:b w:val="false"/>
                <w:bCs w:val="false"/>
                <w:color w:val="1B2E1B"/>
                <w:sz w:val="20"/>
                <w:szCs w:val="20"/>
              </w:rPr>
              <w:t xml:space="preserve">5 – 7: Authentication with Cognito, Three security layers, Least privilege</w:t>
            </w:r>
          </w:p>
        </w:tc>
        <w:tc>
          <w:tcPr>
            <w:tcW w:type="dxa" w:w="1826"/>
            <w:tcBorders>
              <w:top w:val="single" w:color="C8D5C8" w:sz="4"/>
              <w:left w:val="single" w:color="C8D5C8" w:sz="4"/>
              <w:bottom w:val="single" w:color="C8D5C8" w:sz="4"/>
              <w:right w:val="single" w:color="C8D5C8" w:sz="4"/>
            </w:tcBorders>
            <w:shd w:fill="F5F6F1" w:color="auto" w:val="clear"/>
            <w:tcMar>
              <w:top w:type="dxa" w:w="80"/>
              <w:left w:type="dxa" w:w="120"/>
              <w:bottom w:type="dxa" w:w="80"/>
              <w:right w:type="dxa" w:w="120"/>
            </w:tcMar>
          </w:tcPr>
          <w:p>
            <w:r>
              <w:rPr>
                <w:b w:val="false"/>
                <w:bCs w:val="false"/>
                <w:color w:val="1B2E1B"/>
                <w:sz w:val="20"/>
                <w:szCs w:val="20"/>
              </w:rPr>
              <w:t xml:space="preserve">2:20 – 4:40</w:t>
            </w:r>
          </w:p>
        </w:tc>
      </w:tr>
      <w:tr>
        <w:trPr>
          <w:tblHeader w:val="false"/>
        </w:trPr>
        <w:tc>
          <w:tcPr>
            <w:tcW w:type="dxa" w:w="2200"/>
            <w:tcBorders>
              <w:top w:val="single" w:color="C8D5C8" w:sz="4"/>
              <w:left w:val="single" w:color="C8D5C8" w:sz="4"/>
              <w:bottom w:val="single" w:color="C8D5C8" w:sz="4"/>
              <w:right w:val="single" w:color="C8D5C8" w:sz="4"/>
            </w:tcBorders>
            <w:shd w:fill="FFFFFF" w:color="auto" w:val="clear"/>
            <w:tcMar>
              <w:top w:type="dxa" w:w="80"/>
              <w:left w:type="dxa" w:w="120"/>
              <w:bottom w:type="dxa" w:w="80"/>
              <w:right w:type="dxa" w:w="120"/>
            </w:tcMar>
          </w:tcPr>
          <w:p>
            <w:r>
              <w:rPr>
                <w:b/>
                <w:bCs/>
                <w:color w:val="3A6888"/>
                <w:sz w:val="20"/>
                <w:szCs w:val="20"/>
              </w:rPr>
              <w:t xml:space="preserve">Madhavan</w:t>
            </w:r>
          </w:p>
        </w:tc>
        <w:tc>
          <w:tcPr>
            <w:tcW w:type="dxa" w:w="5000"/>
            <w:tcBorders>
              <w:top w:val="single" w:color="C8D5C8" w:sz="4"/>
              <w:left w:val="single" w:color="C8D5C8" w:sz="4"/>
              <w:bottom w:val="single" w:color="C8D5C8" w:sz="4"/>
              <w:right w:val="single" w:color="C8D5C8" w:sz="4"/>
            </w:tcBorders>
            <w:shd w:fill="FFFFFF" w:color="auto" w:val="clear"/>
            <w:tcMar>
              <w:top w:type="dxa" w:w="80"/>
              <w:left w:type="dxa" w:w="120"/>
              <w:bottom w:type="dxa" w:w="80"/>
              <w:right w:type="dxa" w:w="120"/>
            </w:tcMar>
          </w:tcPr>
          <w:p>
            <w:r>
              <w:rPr>
                <w:b w:val="false"/>
                <w:bCs w:val="false"/>
                <w:color w:val="1B2E1B"/>
                <w:sz w:val="20"/>
                <w:szCs w:val="20"/>
              </w:rPr>
              <w:t xml:space="preserve">8 – 10: Simulator, Testing, Live demo</w:t>
            </w:r>
          </w:p>
        </w:tc>
        <w:tc>
          <w:tcPr>
            <w:tcW w:type="dxa" w:w="1826"/>
            <w:tcBorders>
              <w:top w:val="single" w:color="C8D5C8" w:sz="4"/>
              <w:left w:val="single" w:color="C8D5C8" w:sz="4"/>
              <w:bottom w:val="single" w:color="C8D5C8" w:sz="4"/>
              <w:right w:val="single" w:color="C8D5C8" w:sz="4"/>
            </w:tcBorders>
            <w:shd w:fill="FFFFFF" w:color="auto" w:val="clear"/>
            <w:tcMar>
              <w:top w:type="dxa" w:w="80"/>
              <w:left w:type="dxa" w:w="120"/>
              <w:bottom w:type="dxa" w:w="80"/>
              <w:right w:type="dxa" w:w="120"/>
            </w:tcMar>
          </w:tcPr>
          <w:p>
            <w:r>
              <w:rPr>
                <w:b w:val="false"/>
                <w:bCs w:val="false"/>
                <w:color w:val="1B2E1B"/>
                <w:sz w:val="20"/>
                <w:szCs w:val="20"/>
              </w:rPr>
              <w:t xml:space="preserve">4:40 – 7:00</w:t>
            </w:r>
          </w:p>
        </w:tc>
      </w:tr>
      <w:tr>
        <w:trPr>
          <w:tblHeader w:val="false"/>
        </w:trPr>
        <w:tc>
          <w:tcPr>
            <w:tcW w:type="dxa" w:w="2200"/>
            <w:tcBorders>
              <w:top w:val="single" w:color="C8D5C8" w:sz="4"/>
              <w:left w:val="single" w:color="C8D5C8" w:sz="4"/>
              <w:bottom w:val="single" w:color="C8D5C8" w:sz="4"/>
              <w:right w:val="single" w:color="C8D5C8" w:sz="4"/>
            </w:tcBorders>
            <w:shd w:fill="F5F6F1" w:color="auto" w:val="clear"/>
            <w:tcMar>
              <w:top w:type="dxa" w:w="80"/>
              <w:left w:type="dxa" w:w="120"/>
              <w:bottom w:type="dxa" w:w="80"/>
              <w:right w:type="dxa" w:w="120"/>
            </w:tcMar>
          </w:tcPr>
          <w:p>
            <w:r>
              <w:rPr>
                <w:b/>
                <w:bCs/>
                <w:color w:val="B05E10"/>
                <w:sz w:val="20"/>
                <w:szCs w:val="20"/>
              </w:rPr>
              <w:t xml:space="preserve">MD</w:t>
            </w:r>
          </w:p>
        </w:tc>
        <w:tc>
          <w:tcPr>
            <w:tcW w:type="dxa" w:w="5000"/>
            <w:tcBorders>
              <w:top w:val="single" w:color="C8D5C8" w:sz="4"/>
              <w:left w:val="single" w:color="C8D5C8" w:sz="4"/>
              <w:bottom w:val="single" w:color="C8D5C8" w:sz="4"/>
              <w:right w:val="single" w:color="C8D5C8" w:sz="4"/>
            </w:tcBorders>
            <w:shd w:fill="F5F6F1" w:color="auto" w:val="clear"/>
            <w:tcMar>
              <w:top w:type="dxa" w:w="80"/>
              <w:left w:type="dxa" w:w="120"/>
              <w:bottom w:type="dxa" w:w="80"/>
              <w:right w:type="dxa" w:w="120"/>
            </w:tcMar>
          </w:tcPr>
          <w:p>
            <w:r>
              <w:rPr>
                <w:b w:val="false"/>
                <w:bCs w:val="false"/>
                <w:color w:val="1B2E1B"/>
                <w:sz w:val="20"/>
                <w:szCs w:val="20"/>
              </w:rPr>
              <w:t xml:space="preserve">11 – 13: Dashboard, CloudWatch monitoring, Cost</w:t>
            </w:r>
          </w:p>
        </w:tc>
        <w:tc>
          <w:tcPr>
            <w:tcW w:type="dxa" w:w="1826"/>
            <w:tcBorders>
              <w:top w:val="single" w:color="C8D5C8" w:sz="4"/>
              <w:left w:val="single" w:color="C8D5C8" w:sz="4"/>
              <w:bottom w:val="single" w:color="C8D5C8" w:sz="4"/>
              <w:right w:val="single" w:color="C8D5C8" w:sz="4"/>
            </w:tcBorders>
            <w:shd w:fill="F5F6F1" w:color="auto" w:val="clear"/>
            <w:tcMar>
              <w:top w:type="dxa" w:w="80"/>
              <w:left w:type="dxa" w:w="120"/>
              <w:bottom w:type="dxa" w:w="80"/>
              <w:right w:type="dxa" w:w="120"/>
            </w:tcMar>
          </w:tcPr>
          <w:p>
            <w:r>
              <w:rPr>
                <w:b w:val="false"/>
                <w:bCs w:val="false"/>
                <w:color w:val="1B2E1B"/>
                <w:sz w:val="20"/>
                <w:szCs w:val="20"/>
              </w:rPr>
              <w:t xml:space="preserve">7:00 – 9:20</w:t>
            </w:r>
          </w:p>
        </w:tc>
      </w:tr>
      <w:tr>
        <w:trPr>
          <w:tblHeader w:val="false"/>
        </w:trPr>
        <w:tc>
          <w:tcPr>
            <w:tcW w:type="dxa" w:w="2200"/>
            <w:tcBorders>
              <w:top w:val="single" w:color="C8D5C8" w:sz="4"/>
              <w:left w:val="single" w:color="C8D5C8" w:sz="4"/>
              <w:bottom w:val="single" w:color="C8D5C8" w:sz="4"/>
              <w:right w:val="single" w:color="C8D5C8" w:sz="4"/>
            </w:tcBorders>
            <w:shd w:fill="FFFFFF" w:color="auto" w:val="clear"/>
            <w:tcMar>
              <w:top w:type="dxa" w:w="80"/>
              <w:left w:type="dxa" w:w="120"/>
              <w:bottom w:type="dxa" w:w="80"/>
              <w:right w:type="dxa" w:w="120"/>
            </w:tcMar>
          </w:tcPr>
          <w:p>
            <w:r>
              <w:rPr>
                <w:b/>
                <w:bCs/>
                <w:color w:val="1B2E1B"/>
                <w:sz w:val="20"/>
                <w:szCs w:val="20"/>
              </w:rPr>
              <w:t xml:space="preserve">Everyone</w:t>
            </w:r>
          </w:p>
        </w:tc>
        <w:tc>
          <w:tcPr>
            <w:tcW w:type="dxa" w:w="5000"/>
            <w:tcBorders>
              <w:top w:val="single" w:color="C8D5C8" w:sz="4"/>
              <w:left w:val="single" w:color="C8D5C8" w:sz="4"/>
              <w:bottom w:val="single" w:color="C8D5C8" w:sz="4"/>
              <w:right w:val="single" w:color="C8D5C8" w:sz="4"/>
            </w:tcBorders>
            <w:shd w:fill="FFFFFF" w:color="auto" w:val="clear"/>
            <w:tcMar>
              <w:top w:type="dxa" w:w="80"/>
              <w:left w:type="dxa" w:w="120"/>
              <w:bottom w:type="dxa" w:w="80"/>
              <w:right w:type="dxa" w:w="120"/>
            </w:tcMar>
          </w:tcPr>
          <w:p>
            <w:r>
              <w:rPr>
                <w:b w:val="false"/>
                <w:bCs w:val="false"/>
                <w:color w:val="1B2E1B"/>
                <w:sz w:val="20"/>
                <w:szCs w:val="20"/>
              </w:rPr>
              <w:t xml:space="preserve">14: What we learned and questions</w:t>
            </w:r>
          </w:p>
        </w:tc>
        <w:tc>
          <w:tcPr>
            <w:tcW w:type="dxa" w:w="1826"/>
            <w:tcBorders>
              <w:top w:val="single" w:color="C8D5C8" w:sz="4"/>
              <w:left w:val="single" w:color="C8D5C8" w:sz="4"/>
              <w:bottom w:val="single" w:color="C8D5C8" w:sz="4"/>
              <w:right w:val="single" w:color="C8D5C8" w:sz="4"/>
            </w:tcBorders>
            <w:shd w:fill="FFFFFF" w:color="auto" w:val="clear"/>
            <w:tcMar>
              <w:top w:type="dxa" w:w="80"/>
              <w:left w:type="dxa" w:w="120"/>
              <w:bottom w:type="dxa" w:w="80"/>
              <w:right w:type="dxa" w:w="120"/>
            </w:tcMar>
          </w:tcPr>
          <w:p>
            <w:r>
              <w:rPr>
                <w:b w:val="false"/>
                <w:bCs w:val="false"/>
                <w:color w:val="1B2E1B"/>
                <w:sz w:val="20"/>
                <w:szCs w:val="20"/>
              </w:rPr>
              <w:t xml:space="preserve">9:20 – 10:00</w:t>
            </w:r>
          </w:p>
        </w:tc>
      </w:tr>
    </w:tbl>
    <w:p>
      <w:pPr>
        <w:pStyle w:val="Heading1"/>
      </w:pPr>
      <w:r>
        <w:rPr>
          <w:color w:val="2A7A4A"/>
        </w:rPr>
        <w:t xml:space="preserve">SOMITHA  ·  slides 1 to 4</w:t>
      </w:r>
    </w:p>
    <w:p>
      <w:pPr>
        <w:pStyle w:val="Heading2"/>
      </w:pPr>
      <w:r>
        <w:rPr>
          <w:color w:val="2A7A4A"/>
        </w:rPr>
        <w:t xml:space="preserve">Slide 1 · Title (15 s)</w:t>
      </w:r>
    </w:p>
    <w:p>
      <w:pPr>
        <w:spacing w:after="160" w:line="300"/>
      </w:pPr>
      <w:r>
        <w:t xml:space="preserve">Good morning. We are Team 4, and this is CampusPulse 2026, a platform that monitors a university campus in real time. It is deployed on AWS in Paris, and every number today comes from the running system. Each of us built one part and will present it: I cover architecture and ingestion, Meha security, Madhavan the simulator, tests and demo, and MD the dashboard, monitoring and cost.</w:t>
      </w:r>
    </w:p>
    <w:p>
      <w:pPr>
        <w:pStyle w:val="Heading2"/>
      </w:pPr>
      <w:r>
        <w:rPr>
          <w:color w:val="2A7A4A"/>
        </w:rPr>
        <w:t xml:space="preserve">Slide 2 · The problem and what we delivered (30 s)</w:t>
      </w:r>
    </w:p>
    <w:p>
      <w:pPr>
        <w:spacing w:after="160" w:line="300"/>
      </w:pPr>
      <w:r>
        <w:t xml:space="preserve">A campus produces thousands of readings a day. Individually they mean nothing; the operations team only needs answers to the four questions on the left. CampusPulse answers them automatically. We delivered a working system: seven API endpoints, five Lambda functions, sixty-one AWS resources in Terraform, and a hundred and seventy-six automated checks, all passing, on a simulated campus of five buildings and eleven rooms.</w:t>
      </w:r>
    </w:p>
    <w:p>
      <w:pPr>
        <w:pStyle w:val="Heading2"/>
      </w:pPr>
      <w:r>
        <w:rPr>
          <w:color w:val="2A7A4A"/>
        </w:rPr>
        <w:t xml:space="preserve">Slide 3 · Solution architecture (45 s)</w:t>
      </w:r>
    </w:p>
    <w:p>
      <w:pPr>
        <w:spacing w:after="160" w:line="300"/>
      </w:pPr>
      <w:r>
        <w:t xml:space="preserve">This is the deployed system. Users load the dashboard from S3 (1). All API calls, from the browser (2) or the simulator (3), enter through API Gateway, whose JWT authorizer checks the token against Cognito before our code runs (4). Each route goes to one of five small Lambdas (5). cp-ingest writes to DynamoDB (6), query and stats only read (7), and cp-auth talks to Cognito (8). Everything logs to CloudWatch (9). We chose serverless because our load is bursty and our budget fixed: an idle Lambda costs nothing, while a private network would need a NAT Gateway at about thirty-two dollars a month.</w:t>
      </w:r>
    </w:p>
    <w:p>
      <w:pPr>
        <w:pStyle w:val="Heading2"/>
      </w:pPr>
      <w:r>
        <w:rPr>
          <w:color w:val="2A7A4A"/>
        </w:rPr>
        <w:t xml:space="preserve">Slide 4 · One event, end to end (45 s)</w:t>
      </w:r>
    </w:p>
    <w:p>
      <w:pPr>
        <w:spacing w:after="160" w:line="300"/>
      </w:pPr>
      <w:r>
        <w:t xml:space="preserve">Here is one real event. The simulator reports fifty-eight people in room A203 and labels it normal. cp-ingest validates every field, then discards the client's severity and recomputes it: the room holds forty-five, fifty-eight is a hundred and twenty-nine per cent, above the hundred-and-twenty threshold, so it is stored as critical. A sensor must never be able to declare itself normal. On the right, the data model: one table keyed by day and time, a building index, and a sparse index that contains only alerts. There is no Scan anywhere. Meha will explain who is allowed to send that event.</w:t>
      </w:r>
    </w:p>
    <w:p>
      <w:pPr>
        <w:pStyle w:val="Heading1"/>
      </w:pPr>
      <w:r>
        <w:rPr>
          <w:color w:val="6A4898"/>
        </w:rPr>
        <w:t xml:space="preserve">MEHA  ·  slides 5 to 7</w:t>
      </w:r>
    </w:p>
    <w:p>
      <w:pPr>
        <w:pStyle w:val="Heading2"/>
      </w:pPr>
      <w:r>
        <w:rPr>
          <w:color w:val="6A4898"/>
        </w:rPr>
        <w:t xml:space="preserve">Slide 5 · Authentication with Amazon Cognito (40 s)</w:t>
      </w:r>
    </w:p>
    <w:p>
      <w:pPr>
        <w:spacing w:after="160" w:line="300"/>
      </w:pPr>
      <w:r>
        <w:t xml:space="preserve">Thank you. Identity is handled by Amazon Cognito. A user, or the simulator, sends an email and password to POST /login. My function, cp-auth, passes them to Cognito, which checks the password, so our code never stores one. Cognito returns a JWT valid for sixty minutes that carries the user's group. Deliberate choices: users are created by an admin only; a wrong password and an unknown user get the same error, so nobody can probe which emails exist; and we chose the Essentials tier because it has ten thousand free monthly users, while Plus has none.</w:t>
      </w:r>
    </w:p>
    <w:p>
      <w:pPr>
        <w:pStyle w:val="Heading2"/>
      </w:pPr>
      <w:r>
        <w:rPr>
          <w:color w:val="6A4898"/>
        </w:rPr>
        <w:t xml:space="preserve">Slide 6 · Three independent security layers (50 s)</w:t>
      </w:r>
    </w:p>
    <w:p>
      <w:pPr>
        <w:spacing w:after="160" w:line="300"/>
      </w:pPr>
      <w:r>
        <w:t xml:space="preserve">Every request passes three independent layers. First, the JWT authorizer: a missing or forged token gets a 401 before any Lambda runs, so fake tokens cost us nothing. Second, the function checks the group in the token: the wrong role gets a 403. 401 means we do not know you; 403 means we know you and the answer is still no. Third, IAM limits what each function can touch. The table shows the two roles really differ: staff cannot submit events or read alerts. On the right is real output from our deployed API: 401 without a token, 403 for staff on alerts, 200 on events.</w:t>
      </w:r>
    </w:p>
    <w:p>
      <w:pPr>
        <w:pStyle w:val="Heading2"/>
      </w:pPr>
      <w:r>
        <w:rPr>
          <w:color w:val="6A4898"/>
        </w:rPr>
        <w:t xml:space="preserve">Slide 7 · Least privilege, audited (40 s)</w:t>
      </w:r>
    </w:p>
    <w:p>
      <w:pPr>
        <w:spacing w:after="160" w:line="300"/>
      </w:pPr>
      <w:r>
        <w:t xml:space="preserve">Least privilege in practice: five functions, five roles. cp-ingest, the one facing the internet, can write to one table and cannot read anything; the query functions read but never write; cp-auth only calls Cognito. We audited it: every AWS call in the code against every permission granted, an exact match. Nobody may Scan, and there are no AWS keys in the code. On the right, the IAM policy simulator on the deployed ingest role: PutItem allowed, everything else denied. Madhavan will now show where the events come from.</w:t>
      </w:r>
    </w:p>
    <w:p>
      <w:pPr>
        <w:pStyle w:val="Heading1"/>
      </w:pPr>
      <w:r>
        <w:rPr>
          <w:color w:val="3A6888"/>
        </w:rPr>
        <w:t xml:space="preserve">MADHAVAN  ·  slides 8 to 10</w:t>
      </w:r>
    </w:p>
    <w:p>
      <w:pPr>
        <w:pStyle w:val="Heading2"/>
      </w:pPr>
      <w:r>
        <w:rPr>
          <w:color w:val="3A6888"/>
        </w:rPr>
        <w:t xml:space="preserve">Slide 8 · The campus simulator (40 s)</w:t>
      </w:r>
    </w:p>
    <w:p>
      <w:pPr>
        <w:spacing w:after="160" w:line="300"/>
      </w:pPr>
      <w:r>
        <w:t xml:space="preserve">Thank you. With no real sensors, I built a simulator that plays the campus devices. It logs in through Cognito like a user, keeps its token fresh, and sends readings for all five buildings and eleven rooms, with a controllable share of anomalies. It uses only the Python standard library, so nothing can fail to install on demo day, and it refuses to send faster than every half second, to protect our budget. One real bug: force-alert used a range that straddled the critical threshold, so a forced alert sometimes arrived as a warning. We fixed the range and verified it over three hundred events.</w:t>
      </w:r>
    </w:p>
    <w:p>
      <w:pPr>
        <w:pStyle w:val="Heading2"/>
      </w:pPr>
      <w:r>
        <w:rPr>
          <w:color w:val="3A6888"/>
        </w:rPr>
        <w:t xml:space="preserve">Slide 9 · Testing: 176 checks, 0 failures (45 s)</w:t>
      </w:r>
    </w:p>
    <w:p>
      <w:pPr>
        <w:spacing w:after="160" w:line="300"/>
      </w:pPr>
      <w:r>
        <w:t xml:space="preserve">We test in two layers. A hundred and thirty-one unit tests run in about a second with no AWS account, because the business logic contains no cloud code. Two are design guarantees: no query we build can become a table scan, and a thousand simulated events pass through the real validator. Then forty-five API checks run against the live system for what unit tests cannot see: routing, permissions and tokens. All passed on the fifth of October. The key ones: staff gets 403 on alerts, and an over-capacity event comes back critical even when the client says normal.</w:t>
      </w:r>
    </w:p>
    <w:p>
      <w:pPr>
        <w:pStyle w:val="Heading2"/>
      </w:pPr>
      <w:r>
        <w:rPr>
          <w:color w:val="3A6888"/>
        </w:rPr>
        <w:t xml:space="preserve">Slide 10 · Live demo (55 s, mostly the demo)</w:t>
      </w:r>
    </w:p>
    <w:p>
      <w:pPr>
        <w:spacing w:after="160" w:line="300"/>
      </w:pPr>
      <w:r>
        <w:t xml:space="preserve">[1] The dashboard is open, signed in as ops. [2] I start the simulator; readings stream in and the tiles update within ten seconds. [3] Now I force one alert: the simulator sends one reading pushed well past the critical threshold, while the client still labels it normal. A red critical row appears with the reason in plain words. [4] I sign in as staff: the alerts panel disappears, and the API returns 403 on that route. Hiding the panel is convenience; the 403 is the control. If the network fails, we switch to the backup video. MD, over to you.</w:t>
      </w:r>
    </w:p>
    <w:p>
      <w:pPr>
        <w:pStyle w:val="Heading1"/>
      </w:pPr>
      <w:r>
        <w:rPr>
          <w:color w:val="B05E10"/>
        </w:rPr>
        <w:t xml:space="preserve">MD  ·  slides 11 to 13</w:t>
      </w:r>
    </w:p>
    <w:p>
      <w:pPr>
        <w:pStyle w:val="Heading2"/>
      </w:pPr>
      <w:r>
        <w:rPr>
          <w:color w:val="B05E10"/>
        </w:rPr>
        <w:t xml:space="preserve">Slide 11 · The operations dashboard (40 s)</w:t>
      </w:r>
    </w:p>
    <w:p>
      <w:pPr>
        <w:spacing w:after="160" w:line="300"/>
      </w:pPr>
      <w:r>
        <w:t xml:space="preserve">Thank you. This is the dashboard the operations team uses, with real data from our deployment: five tiles, active alerts with their reasons, occupancy against capacity, and energy by building. It is plain HTML, CSS and JavaScript. It polls every ten seconds but stops when the tab is hidden or idle for fifteen minutes, because a forgotten tab would make about seventeen thousand paid requests a day. The page holds no data, so it can sit in a public S3 bucket safely. One lesson: the login form once rendered under the dashboard; every test passed, and we only found it by looking.</w:t>
      </w:r>
    </w:p>
    <w:p>
      <w:pPr>
        <w:pStyle w:val="Heading2"/>
      </w:pPr>
      <w:r>
        <w:rPr>
          <w:color w:val="B05E10"/>
        </w:rPr>
        <w:t xml:space="preserve">Slide 12 · Observability with Amazon CloudWatch (40 s)</w:t>
      </w:r>
    </w:p>
    <w:p>
      <w:pPr>
        <w:spacing w:after="160" w:line="300"/>
      </w:pPr>
      <w:r>
        <w:t xml:space="preserve">To watch the system itself we use CloudWatch. Every function writes structured JSON logs with a request id that also appears in the API access log, so one id ties an error to its whole story. Our metrics come straight out of those log lines with Embedded Metric Format, with no extra API calls. Under simulator load, p95 latency was 133 milliseconds. Four alarms: two watch the system, one watches the campus for a burst of alerts, and one watches the budget, because a runaway loop is a spending problem before it is a technical one.</w:t>
      </w:r>
    </w:p>
    <w:p>
      <w:pPr>
        <w:pStyle w:val="Heading2"/>
      </w:pPr>
      <w:r>
        <w:rPr>
          <w:color w:val="B05E10"/>
        </w:rPr>
        <w:t xml:space="preserve">Slide 13 · Cost: measured, not guessed (45 s)</w:t>
      </w:r>
    </w:p>
    <w:p>
      <w:pPr>
        <w:spacing w:after="160" w:line="300"/>
      </w:pPr>
      <w:r>
        <w:t xml:space="preserve">Cost, with real numbers from the billing console. This month our budget shows a dollar ninety-eight billed against a ten-dollar limit. The credits page shows about fourteen dollars of estimated usage out of a hundred and sixty; that covers the whole account, which also holds other coursework. The forecast alert has already fired, so we know the alarm works. The biggest saving is architectural: no VPC means no NAT Gateway, about thirty-two dollars a month avoided. Nothing in this design bills by the hour. To close, one lesson from each of us.</w:t>
      </w:r>
    </w:p>
    <w:p>
      <w:pPr>
        <w:pStyle w:val="Heading1"/>
      </w:pPr>
      <w:r>
        <w:rPr>
          <w:color w:val="1B2E1B"/>
        </w:rPr>
        <w:t xml:space="preserve">EVERYONE  ·  slide 14 · What we learned (40 s), then slide 15 · Thank you</w:t>
      </w:r>
    </w:p>
    <w:p>
      <w:pPr>
        <w:pStyle w:val="ListParagraph"/>
        <w:numPr>
          <w:ilvl w:val="0"/>
          <w:numId w:val="2"/>
        </w:numPr>
        <w:spacing w:after="100"/>
      </w:pPr>
      <w:r>
        <w:rPr>
          <w:b/>
          <w:bCs/>
        </w:rPr>
        <w:t xml:space="preserve">Somitha:</w:t>
      </w:r>
      <w:r>
        <w:t xml:space="preserve"> A careful data model shapes every query after it; our partition key and TTL decided our speed and our cost.</w:t>
      </w:r>
    </w:p>
    <w:p>
      <w:pPr>
        <w:pStyle w:val="ListParagraph"/>
        <w:numPr>
          <w:ilvl w:val="0"/>
          <w:numId w:val="2"/>
        </w:numPr>
        <w:spacing w:after="100"/>
      </w:pPr>
      <w:r>
        <w:rPr>
          <w:b/>
          <w:bCs/>
        </w:rPr>
        <w:t xml:space="preserve">Meha:</w:t>
      </w:r>
      <w:r>
        <w:t xml:space="preserve"> Authentication working is not authorization being correct; we audited every route.</w:t>
      </w:r>
    </w:p>
    <w:p>
      <w:pPr>
        <w:pStyle w:val="ListParagraph"/>
        <w:numPr>
          <w:ilvl w:val="0"/>
          <w:numId w:val="2"/>
        </w:numPr>
        <w:spacing w:after="100"/>
      </w:pPr>
      <w:r>
        <w:rPr>
          <w:b/>
          <w:bCs/>
        </w:rPr>
        <w:t xml:space="preserve">Madhavan:</w:t>
      </w:r>
      <w:r>
        <w:t xml:space="preserve"> Testing against the live API found three validation gaps unit tests missed.</w:t>
      </w:r>
    </w:p>
    <w:p>
      <w:pPr>
        <w:pStyle w:val="ListParagraph"/>
        <w:numPr>
          <w:ilvl w:val="0"/>
          <w:numId w:val="2"/>
        </w:numPr>
        <w:spacing w:after="100"/>
      </w:pPr>
      <w:r>
        <w:rPr>
          <w:b/>
          <w:bCs/>
        </w:rPr>
        <w:t xml:space="preserve">MD:</w:t>
      </w:r>
      <w:r>
        <w:t xml:space="preserve"> Some bugs only exist visually; we found one by looking at the page.</w:t>
      </w:r>
    </w:p>
    <w:p>
      <w:pPr>
        <w:pStyle w:val="ListParagraph"/>
        <w:numPr>
          <w:ilvl w:val="0"/>
          <w:numId w:val="2"/>
        </w:numPr>
        <w:spacing w:after="100"/>
      </w:pPr>
      <w:r>
        <w:rPr>
          <w:b/>
          <w:bCs/>
        </w:rPr>
        <w:t xml:space="preserve">Somitha (close):</w:t>
      </w:r>
      <w:r>
        <w:t xml:space="preserve"> Our limits are stated: one region, a write ceiling with a designed fix, threshold rules rather than machine learning. Thank you, we are happy to take questions.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E6E5E"/>
        <w:sz w:val="18"/>
        <w:szCs w:val="18"/>
      </w:rPr>
      <w:t xml:space="preserve">CampusPulse 2026 · Speaking script · page </w:t>
    </w:r>
    <w:r>
      <w:rPr>
        <w:color w:val="5E6E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E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mbria" w:cs="Cambria" w:eastAsia="Cambria" w:hAnsi="Cambria"/>
      <w:b/>
      <w:bCs/>
      <w:color w:val="2A7A4A"/>
      <w:sz w:val="44"/>
      <w:szCs w:val="44"/>
    </w:rPr>
  </w:style>
  <w:style w:type="paragraph" w:styleId="Heading1">
    <w:name w:val="Heading 1"/>
    <w:basedOn w:val="Normal"/>
    <w:next w:val="Normal"/>
    <w:qFormat/>
    <w:pPr>
      <w:spacing w:after="160" w:before="400"/>
      <w:outlineLvl w:val="0"/>
    </w:pPr>
    <w:rPr>
      <w:rFonts w:ascii="Cambria" w:cs="Cambria" w:eastAsia="Cambria" w:hAnsi="Cambria"/>
      <w:b/>
      <w:bCs/>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CampusPulse 2026 — Speaking Script</dc:title>
  <dc:creator>Team 4</dc:creator>
  <cp:lastModifiedBy>Un-named</cp:lastModifiedBy>
  <cp:revision>1</cp:revision>
  <dcterms:created xsi:type="dcterms:W3CDTF">2026-10-09T18:51:43.275Z</dcterms:created>
  <dcterms:modified xsi:type="dcterms:W3CDTF">2026-10-09T18:51:43.275Z</dcterms:modified>
</cp:coreProperties>
</file>

<file path=docProps/custom.xml><?xml version="1.0" encoding="utf-8"?>
<Properties xmlns="http://schemas.openxmlformats.org/officeDocument/2006/custom-properties" xmlns:vt="http://schemas.openxmlformats.org/officeDocument/2006/docPropsVTypes"/>
</file>