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Somitha Gudivada — Architecture &amp; Ingestion</w:t>
      </w:r>
    </w:p>
    <w:p>
      <w:pPr>
        <w:spacing w:after="60" w:before="60"/>
      </w:pPr>
      <w:r>
        <w:rPr>
          <w:b/>
          <w:bCs/>
          <w:sz w:val="22"/>
          <w:szCs w:val="22"/>
        </w:rPr>
        <w:t xml:space="preserve">Role: </w:t>
      </w:r>
      <w:r>
        <w:rPr>
          <w:sz w:val="22"/>
          <w:szCs w:val="22"/>
        </w:rPr>
        <w:t xml:space="preserve">Architecture Design, Ingestion Pipeline, Data Model, Terraform, AWS Setup</w:t>
      </w:r>
    </w:p>
    <w:p>
      <w:pPr>
        <w:spacing w:after="60" w:before="60"/>
      </w:pPr>
      <w:r>
        <w:rPr>
          <w:b/>
          <w:bCs/>
          <w:sz w:val="22"/>
          <w:szCs w:val="22"/>
        </w:rPr>
        <w:t xml:space="preserve">Components Owned: </w:t>
      </w:r>
      <w:r>
        <w:rPr>
          <w:sz w:val="22"/>
          <w:szCs w:val="22"/>
        </w:rPr>
        <w:t xml:space="preserve">cp-ingest, cp-stats, common/rules.py, common/validation.py, common/aggregate.py</w:t>
      </w:r>
    </w:p>
    <w:p/>
    <w:p>
      <w:pPr>
        <w:pStyle w:val="Heading2"/>
        <w:spacing w:after="100" w:before="300"/>
      </w:pPr>
      <w:r>
        <w:t xml:space="preserve">Area Overview</w:t>
      </w:r>
    </w:p>
    <w:p>
      <w:pPr>
        <w:spacing w:after="80" w:before="80"/>
      </w:pPr>
      <w:r>
        <w:rPr>
          <w:b w:val="false"/>
          <w:bCs w:val="false"/>
          <w:sz w:val="22"/>
          <w:szCs w:val="22"/>
        </w:rPr>
        <w:t xml:space="preserve">Somitha owns the backbone of the system: the data model that shapes every query, the ingestion function that receives and classifies every event, the statistics aggregator, and the Terraform configuration that deploys all 61 resources to AWS.</w:t>
      </w:r>
    </w:p>
    <w:p/>
    <w:p>
      <w:pPr>
        <w:pStyle w:val="Heading2"/>
        <w:spacing w:after="100" w:before="300"/>
      </w:pPr>
      <w:r>
        <w:t xml:space="preserve">Components in Detail</w:t>
      </w:r>
    </w:p>
    <w:p>
      <w:pPr>
        <w:pStyle w:val="Heading3"/>
        <w:spacing w:after="80" w:before="200"/>
      </w:pPr>
      <w:r>
        <w:t xml:space="preserve">cp-ingest (Lambda)</w:t>
      </w:r>
    </w:p>
    <w:p>
      <w:pPr>
        <w:spacing w:after="80" w:before="80"/>
      </w:pPr>
      <w:r>
        <w:rPr>
          <w:b w:val="false"/>
          <w:bCs w:val="false"/>
          <w:sz w:val="22"/>
          <w:szCs w:val="22"/>
        </w:rPr>
        <w:t xml:space="preserve">The internet-facing function. Receives POST /events from the simulator, validates every field, recomputes severity (discards the client's value), writes to DynamoDB, and emits CloudWatch metrics via EMF.</w:t>
      </w:r>
    </w:p>
    <w:p>
      <w:pPr>
        <w:pStyle w:val="ListParagraph"/>
        <w:numPr>
          <w:ilvl w:val="0"/>
          <w:numId w:val="1"/>
        </w:numPr>
        <w:spacing w:after="40" w:before="40"/>
      </w:pPr>
      <w:r>
        <w:rPr>
          <w:sz w:val="22"/>
          <w:szCs w:val="22"/>
        </w:rPr>
        <w:t xml:space="preserve">Validates: event_id, building, room, event_type, value, unit, timestamp, severity</w:t>
      </w:r>
    </w:p>
    <w:p>
      <w:pPr>
        <w:pStyle w:val="ListParagraph"/>
        <w:numPr>
          <w:ilvl w:val="0"/>
          <w:numId w:val="1"/>
        </w:numPr>
        <w:spacing w:after="40" w:before="40"/>
      </w:pPr>
      <w:r>
        <w:rPr>
          <w:sz w:val="22"/>
          <w:szCs w:val="22"/>
        </w:rPr>
        <w:t xml:space="preserve">Rejects: missing fields, wrong types, out-of-range values, future/old timestamps, unknown rooms</w:t>
      </w:r>
    </w:p>
    <w:p>
      <w:pPr>
        <w:pStyle w:val="ListParagraph"/>
        <w:numPr>
          <w:ilvl w:val="0"/>
          <w:numId w:val="1"/>
        </w:numPr>
        <w:spacing w:after="40" w:before="40"/>
      </w:pPr>
      <w:r>
        <w:rPr>
          <w:sz w:val="22"/>
          <w:szCs w:val="22"/>
        </w:rPr>
        <w:t xml:space="preserve">Severity recomputation: the client's severity field is IGNORED — cp-ingest decides severity from the value</w:t>
      </w:r>
    </w:p>
    <w:p>
      <w:pPr>
        <w:pStyle w:val="ListParagraph"/>
        <w:numPr>
          <w:ilvl w:val="0"/>
          <w:numId w:val="1"/>
        </w:numPr>
        <w:spacing w:after="40" w:before="40"/>
      </w:pPr>
      <w:r>
        <w:rPr>
          <w:sz w:val="22"/>
          <w:szCs w:val="22"/>
        </w:rPr>
        <w:t xml:space="preserve">IAM: can PutItem on the events table ONLY — cannot read, cannot write to S3 or logs bucket</w:t>
      </w:r>
    </w:p>
    <w:p/>
    <w:p>
      <w:pPr>
        <w:pStyle w:val="Heading3"/>
        <w:spacing w:after="80" w:before="200"/>
      </w:pPr>
      <w:r>
        <w:t xml:space="preserve">cp-stats (Lambda)</w:t>
      </w:r>
    </w:p>
    <w:p>
      <w:pPr>
        <w:spacing w:after="80" w:before="80"/>
      </w:pPr>
      <w:r>
        <w:rPr>
          <w:b w:val="false"/>
          <w:bCs w:val="false"/>
          <w:sz w:val="22"/>
          <w:szCs w:val="22"/>
        </w:rPr>
        <w:t xml:space="preserve">Aggregates a day's events into operational statistics. Reads from DynamoDB, groups by building and room, computes counts and energy totals. Called by GET /stats.</w:t>
      </w:r>
    </w:p>
    <w:p>
      <w:pPr>
        <w:pStyle w:val="ListParagraph"/>
        <w:numPr>
          <w:ilvl w:val="0"/>
          <w:numId w:val="1"/>
        </w:numPr>
        <w:spacing w:after="40" w:before="40"/>
      </w:pPr>
      <w:r>
        <w:rPr>
          <w:sz w:val="22"/>
          <w:szCs w:val="22"/>
        </w:rPr>
        <w:t xml:space="preserve">Uses dynamodb:Query on the main table (partition key = DAY#&lt;date&gt;)</w:t>
      </w:r>
    </w:p>
    <w:p>
      <w:pPr>
        <w:pStyle w:val="ListParagraph"/>
        <w:numPr>
          <w:ilvl w:val="0"/>
          <w:numId w:val="1"/>
        </w:numPr>
        <w:spacing w:after="40" w:before="40"/>
      </w:pPr>
      <w:r>
        <w:rPr>
          <w:sz w:val="22"/>
          <w:szCs w:val="22"/>
        </w:rPr>
        <w:t xml:space="preserve">Truncates at 10 pages to bound memory and latency</w:t>
      </w:r>
    </w:p>
    <w:p>
      <w:pPr>
        <w:pStyle w:val="ListParagraph"/>
        <w:numPr>
          <w:ilvl w:val="0"/>
          <w:numId w:val="1"/>
        </w:numPr>
        <w:spacing w:after="40" w:before="40"/>
      </w:pPr>
      <w:r>
        <w:rPr>
          <w:sz w:val="22"/>
          <w:szCs w:val="22"/>
        </w:rPr>
        <w:t xml:space="preserve">Returns truncated: true if more data exists</w:t>
      </w:r>
    </w:p>
    <w:p/>
    <w:p>
      <w:pPr>
        <w:pStyle w:val="Heading3"/>
        <w:spacing w:after="80" w:before="200"/>
      </w:pPr>
      <w:r>
        <w:t xml:space="preserve">common/validation.py</w:t>
      </w:r>
    </w:p>
    <w:p>
      <w:pPr>
        <w:spacing w:after="80" w:before="80"/>
      </w:pPr>
      <w:r>
        <w:rPr>
          <w:b w:val="false"/>
          <w:bCs w:val="false"/>
          <w:sz w:val="22"/>
          <w:szCs w:val="22"/>
        </w:rPr>
        <w:t xml:space="preserve">30 unit tests cover every validation rule. Accepts valid events across all 6 types; rejects every category of invalid input including wrong units, implausible values, and timestamp windows.</w:t>
      </w:r>
    </w:p>
    <w:p/>
    <w:p>
      <w:pPr>
        <w:pStyle w:val="Heading3"/>
        <w:spacing w:after="80" w:before="200"/>
      </w:pPr>
      <w:r>
        <w:t xml:space="preserve">common/rules.py</w:t>
      </w:r>
    </w:p>
    <w:p>
      <w:pPr>
        <w:spacing w:after="80" w:before="80"/>
      </w:pPr>
      <w:r>
        <w:rPr>
          <w:b w:val="false"/>
          <w:bCs w:val="false"/>
          <w:sz w:val="22"/>
          <w:szCs w:val="22"/>
        </w:rPr>
        <w:t xml:space="preserve">37 unit tests covering both sides of every severity threshold. Thresholds are defined once and used everywhere — the simulator uses the same thresholds to generate realistic anomalies.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W w:type="dxa" w:w="2400"/>
            <w:shd w:fill="2E74B5" w:val="clear"/>
          </w:tcPr>
          <w:p>
            <w:r>
              <w:rPr>
                <w:b/>
                <w:bCs/>
                <w:color w:val="FFFFFF"/>
                <w:sz w:val="20"/>
                <w:szCs w:val="20"/>
              </w:rPr>
              <w:t xml:space="preserve">Event Type</w:t>
            </w:r>
          </w:p>
        </w:tc>
        <w:tc>
          <w:tcPr>
            <w:tcW w:type="dxa" w:w="2400"/>
            <w:shd w:fill="2E74B5" w:val="clear"/>
          </w:tcPr>
          <w:p>
            <w:r>
              <w:rPr>
                <w:b/>
                <w:bCs/>
                <w:color w:val="FFFFFF"/>
                <w:sz w:val="20"/>
                <w:szCs w:val="20"/>
              </w:rPr>
              <w:t xml:space="preserve">Warning Threshold</w:t>
            </w:r>
          </w:p>
        </w:tc>
        <w:tc>
          <w:tcPr>
            <w:tcW w:type="dxa" w:w="2400"/>
            <w:shd w:fill="2E74B5" w:val="clear"/>
          </w:tcPr>
          <w:p>
            <w:r>
              <w:rPr>
                <w:b/>
                <w:bCs/>
                <w:color w:val="FFFFFF"/>
                <w:sz w:val="20"/>
                <w:szCs w:val="20"/>
              </w:rPr>
              <w:t xml:space="preserve">Critical Threshold</w:t>
            </w:r>
          </w:p>
        </w:tc>
      </w:tr>
      <w:tr>
        <w:tc>
          <w:tcPr>
            <w:tcW w:type="dxa" w:w="2400"/>
            <w:shd w:fill="FFFFFF" w:val="clear"/>
          </w:tcPr>
          <w:p>
            <w:r>
              <w:rPr>
                <w:sz w:val="20"/>
                <w:szCs w:val="20"/>
              </w:rPr>
              <w:t xml:space="preserve">Occupancy</w:t>
            </w:r>
          </w:p>
        </w:tc>
        <w:tc>
          <w:tcPr>
            <w:tcW w:type="dxa" w:w="2400"/>
            <w:shd w:fill="FFFFFF" w:val="clear"/>
          </w:tcPr>
          <w:p>
            <w:r>
              <w:rPr>
                <w:sz w:val="20"/>
                <w:szCs w:val="20"/>
              </w:rPr>
              <w:t xml:space="preserve">&gt; 100% of capacity</w:t>
            </w:r>
          </w:p>
        </w:tc>
        <w:tc>
          <w:tcPr>
            <w:tcW w:type="dxa" w:w="2400"/>
            <w:shd w:fill="FFFFFF" w:val="clear"/>
          </w:tcPr>
          <w:p>
            <w:r>
              <w:rPr>
                <w:sz w:val="20"/>
                <w:szCs w:val="20"/>
              </w:rPr>
              <w:t xml:space="preserve">&gt; 120% of capacity</w:t>
            </w:r>
          </w:p>
        </w:tc>
      </w:tr>
      <w:tr>
        <w:tc>
          <w:tcPr>
            <w:tcW w:type="dxa" w:w="2400"/>
            <w:shd w:fill="EBF3FB" w:val="clear"/>
          </w:tcPr>
          <w:p>
            <w:r>
              <w:rPr>
                <w:sz w:val="20"/>
                <w:szCs w:val="20"/>
              </w:rPr>
              <w:t xml:space="preserve">Temperature</w:t>
            </w:r>
          </w:p>
        </w:tc>
        <w:tc>
          <w:tcPr>
            <w:tcW w:type="dxa" w:w="2400"/>
            <w:shd w:fill="EBF3FB" w:val="clear"/>
          </w:tcPr>
          <w:p>
            <w:r>
              <w:rPr>
                <w:sz w:val="20"/>
                <w:szCs w:val="20"/>
              </w:rPr>
              <w:t xml:space="preserve">&lt; 15°C or &gt; 30°C</w:t>
            </w:r>
          </w:p>
        </w:tc>
        <w:tc>
          <w:tcPr>
            <w:tcW w:type="dxa" w:w="2400"/>
            <w:shd w:fill="EBF3FB" w:val="clear"/>
          </w:tcPr>
          <w:p>
            <w:r>
              <w:rPr>
                <w:sz w:val="20"/>
                <w:szCs w:val="20"/>
              </w:rPr>
              <w:t xml:space="preserve">&lt; 10°C or &gt; 35°C</w:t>
            </w:r>
          </w:p>
        </w:tc>
      </w:tr>
      <w:tr>
        <w:tc>
          <w:tcPr>
            <w:tcW w:type="dxa" w:w="2400"/>
            <w:shd w:fill="FFFFFF" w:val="clear"/>
          </w:tcPr>
          <w:p>
            <w:r>
              <w:rPr>
                <w:sz w:val="20"/>
                <w:szCs w:val="20"/>
              </w:rPr>
              <w:t xml:space="preserve">Humidity</w:t>
            </w:r>
          </w:p>
        </w:tc>
        <w:tc>
          <w:tcPr>
            <w:tcW w:type="dxa" w:w="2400"/>
            <w:shd w:fill="FFFFFF" w:val="clear"/>
          </w:tcPr>
          <w:p>
            <w:r>
              <w:rPr>
                <w:sz w:val="20"/>
                <w:szCs w:val="20"/>
              </w:rPr>
              <w:t xml:space="preserve">&lt; 30% or &gt; 70%</w:t>
            </w:r>
          </w:p>
        </w:tc>
        <w:tc>
          <w:tcPr>
            <w:tcW w:type="dxa" w:w="2400"/>
            <w:shd w:fill="FFFFFF" w:val="clear"/>
          </w:tcPr>
          <w:p>
            <w:r>
              <w:rPr>
                <w:sz w:val="20"/>
                <w:szCs w:val="20"/>
              </w:rPr>
              <w:t xml:space="preserve">&lt; 20% or &gt; 80%</w:t>
            </w:r>
          </w:p>
        </w:tc>
      </w:tr>
      <w:tr>
        <w:tc>
          <w:tcPr>
            <w:tcW w:type="dxa" w:w="2400"/>
            <w:shd w:fill="EBF3FB" w:val="clear"/>
          </w:tcPr>
          <w:p>
            <w:r>
              <w:rPr>
                <w:sz w:val="20"/>
                <w:szCs w:val="20"/>
              </w:rPr>
              <w:t xml:space="preserve">Energy</w:t>
            </w:r>
          </w:p>
        </w:tc>
        <w:tc>
          <w:tcPr>
            <w:tcW w:type="dxa" w:w="2400"/>
            <w:shd w:fill="EBF3FB" w:val="clear"/>
          </w:tcPr>
          <w:p>
            <w:r>
              <w:rPr>
                <w:sz w:val="20"/>
                <w:szCs w:val="20"/>
              </w:rPr>
              <w:t xml:space="preserve">&gt; 150% of baseline</w:t>
            </w:r>
          </w:p>
        </w:tc>
        <w:tc>
          <w:tcPr>
            <w:tcW w:type="dxa" w:w="2400"/>
            <w:shd w:fill="EBF3FB" w:val="clear"/>
          </w:tcPr>
          <w:p>
            <w:r>
              <w:rPr>
                <w:sz w:val="20"/>
                <w:szCs w:val="20"/>
              </w:rPr>
              <w:t xml:space="preserve">&gt; 200% of baseline</w:t>
            </w:r>
          </w:p>
        </w:tc>
      </w:tr>
      <w:tr>
        <w:tc>
          <w:tcPr>
            <w:tcW w:type="dxa" w:w="2400"/>
            <w:shd w:fill="FFFFFF" w:val="clear"/>
          </w:tcPr>
          <w:p>
            <w:r>
              <w:rPr>
                <w:sz w:val="20"/>
                <w:szCs w:val="20"/>
              </w:rPr>
              <w:t xml:space="preserve">Equipment</w:t>
            </w:r>
          </w:p>
        </w:tc>
        <w:tc>
          <w:tcPr>
            <w:tcW w:type="dxa" w:w="2400"/>
            <w:shd w:fill="FFFFFF" w:val="clear"/>
          </w:tcPr>
          <w:p>
            <w:r>
              <w:rPr>
                <w:sz w:val="20"/>
                <w:szCs w:val="20"/>
              </w:rPr>
              <w:t xml:space="preserve">degraded</w:t>
            </w:r>
          </w:p>
        </w:tc>
        <w:tc>
          <w:tcPr>
            <w:tcW w:type="dxa" w:w="2400"/>
            <w:shd w:fill="FFFFFF" w:val="clear"/>
          </w:tcPr>
          <w:p>
            <w:r>
              <w:rPr>
                <w:sz w:val="20"/>
                <w:szCs w:val="20"/>
              </w:rPr>
              <w:t xml:space="preserve">failure</w:t>
            </w:r>
          </w:p>
        </w:tc>
      </w:tr>
      <w:tr>
        <w:tc>
          <w:tcPr>
            <w:tcW w:type="dxa" w:w="2400"/>
            <w:shd w:fill="EBF3FB" w:val="clear"/>
          </w:tcPr>
          <w:p>
            <w:r>
              <w:rPr>
                <w:sz w:val="20"/>
                <w:szCs w:val="20"/>
              </w:rPr>
              <w:t xml:space="preserve">Service request</w:t>
            </w:r>
          </w:p>
        </w:tc>
        <w:tc>
          <w:tcPr>
            <w:tcW w:type="dxa" w:w="2400"/>
            <w:shd w:fill="EBF3FB" w:val="clear"/>
          </w:tcPr>
          <w:p>
            <w:r>
              <w:rPr>
                <w:sz w:val="20"/>
                <w:szCs w:val="20"/>
              </w:rPr>
              <w:t xml:space="preserve">priority 2</w:t>
            </w:r>
          </w:p>
        </w:tc>
        <w:tc>
          <w:tcPr>
            <w:tcW w:type="dxa" w:w="2400"/>
            <w:shd w:fill="EBF3FB" w:val="clear"/>
          </w:tcPr>
          <w:p>
            <w:r>
              <w:rPr>
                <w:sz w:val="20"/>
                <w:szCs w:val="20"/>
              </w:rPr>
              <w:t xml:space="preserve">priority 1</w:t>
            </w:r>
          </w:p>
        </w:tc>
      </w:tr>
    </w:tbl>
    <w:p/>
    <w:p>
      <w:pPr>
        <w:pStyle w:val="Heading3"/>
        <w:spacing w:after="80" w:before="200"/>
      </w:pPr>
      <w:r>
        <w:t xml:space="preserve">Terraform Infrastructure</w:t>
      </w:r>
    </w:p>
    <w:p>
      <w:pPr>
        <w:spacing w:after="80" w:before="80"/>
      </w:pPr>
      <w:r>
        <w:rPr>
          <w:b w:val="false"/>
          <w:bCs w:val="false"/>
          <w:sz w:val="22"/>
          <w:szCs w:val="22"/>
        </w:rPr>
        <w:t xml:space="preserve">13 Terraform files deploy 61 resources. Key files:</w:t>
      </w:r>
    </w:p>
    <w:p>
      <w:pPr>
        <w:pStyle w:val="ListParagraph"/>
        <w:numPr>
          <w:ilvl w:val="0"/>
          <w:numId w:val="1"/>
        </w:numPr>
        <w:spacing w:after="40" w:before="40"/>
      </w:pPr>
      <w:r>
        <w:rPr>
          <w:sz w:val="22"/>
          <w:szCs w:val="22"/>
        </w:rPr>
        <w:t xml:space="preserve">main.tf — provider, backend, global tags</w:t>
      </w:r>
    </w:p>
    <w:p>
      <w:pPr>
        <w:pStyle w:val="ListParagraph"/>
        <w:numPr>
          <w:ilvl w:val="0"/>
          <w:numId w:val="1"/>
        </w:numPr>
        <w:spacing w:after="40" w:before="40"/>
      </w:pPr>
      <w:r>
        <w:rPr>
          <w:sz w:val="22"/>
          <w:szCs w:val="22"/>
        </w:rPr>
        <w:t xml:space="preserve">dynamodb.tf — table, 2 GSIs, TTL, PITR</w:t>
      </w:r>
    </w:p>
    <w:p>
      <w:pPr>
        <w:pStyle w:val="ListParagraph"/>
        <w:numPr>
          <w:ilvl w:val="0"/>
          <w:numId w:val="1"/>
        </w:numPr>
        <w:spacing w:after="40" w:before="40"/>
      </w:pPr>
      <w:r>
        <w:rPr>
          <w:sz w:val="22"/>
          <w:szCs w:val="22"/>
        </w:rPr>
        <w:t xml:space="preserve">lambda.tf — 5 functions, log groups (7-day retention), environment variables</w:t>
      </w:r>
    </w:p>
    <w:p>
      <w:pPr>
        <w:pStyle w:val="ListParagraph"/>
        <w:numPr>
          <w:ilvl w:val="0"/>
          <w:numId w:val="1"/>
        </w:numPr>
        <w:spacing w:after="40" w:before="40"/>
      </w:pPr>
      <w:r>
        <w:rPr>
          <w:sz w:val="22"/>
          <w:szCs w:val="22"/>
        </w:rPr>
        <w:t xml:space="preserve">api.tf — HTTP API, JWT authorizer, routes, stage throttling (20/s, 40 burst)</w:t>
      </w:r>
    </w:p>
    <w:p>
      <w:pPr>
        <w:pStyle w:val="ListParagraph"/>
        <w:numPr>
          <w:ilvl w:val="0"/>
          <w:numId w:val="1"/>
        </w:numPr>
        <w:spacing w:after="40" w:before="40"/>
      </w:pPr>
      <w:r>
        <w:rPr>
          <w:sz w:val="22"/>
          <w:szCs w:val="22"/>
        </w:rPr>
        <w:t xml:space="preserve">cognito.tf — user pool (email as username), app client</w:t>
      </w:r>
    </w:p>
    <w:p>
      <w:pPr>
        <w:pStyle w:val="ListParagraph"/>
        <w:numPr>
          <w:ilvl w:val="0"/>
          <w:numId w:val="1"/>
        </w:numPr>
        <w:spacing w:after="40" w:before="40"/>
      </w:pPr>
      <w:r>
        <w:rPr>
          <w:sz w:val="22"/>
          <w:szCs w:val="22"/>
        </w:rPr>
        <w:t xml:space="preserve">iam.tf — 5 least-privilege roles, one per function</w:t>
      </w:r>
    </w:p>
    <w:p>
      <w:pPr>
        <w:pStyle w:val="ListParagraph"/>
        <w:numPr>
          <w:ilvl w:val="0"/>
          <w:numId w:val="1"/>
        </w:numPr>
        <w:spacing w:after="40" w:before="40"/>
      </w:pPr>
      <w:r>
        <w:rPr>
          <w:sz w:val="22"/>
          <w:szCs w:val="22"/>
        </w:rPr>
        <w:t xml:space="preserve">s3.tf — static site bucket, public-access block, bucket policy</w:t>
      </w:r>
    </w:p>
    <w:p>
      <w:pPr>
        <w:pStyle w:val="ListParagraph"/>
        <w:numPr>
          <w:ilvl w:val="0"/>
          <w:numId w:val="1"/>
        </w:numPr>
        <w:spacing w:after="40" w:before="40"/>
      </w:pPr>
      <w:r>
        <w:rPr>
          <w:sz w:val="22"/>
          <w:szCs w:val="22"/>
        </w:rPr>
        <w:t xml:space="preserve">cloudwatch.tf — 4 alarms, 1 dashboard</w:t>
      </w:r>
    </w:p>
    <w:p>
      <w:pPr>
        <w:pStyle w:val="ListParagraph"/>
        <w:numPr>
          <w:ilvl w:val="0"/>
          <w:numId w:val="1"/>
        </w:numPr>
        <w:spacing w:after="40" w:before="40"/>
      </w:pPr>
      <w:r>
        <w:rPr>
          <w:sz w:val="22"/>
          <w:szCs w:val="22"/>
        </w:rPr>
        <w:t xml:space="preserve">budget.tf — $10 budget with alerts at 50%, 80%, forecast 100%</w:t>
      </w:r>
    </w:p>
    <w:p/>
    <w:p>
      <w:pPr>
        <w:pStyle w:val="Heading2"/>
        <w:spacing w:after="100" w:before="300"/>
      </w:pPr>
      <w:r>
        <w:t xml:space="preserve">Data Model</w:t>
      </w:r>
    </w:p>
    <w:p>
      <w:pPr>
        <w:pStyle w:val="Heading3"/>
        <w:spacing w:after="80" w:before="200"/>
      </w:pPr>
      <w:r>
        <w:t xml:space="preserve">Table: campuspulse-dev-events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200"/>
      </w:tblGrid>
      <w:tr>
        <w:trPr>
          <w:tblHeader/>
        </w:trPr>
        <w:tc>
          <w:tcPr>
            <w:tcW w:type="dxa" w:w="1800"/>
            <w:shd w:fill="2E74B5" w:val="clear"/>
          </w:tcPr>
          <w:p>
            <w:r>
              <w:rPr>
                <w:b/>
                <w:bCs/>
                <w:color w:val="FFFFFF"/>
                <w:sz w:val="20"/>
                <w:szCs w:val="20"/>
              </w:rPr>
              <w:t xml:space="preserve">Key</w:t>
            </w:r>
          </w:p>
        </w:tc>
        <w:tc>
          <w:tcPr>
            <w:tcW w:type="dxa" w:w="2800"/>
            <w:shd w:fill="2E74B5" w:val="clear"/>
          </w:tcPr>
          <w:p>
            <w:r>
              <w:rPr>
                <w:b/>
                <w:bCs/>
                <w:color w:val="FFFFFF"/>
                <w:sz w:val="20"/>
                <w:szCs w:val="20"/>
              </w:rPr>
              <w:t xml:space="preserve">Value</w:t>
            </w:r>
          </w:p>
        </w:tc>
        <w:tc>
          <w:tcPr>
            <w:tcW w:type="dxa" w:w="4200"/>
            <w:shd w:fill="2E74B5" w:val="clear"/>
          </w:tcPr>
          <w:p>
            <w:r>
              <w:rPr>
                <w:b/>
                <w:bCs/>
                <w:color w:val="FFFFFF"/>
                <w:sz w:val="20"/>
                <w:szCs w:val="20"/>
              </w:rPr>
              <w:t xml:space="preserve">Purpose</w:t>
            </w:r>
          </w:p>
        </w:tc>
      </w:tr>
      <w:tr>
        <w:tc>
          <w:tcPr>
            <w:tcW w:type="dxa" w:w="1800"/>
            <w:shd w:fill="FFFFFF" w:val="clear"/>
          </w:tcPr>
          <w:p>
            <w:r>
              <w:rPr>
                <w:sz w:val="20"/>
                <w:szCs w:val="20"/>
              </w:rPr>
              <w:t xml:space="preserve">Partition Key</w:t>
            </w:r>
          </w:p>
        </w:tc>
        <w:tc>
          <w:tcPr>
            <w:tcW w:type="dxa" w:w="2800"/>
            <w:shd w:fill="FFFFFF" w:val="clear"/>
          </w:tcPr>
          <w:p>
            <w:r>
              <w:rPr>
                <w:sz w:val="20"/>
                <w:szCs w:val="20"/>
              </w:rPr>
              <w:t xml:space="preserve">DAY#&lt;date&gt;</w:t>
            </w:r>
          </w:p>
        </w:tc>
        <w:tc>
          <w:tcPr>
            <w:tcW w:type="dxa" w:w="4200"/>
            <w:shd w:fill="FFFFFF" w:val="clear"/>
          </w:tcPr>
          <w:p>
            <w:r>
              <w:rPr>
                <w:sz w:val="20"/>
                <w:szCs w:val="20"/>
              </w:rPr>
              <w:t xml:space="preserve">All events for one day land in one partition</w:t>
            </w:r>
          </w:p>
        </w:tc>
      </w:tr>
      <w:tr>
        <w:tc>
          <w:tcPr>
            <w:tcW w:type="dxa" w:w="1800"/>
            <w:shd w:fill="EBF3FB" w:val="clear"/>
          </w:tcPr>
          <w:p>
            <w:r>
              <w:rPr>
                <w:sz w:val="20"/>
                <w:szCs w:val="20"/>
              </w:rPr>
              <w:t xml:space="preserve">Sort Key</w:t>
            </w:r>
          </w:p>
        </w:tc>
        <w:tc>
          <w:tcPr>
            <w:tcW w:type="dxa" w:w="2800"/>
            <w:shd w:fill="EBF3FB" w:val="clear"/>
          </w:tcPr>
          <w:p>
            <w:r>
              <w:rPr>
                <w:sz w:val="20"/>
                <w:szCs w:val="20"/>
              </w:rPr>
              <w:t xml:space="preserve">&lt;timestamp&gt;#&lt;event_id&gt;</w:t>
            </w:r>
          </w:p>
        </w:tc>
        <w:tc>
          <w:tcPr>
            <w:tcW w:type="dxa" w:w="4200"/>
            <w:shd w:fill="EBF3FB" w:val="clear"/>
          </w:tcPr>
          <w:p>
            <w:r>
              <w:rPr>
                <w:sz w:val="20"/>
                <w:szCs w:val="20"/>
              </w:rPr>
              <w:t xml:space="preserve">Chronological order within a day</w:t>
            </w:r>
          </w:p>
        </w:tc>
      </w:tr>
      <w:tr>
        <w:tc>
          <w:tcPr>
            <w:tcW w:type="dxa" w:w="1800"/>
            <w:shd w:fill="FFFFFF" w:val="clear"/>
          </w:tcPr>
          <w:p>
            <w:r>
              <w:rPr>
                <w:sz w:val="20"/>
                <w:szCs w:val="20"/>
              </w:rPr>
              <w:t xml:space="preserve">GSI1 PK</w:t>
            </w:r>
          </w:p>
        </w:tc>
        <w:tc>
          <w:tcPr>
            <w:tcW w:type="dxa" w:w="2800"/>
            <w:shd w:fill="FFFFFF" w:val="clear"/>
          </w:tcPr>
          <w:p>
            <w:r>
              <w:rPr>
                <w:sz w:val="20"/>
                <w:szCs w:val="20"/>
              </w:rPr>
              <w:t xml:space="preserve">BUILDING#&lt;building&gt;#DAY#&lt;date&gt;</w:t>
            </w:r>
          </w:p>
        </w:tc>
        <w:tc>
          <w:tcPr>
            <w:tcW w:type="dxa" w:w="4200"/>
            <w:shd w:fill="FFFFFF" w:val="clear"/>
          </w:tcPr>
          <w:p>
            <w:r>
              <w:rPr>
                <w:sz w:val="20"/>
                <w:szCs w:val="20"/>
              </w:rPr>
              <w:t xml:space="preserve">Events by building and date</w:t>
            </w:r>
          </w:p>
        </w:tc>
      </w:tr>
      <w:tr>
        <w:tc>
          <w:tcPr>
            <w:tcW w:type="dxa" w:w="1800"/>
            <w:shd w:fill="EBF3FB" w:val="clear"/>
          </w:tcPr>
          <w:p>
            <w:r>
              <w:rPr>
                <w:sz w:val="20"/>
                <w:szCs w:val="20"/>
              </w:rPr>
              <w:t xml:space="preserve">GSI2 PK</w:t>
            </w:r>
          </w:p>
        </w:tc>
        <w:tc>
          <w:tcPr>
            <w:tcW w:type="dxa" w:w="2800"/>
            <w:shd w:fill="EBF3FB" w:val="clear"/>
          </w:tcPr>
          <w:p>
            <w:r>
              <w:rPr>
                <w:sz w:val="20"/>
                <w:szCs w:val="20"/>
              </w:rPr>
              <w:t xml:space="preserve">ALERT#DAY#&lt;date&gt;</w:t>
            </w:r>
          </w:p>
        </w:tc>
        <w:tc>
          <w:tcPr>
            <w:tcW w:type="dxa" w:w="4200"/>
            <w:shd w:fill="EBF3FB" w:val="clear"/>
          </w:tcPr>
          <w:p>
            <w:r>
              <w:rPr>
                <w:sz w:val="20"/>
                <w:szCs w:val="20"/>
              </w:rPr>
              <w:t xml:space="preserve">Sparse index — only alerts (severity ≠ normal)</w:t>
            </w:r>
          </w:p>
        </w:tc>
      </w:tr>
      <w:tr>
        <w:tc>
          <w:tcPr>
            <w:tcW w:type="dxa" w:w="1800"/>
            <w:shd w:fill="FFFFFF" w:val="clear"/>
          </w:tcPr>
          <w:p>
            <w:r>
              <w:rPr>
                <w:sz w:val="20"/>
                <w:szCs w:val="20"/>
              </w:rPr>
              <w:t xml:space="preserve">TTL</w:t>
            </w:r>
          </w:p>
        </w:tc>
        <w:tc>
          <w:tcPr>
            <w:tcW w:type="dxa" w:w="2800"/>
            <w:shd w:fill="FFFFFF" w:val="clear"/>
          </w:tcPr>
          <w:p>
            <w:r>
              <w:rPr>
                <w:sz w:val="20"/>
                <w:szCs w:val="20"/>
              </w:rPr>
              <w:t xml:space="preserve">ttl (Unix timestamp + 30 days)</w:t>
            </w:r>
          </w:p>
        </w:tc>
        <w:tc>
          <w:tcPr>
            <w:tcW w:type="dxa" w:w="4200"/>
            <w:shd w:fill="FFFFFF" w:val="clear"/>
          </w:tcPr>
          <w:p>
            <w:r>
              <w:rPr>
                <w:sz w:val="20"/>
                <w:szCs w:val="20"/>
              </w:rPr>
              <w:t xml:space="preserve">Auto-delete old events</w:t>
            </w:r>
          </w:p>
        </w:tc>
      </w:tr>
    </w:tbl>
    <w:p>
      <w:pPr>
        <w:spacing w:after="80" w:before="80"/>
      </w:pPr>
      <w:r>
        <w:rPr>
          <w:b w:val="false"/>
          <w:bCs w:val="false"/>
          <w:sz w:val="22"/>
          <w:szCs w:val="22"/>
        </w:rPr>
        <w:t xml:space="preserve">GSI2 is a sparse index: cp-ingest only writes its key attribute when severity is not normal. GET /alerts reads an index that physically contains only alerts — no filtering, no wasted reads.</w:t>
      </w:r>
    </w:p>
    <w:p>
      <w:pPr>
        <w:spacing w:after="80" w:before="80"/>
      </w:pPr>
      <w:r>
        <w:rPr>
          <w:b w:val="false"/>
          <w:bCs w:val="false"/>
          <w:sz w:val="22"/>
          <w:szCs w:val="22"/>
        </w:rPr>
        <w:t xml:space="preserve">There is no Scan anywhere in the system. Enforced by key design, a unit test (test_no_builder_can_produce_a_scan), and IAM (no role has dynamodb:Scan).</w:t>
      </w:r>
    </w:p>
    <w:p/>
    <w:p>
      <w:pPr>
        <w:pStyle w:val="Heading2"/>
        <w:spacing w:after="100" w:before="300"/>
      </w:pPr>
      <w:r>
        <w:t xml:space="preserve">What Somitha Should Be Able to Explain</w:t>
      </w:r>
    </w:p>
    <w:p>
      <w:pPr>
        <w:pStyle w:val="ListParagraph"/>
        <w:numPr>
          <w:ilvl w:val="0"/>
          <w:numId w:val="1"/>
        </w:numPr>
        <w:spacing w:after="40" w:before="40"/>
      </w:pPr>
      <w:r>
        <w:rPr>
          <w:sz w:val="22"/>
          <w:szCs w:val="22"/>
        </w:rPr>
        <w:t xml:space="preserve">Why serverless? Why on-demand DynamoDB?</w:t>
      </w:r>
    </w:p>
    <w:p>
      <w:pPr>
        <w:pStyle w:val="ListParagraph"/>
        <w:numPr>
          <w:ilvl w:val="0"/>
          <w:numId w:val="1"/>
        </w:numPr>
        <w:spacing w:after="40" w:before="40"/>
      </w:pPr>
      <w:r>
        <w:rPr>
          <w:sz w:val="22"/>
          <w:szCs w:val="22"/>
        </w:rPr>
        <w:t xml:space="preserve">How the partition key choice shapes all queries</w:t>
      </w:r>
    </w:p>
    <w:p>
      <w:pPr>
        <w:pStyle w:val="ListParagraph"/>
        <w:numPr>
          <w:ilvl w:val="0"/>
          <w:numId w:val="1"/>
        </w:numPr>
        <w:spacing w:after="40" w:before="40"/>
      </w:pPr>
      <w:r>
        <w:rPr>
          <w:sz w:val="22"/>
          <w:szCs w:val="22"/>
        </w:rPr>
        <w:t xml:space="preserve">Why GSI2 is sparse and why that matters for GET /alerts</w:t>
      </w:r>
    </w:p>
    <w:p>
      <w:pPr>
        <w:pStyle w:val="ListParagraph"/>
        <w:numPr>
          <w:ilvl w:val="0"/>
          <w:numId w:val="1"/>
        </w:numPr>
        <w:spacing w:after="40" w:before="40"/>
      </w:pPr>
      <w:r>
        <w:rPr>
          <w:sz w:val="22"/>
          <w:szCs w:val="22"/>
        </w:rPr>
        <w:t xml:space="preserve">Why cp-ingest discards the client's severity field</w:t>
      </w:r>
    </w:p>
    <w:p>
      <w:pPr>
        <w:pStyle w:val="ListParagraph"/>
        <w:numPr>
          <w:ilvl w:val="0"/>
          <w:numId w:val="1"/>
        </w:numPr>
        <w:spacing w:after="40" w:before="40"/>
      </w:pPr>
      <w:r>
        <w:rPr>
          <w:sz w:val="22"/>
          <w:szCs w:val="22"/>
        </w:rPr>
        <w:t xml:space="preserve">What the IAM trust model means in practice</w:t>
      </w:r>
    </w:p>
    <w:p>
      <w:pPr>
        <w:pStyle w:val="ListParagraph"/>
        <w:numPr>
          <w:ilvl w:val="0"/>
          <w:numId w:val="1"/>
        </w:numPr>
        <w:spacing w:after="40" w:before="40"/>
      </w:pPr>
      <w:r>
        <w:rPr>
          <w:sz w:val="22"/>
          <w:szCs w:val="22"/>
        </w:rPr>
        <w:t xml:space="preserve">Why logs:CreateLogGroup is withheld from Lambda roles</w:t>
      </w:r>
    </w:p>
    <w:p>
      <w:pPr>
        <w:pStyle w:val="ListParagraph"/>
        <w:numPr>
          <w:ilvl w:val="0"/>
          <w:numId w:val="1"/>
        </w:numPr>
        <w:spacing w:after="40" w:before="40"/>
      </w:pPr>
      <w:r>
        <w:rPr>
          <w:sz w:val="22"/>
          <w:szCs w:val="22"/>
        </w:rPr>
        <w:t xml:space="preserve">How Terraform modules are structured and what terraform apply does</w:t>
      </w:r>
    </w:p>
    <w:p/>
    <w:p>
      <w:pPr>
        <w:pStyle w:val="Heading2"/>
        <w:spacing w:after="100" w:before="300"/>
      </w:pPr>
      <w:r>
        <w:t xml:space="preserve">Personal Reflection</w:t>
      </w:r>
    </w:p>
    <w:p>
      <w:pPr>
        <w:spacing w:after="80" w:before="80"/>
      </w:pPr>
      <w:r>
        <w:rPr>
          <w:b w:val="false"/>
          <w:bCs w:val="false"/>
          <w:sz w:val="22"/>
          <w:szCs w:val="22"/>
        </w:rPr>
        <w:t xml:space="preserve">"Building the ingestion pipeline taught me how much of a real system lives in the details between components — not in any single Lambda function, but in the contract between the simulator, the validator, and the database schema. Writing the Terraform deployment from scratch made the IAM trust model concrete in a way documentation never had. The biggest surprise was how much a careful data model decision (partition key choice, TTL) shapes every query that comes after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2026-10-05T16:35:18.919Z</dcterms:created>
  <dcterms:modified xsi:type="dcterms:W3CDTF">2026-10-05T16:35:18.919Z</dcterms:modified>
</cp:coreProperties>
</file>

<file path=docProps/custom.xml><?xml version="1.0" encoding="utf-8"?>
<Properties xmlns="http://schemas.openxmlformats.org/officeDocument/2006/custom-properties" xmlns:vt="http://schemas.openxmlformats.org/officeDocument/2006/docPropsVTypes"/>
</file>