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400"/>
      </w:pPr>
      <w:r>
        <w:t xml:space="preserve">CampusPulse 2026 — Architecture Explanation</w:t>
      </w:r>
    </w:p>
    <w:p/>
    <w:p>
      <w:pPr>
        <w:pStyle w:val="Heading2"/>
        <w:spacing w:after="100" w:before="300"/>
      </w:pPr>
      <w:r>
        <w:t xml:space="preserve">System Overview</w:t>
      </w:r>
    </w:p>
    <w:p>
      <w:pPr>
        <w:spacing w:after="80" w:before="80"/>
      </w:pPr>
      <w:r>
        <w:rPr>
          <w:b w:val="false"/>
          <w:bCs w:val="false"/>
          <w:sz w:val="22"/>
          <w:szCs w:val="22"/>
        </w:rPr>
        <w:t xml:space="preserve">CampusPulse is a fully serverless, event-driven cloud platform. There are no servers to manage, no operating systems to patch, and nothing billing by the hour. Every component is a managed AWS service that scales automatically and costs nothing while idle.</w:t>
      </w:r>
    </w:p>
    <w:p>
      <w:pPr>
        <w:spacing w:after="80" w:before="80"/>
      </w:pPr>
      <w:r>
        <w:rPr>
          <w:b w:val="false"/>
          <w:bCs w:val="false"/>
          <w:sz w:val="22"/>
          <w:szCs w:val="22"/>
        </w:rPr>
        <w:t xml:space="preserve">The system has one public entry point (API Gateway), one compute layer (Lambda), one data store (DynamoDB), one identity provider (Cognito), and one static file host (S3). Everything is connected by IAM roles that grant the minimum permissions required.</w:t>
      </w:r>
    </w:p>
    <w:p/>
    <w:p>
      <w:pPr>
        <w:pStyle w:val="Heading2"/>
        <w:spacing w:after="100" w:before="300"/>
      </w:pPr>
      <w:r>
        <w:t xml:space="preserve">Architecture Diagram (Text)</w:t>
      </w:r>
    </w:p>
    <w:p>
      <w:pPr>
        <w:spacing w:after="80" w:before="80"/>
      </w:pPr>
      <w:r>
        <w:rPr>
          <w:b w:val="false"/>
          <w:bCs w:val="false"/>
          <w:sz w:val="22"/>
          <w:szCs w:val="22"/>
        </w:rPr>
        <w:t xml:space="preserve">EXTERNAL                           AWS eu-west-3 (Paris)</w:t>
      </w:r>
    </w:p>
    <w:p>
      <w:pPr>
        <w:spacing w:after="80" w:before="80"/>
      </w:pPr>
      <w:r>
        <w:rPr>
          <w:b w:val="false"/>
          <w:bCs w:val="false"/>
          <w:sz w:val="22"/>
          <w:szCs w:val="22"/>
        </w:rPr>
        <w:t xml:space="preserve">Simulator (Python)  ──1──►  API Gateway (HTTP API)  ──JWT authorizer──2──► 401</w:t>
      </w:r>
    </w:p>
    <w:p>
      <w:pPr>
        <w:spacing w:after="80" w:before="80"/>
      </w:pPr>
      <w:r>
        <w:rPr>
          <w:b w:val="false"/>
          <w:bCs w:val="false"/>
          <w:sz w:val="22"/>
          <w:szCs w:val="22"/>
        </w:rPr>
        <w:t xml:space="preserve">                                     │ 3</w:t>
      </w:r>
    </w:p>
    <w:p>
      <w:pPr>
        <w:spacing w:after="80" w:before="80"/>
      </w:pPr>
      <w:r>
        <w:rPr>
          <w:b w:val="false"/>
          <w:bCs w:val="false"/>
          <w:sz w:val="22"/>
          <w:szCs w:val="22"/>
        </w:rPr>
        <w:t xml:space="preserve">Browser (dashboard) ──1──►           ▼</w:t>
      </w:r>
    </w:p>
    <w:p>
      <w:pPr>
        <w:spacing w:after="80" w:before="80"/>
      </w:pPr>
      <w:r>
        <w:rPr>
          <w:b w:val="false"/>
          <w:bCs w:val="false"/>
          <w:sz w:val="22"/>
          <w:szCs w:val="22"/>
        </w:rPr>
        <w:t xml:space="preserve">                         COMPUTE (one IAM role per function)</w:t>
      </w:r>
    </w:p>
    <w:p>
      <w:pPr>
        <w:spacing w:after="80" w:before="80"/>
      </w:pPr>
      <w:r>
        <w:rPr>
          <w:b w:val="false"/>
          <w:bCs w:val="false"/>
          <w:sz w:val="22"/>
          <w:szCs w:val="22"/>
        </w:rPr>
        <w:t xml:space="preserve">                         cp-auth  cp-ingest  cp-query  cp-stats  cp-health</w:t>
      </w:r>
    </w:p>
    <w:p>
      <w:pPr>
        <w:spacing w:after="80" w:before="80"/>
      </w:pPr>
      <w:r>
        <w:rPr>
          <w:b w:val="false"/>
          <w:bCs w:val="false"/>
          <w:sz w:val="22"/>
          <w:szCs w:val="22"/>
        </w:rPr>
        <w:t xml:space="preserve">                            │4        │5         │6        │6</w:t>
      </w:r>
    </w:p>
    <w:p>
      <w:pPr>
        <w:spacing w:after="80" w:before="80"/>
      </w:pPr>
      <w:r>
        <w:rPr>
          <w:b w:val="false"/>
          <w:bCs w:val="false"/>
          <w:sz w:val="22"/>
          <w:szCs w:val="22"/>
        </w:rPr>
        <w:t xml:space="preserve">                            ▼         ▼          ▼         ▼</w:t>
      </w:r>
    </w:p>
    <w:p>
      <w:pPr>
        <w:spacing w:after="80" w:before="80"/>
      </w:pPr>
      <w:r>
        <w:rPr>
          <w:b w:val="false"/>
          <w:bCs w:val="false"/>
          <w:sz w:val="22"/>
          <w:szCs w:val="22"/>
        </w:rPr>
        <w:t xml:space="preserve">                         DATA LAYER</w:t>
      </w:r>
    </w:p>
    <w:p>
      <w:pPr>
        <w:spacing w:after="80" w:before="80"/>
      </w:pPr>
      <w:r>
        <w:rPr>
          <w:b w:val="false"/>
          <w:bCs w:val="false"/>
          <w:sz w:val="22"/>
          <w:szCs w:val="22"/>
        </w:rPr>
        <w:t xml:space="preserve">                         Cognito              DynamoDB (+2 GSI, TTL, PITR)</w:t>
      </w:r>
    </w:p>
    <w:p>
      <w:pPr>
        <w:spacing w:after="80" w:before="80"/>
      </w:pPr>
      <w:r>
        <w:rPr>
          <w:b w:val="false"/>
          <w:bCs w:val="false"/>
          <w:sz w:val="22"/>
          <w:szCs w:val="22"/>
        </w:rPr>
        <w:t xml:space="preserve">                         CROSS-CUTTING: CloudWatch (logs/metrics/alarms), IAM</w:t>
      </w:r>
    </w:p>
    <w:p/>
    <w:p>
      <w:pPr>
        <w:pStyle w:val="Heading2"/>
        <w:spacing w:after="100" w:before="300"/>
      </w:pPr>
      <w:r>
        <w:t xml:space="preserve">Data Flow — Event Ingestion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200"/>
      </w:tblGrid>
      <w:tr>
        <w:trPr>
          <w:tblHeader/>
        </w:trPr>
        <w:tc>
          <w:tcPr>
            <w:tcW w:type="dxa" w:w="600"/>
            <w:shd w:fill="2E74B5" w:val="clear"/>
          </w:tcPr>
          <w:p>
            <w:r>
              <w:rPr>
                <w:b/>
                <w:bCs/>
                <w:color w:val="FFFFFF"/>
                <w:sz w:val="20"/>
                <w:szCs w:val="20"/>
              </w:rPr>
              <w:t xml:space="preserve">Step</w:t>
            </w:r>
          </w:p>
        </w:tc>
        <w:tc>
          <w:tcPr>
            <w:tcW w:type="dxa" w:w="2000"/>
            <w:shd w:fill="2E74B5" w:val="clear"/>
          </w:tcPr>
          <w:p>
            <w:r>
              <w:rPr>
                <w:b/>
                <w:bCs/>
                <w:color w:val="FFFFFF"/>
                <w:sz w:val="20"/>
                <w:szCs w:val="20"/>
              </w:rPr>
              <w:t xml:space="preserve">Component</w:t>
            </w:r>
          </w:p>
        </w:tc>
        <w:tc>
          <w:tcPr>
            <w:tcW w:type="dxa" w:w="6200"/>
            <w:shd w:fill="2E74B5" w:val="clear"/>
          </w:tcPr>
          <w:p>
            <w:r>
              <w:rPr>
                <w:b/>
                <w:bCs/>
                <w:color w:val="FFFFFF"/>
                <w:sz w:val="20"/>
                <w:szCs w:val="20"/>
              </w:rPr>
              <w:t xml:space="preserve">What happens</w:t>
            </w:r>
          </w:p>
        </w:tc>
      </w:tr>
      <w:tr>
        <w:tc>
          <w:tcPr>
            <w:tcW w:type="dxa" w:w="600"/>
            <w:shd w:fill="FFFFFF" w:val="clear"/>
          </w:tcPr>
          <w:p>
            <w:r>
              <w:rPr>
                <w:sz w:val="20"/>
                <w:szCs w:val="20"/>
              </w:rPr>
              <w:t xml:space="preserve">1</w:t>
            </w:r>
          </w:p>
        </w:tc>
        <w:tc>
          <w:tcPr>
            <w:tcW w:type="dxa" w:w="2000"/>
            <w:shd w:fill="FFFFFF" w:val="clear"/>
          </w:tcPr>
          <w:p>
            <w:r>
              <w:rPr>
                <w:sz w:val="20"/>
                <w:szCs w:val="20"/>
              </w:rPr>
              <w:t xml:space="preserve">Simulator</w:t>
            </w:r>
          </w:p>
        </w:tc>
        <w:tc>
          <w:tcPr>
            <w:tcW w:type="dxa" w:w="6200"/>
            <w:shd w:fill="FFFFFF" w:val="clear"/>
          </w:tcPr>
          <w:p>
            <w:r>
              <w:rPr>
                <w:sz w:val="20"/>
                <w:szCs w:val="20"/>
              </w:rPr>
              <w:t xml:space="preserve">Generates a campus event (e.g., room occupancy = 58 of capacity 45)</w:t>
            </w:r>
          </w:p>
        </w:tc>
      </w:tr>
      <w:tr>
        <w:tc>
          <w:tcPr>
            <w:tcW w:type="dxa" w:w="600"/>
            <w:shd w:fill="EBF3FB" w:val="clear"/>
          </w:tcPr>
          <w:p>
            <w:r>
              <w:rPr>
                <w:sz w:val="20"/>
                <w:szCs w:val="20"/>
              </w:rPr>
              <w:t xml:space="preserve">2</w:t>
            </w:r>
          </w:p>
        </w:tc>
        <w:tc>
          <w:tcPr>
            <w:tcW w:type="dxa" w:w="2000"/>
            <w:shd w:fill="EBF3FB" w:val="clear"/>
          </w:tcPr>
          <w:p>
            <w:r>
              <w:rPr>
                <w:sz w:val="20"/>
                <w:szCs w:val="20"/>
              </w:rPr>
              <w:t xml:space="preserve">API Gateway</w:t>
            </w:r>
          </w:p>
        </w:tc>
        <w:tc>
          <w:tcPr>
            <w:tcW w:type="dxa" w:w="6200"/>
            <w:shd w:fill="EBF3FB" w:val="clear"/>
          </w:tcPr>
          <w:p>
            <w:r>
              <w:rPr>
                <w:sz w:val="20"/>
                <w:szCs w:val="20"/>
              </w:rPr>
              <w:t xml:space="preserve">Validates the JWT token. Rejects without valid token (401).</w:t>
            </w:r>
          </w:p>
        </w:tc>
      </w:tr>
      <w:tr>
        <w:tc>
          <w:tcPr>
            <w:tcW w:type="dxa" w:w="600"/>
            <w:shd w:fill="FFFFFF" w:val="clear"/>
          </w:tcPr>
          <w:p>
            <w:r>
              <w:rPr>
                <w:sz w:val="20"/>
                <w:szCs w:val="20"/>
              </w:rPr>
              <w:t xml:space="preserve">3</w:t>
            </w:r>
          </w:p>
        </w:tc>
        <w:tc>
          <w:tcPr>
            <w:tcW w:type="dxa" w:w="2000"/>
            <w:shd w:fill="FFFFFF" w:val="clear"/>
          </w:tcPr>
          <w:p>
            <w:r>
              <w:rPr>
                <w:sz w:val="20"/>
                <w:szCs w:val="20"/>
              </w:rPr>
              <w:t xml:space="preserve">cp-ingest (Lambda)</w:t>
            </w:r>
          </w:p>
        </w:tc>
        <w:tc>
          <w:tcPr>
            <w:tcW w:type="dxa" w:w="6200"/>
            <w:shd w:fill="FFFFFF" w:val="clear"/>
          </w:tcPr>
          <w:p>
            <w:r>
              <w:rPr>
                <w:sz w:val="20"/>
                <w:szCs w:val="20"/>
              </w:rPr>
              <w:t xml:space="preserve">Validates all fields. Discards client severity. Recomputes: 58/45 = 129% → critical</w:t>
            </w:r>
          </w:p>
        </w:tc>
      </w:tr>
      <w:tr>
        <w:tc>
          <w:tcPr>
            <w:tcW w:type="dxa" w:w="600"/>
            <w:shd w:fill="EBF3FB" w:val="clear"/>
          </w:tcPr>
          <w:p>
            <w:r>
              <w:rPr>
                <w:sz w:val="20"/>
                <w:szCs w:val="20"/>
              </w:rPr>
              <w:t xml:space="preserve">4</w:t>
            </w:r>
          </w:p>
        </w:tc>
        <w:tc>
          <w:tcPr>
            <w:tcW w:type="dxa" w:w="2000"/>
            <w:shd w:fill="EBF3FB" w:val="clear"/>
          </w:tcPr>
          <w:p>
            <w:r>
              <w:rPr>
                <w:sz w:val="20"/>
                <w:szCs w:val="20"/>
              </w:rPr>
              <w:t xml:space="preserve">DynamoDB</w:t>
            </w:r>
          </w:p>
        </w:tc>
        <w:tc>
          <w:tcPr>
            <w:tcW w:type="dxa" w:w="6200"/>
            <w:shd w:fill="EBF3FB" w:val="clear"/>
          </w:tcPr>
          <w:p>
            <w:r>
              <w:rPr>
                <w:sz w:val="20"/>
                <w:szCs w:val="20"/>
              </w:rPr>
              <w:t xml:space="preserve">Writes the event. GSI2 key written only if severity ≠ normal (sparse index)</w:t>
            </w:r>
          </w:p>
        </w:tc>
      </w:tr>
      <w:tr>
        <w:tc>
          <w:tcPr>
            <w:tcW w:type="dxa" w:w="600"/>
            <w:shd w:fill="FFFFFF" w:val="clear"/>
          </w:tcPr>
          <w:p>
            <w:r>
              <w:rPr>
                <w:sz w:val="20"/>
                <w:szCs w:val="20"/>
              </w:rPr>
              <w:t xml:space="preserve">5</w:t>
            </w:r>
          </w:p>
        </w:tc>
        <w:tc>
          <w:tcPr>
            <w:tcW w:type="dxa" w:w="2000"/>
            <w:shd w:fill="FFFFFF" w:val="clear"/>
          </w:tcPr>
          <w:p>
            <w:r>
              <w:rPr>
                <w:sz w:val="20"/>
                <w:szCs w:val="20"/>
              </w:rPr>
              <w:t xml:space="preserve">CloudWatch EMF</w:t>
            </w:r>
          </w:p>
        </w:tc>
        <w:tc>
          <w:tcPr>
            <w:tcW w:type="dxa" w:w="6200"/>
            <w:shd w:fill="FFFFFF" w:val="clear"/>
          </w:tcPr>
          <w:p>
            <w:r>
              <w:rPr>
                <w:sz w:val="20"/>
                <w:szCs w:val="20"/>
              </w:rPr>
              <w:t xml:space="preserve">Log line is also a metric: EventsIngested+1, AlertsRaised+1 (if alert)</w:t>
            </w:r>
          </w:p>
        </w:tc>
      </w:tr>
    </w:tbl>
    <w:p/>
    <w:p>
      <w:pPr>
        <w:pStyle w:val="Heading2"/>
        <w:spacing w:after="100" w:before="300"/>
      </w:pPr>
      <w:r>
        <w:t xml:space="preserve">Data Flow — Dashboard Query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200"/>
      </w:tblGrid>
      <w:tr>
        <w:trPr>
          <w:tblHeader/>
        </w:trPr>
        <w:tc>
          <w:tcPr>
            <w:tcW w:type="dxa" w:w="600"/>
            <w:shd w:fill="2E74B5" w:val="clear"/>
          </w:tcPr>
          <w:p>
            <w:r>
              <w:rPr>
                <w:b/>
                <w:bCs/>
                <w:color w:val="FFFFFF"/>
                <w:sz w:val="20"/>
                <w:szCs w:val="20"/>
              </w:rPr>
              <w:t xml:space="preserve">Step</w:t>
            </w:r>
          </w:p>
        </w:tc>
        <w:tc>
          <w:tcPr>
            <w:tcW w:type="dxa" w:w="2000"/>
            <w:shd w:fill="2E74B5" w:val="clear"/>
          </w:tcPr>
          <w:p>
            <w:r>
              <w:rPr>
                <w:b/>
                <w:bCs/>
                <w:color w:val="FFFFFF"/>
                <w:sz w:val="20"/>
                <w:szCs w:val="20"/>
              </w:rPr>
              <w:t xml:space="preserve">Component</w:t>
            </w:r>
          </w:p>
        </w:tc>
        <w:tc>
          <w:tcPr>
            <w:tcW w:type="dxa" w:w="6200"/>
            <w:shd w:fill="2E74B5" w:val="clear"/>
          </w:tcPr>
          <w:p>
            <w:r>
              <w:rPr>
                <w:b/>
                <w:bCs/>
                <w:color w:val="FFFFFF"/>
                <w:sz w:val="20"/>
                <w:szCs w:val="20"/>
              </w:rPr>
              <w:t xml:space="preserve">What happens</w:t>
            </w:r>
          </w:p>
        </w:tc>
      </w:tr>
      <w:tr>
        <w:tc>
          <w:tcPr>
            <w:tcW w:type="dxa" w:w="600"/>
            <w:shd w:fill="FFFFFF" w:val="clear"/>
          </w:tcPr>
          <w:p>
            <w:r>
              <w:rPr>
                <w:sz w:val="20"/>
                <w:szCs w:val="20"/>
              </w:rPr>
              <w:t xml:space="preserve">1</w:t>
            </w:r>
          </w:p>
        </w:tc>
        <w:tc>
          <w:tcPr>
            <w:tcW w:type="dxa" w:w="2000"/>
            <w:shd w:fill="FFFFFF" w:val="clear"/>
          </w:tcPr>
          <w:p>
            <w:r>
              <w:rPr>
                <w:sz w:val="20"/>
                <w:szCs w:val="20"/>
              </w:rPr>
              <w:t xml:space="preserve">Browser</w:t>
            </w:r>
          </w:p>
        </w:tc>
        <w:tc>
          <w:tcPr>
            <w:tcW w:type="dxa" w:w="6200"/>
            <w:shd w:fill="FFFFFF" w:val="clear"/>
          </w:tcPr>
          <w:p>
            <w:r>
              <w:rPr>
                <w:sz w:val="20"/>
                <w:szCs w:val="20"/>
              </w:rPr>
              <w:t xml:space="preserve">Every 10 seconds: GET /events, GET /alerts (ops only), GET /stats</w:t>
            </w:r>
          </w:p>
        </w:tc>
      </w:tr>
      <w:tr>
        <w:tc>
          <w:tcPr>
            <w:tcW w:type="dxa" w:w="600"/>
            <w:shd w:fill="EBF3FB" w:val="clear"/>
          </w:tcPr>
          <w:p>
            <w:r>
              <w:rPr>
                <w:sz w:val="20"/>
                <w:szCs w:val="20"/>
              </w:rPr>
              <w:t xml:space="preserve">2</w:t>
            </w:r>
          </w:p>
        </w:tc>
        <w:tc>
          <w:tcPr>
            <w:tcW w:type="dxa" w:w="2000"/>
            <w:shd w:fill="EBF3FB" w:val="clear"/>
          </w:tcPr>
          <w:p>
            <w:r>
              <w:rPr>
                <w:sz w:val="20"/>
                <w:szCs w:val="20"/>
              </w:rPr>
              <w:t xml:space="preserve">API Gateway</w:t>
            </w:r>
          </w:p>
        </w:tc>
        <w:tc>
          <w:tcPr>
            <w:tcW w:type="dxa" w:w="6200"/>
            <w:shd w:fill="EBF3FB" w:val="clear"/>
          </w:tcPr>
          <w:p>
            <w:r>
              <w:rPr>
                <w:sz w:val="20"/>
                <w:szCs w:val="20"/>
              </w:rPr>
              <w:t xml:space="preserve">Validates JWT. Checks group claim for role-restricted routes.</w:t>
            </w:r>
          </w:p>
        </w:tc>
      </w:tr>
      <w:tr>
        <w:tc>
          <w:tcPr>
            <w:tcW w:type="dxa" w:w="600"/>
            <w:shd w:fill="FFFFFF" w:val="clear"/>
          </w:tcPr>
          <w:p>
            <w:r>
              <w:rPr>
                <w:sz w:val="20"/>
                <w:szCs w:val="20"/>
              </w:rPr>
              <w:t xml:space="preserve">3</w:t>
            </w:r>
          </w:p>
        </w:tc>
        <w:tc>
          <w:tcPr>
            <w:tcW w:type="dxa" w:w="2000"/>
            <w:shd w:fill="FFFFFF" w:val="clear"/>
          </w:tcPr>
          <w:p>
            <w:r>
              <w:rPr>
                <w:sz w:val="20"/>
                <w:szCs w:val="20"/>
              </w:rPr>
              <w:t xml:space="preserve">cp-query</w:t>
            </w:r>
          </w:p>
        </w:tc>
        <w:tc>
          <w:tcPr>
            <w:tcW w:type="dxa" w:w="6200"/>
            <w:shd w:fill="FFFFFF" w:val="clear"/>
          </w:tcPr>
          <w:p>
            <w:r>
              <w:rPr>
                <w:sz w:val="20"/>
                <w:szCs w:val="20"/>
              </w:rPr>
              <w:t xml:space="preserve">GET /events → Query main table by DAY#&lt;today&gt;</w:t>
            </w:r>
          </w:p>
        </w:tc>
      </w:tr>
      <w:tr>
        <w:tc>
          <w:tcPr>
            <w:tcW w:type="dxa" w:w="600"/>
            <w:shd w:fill="EBF3FB" w:val="clear"/>
          </w:tcPr>
          <w:p>
            <w:r>
              <w:rPr>
                <w:sz w:val="20"/>
                <w:szCs w:val="20"/>
              </w:rPr>
              <w:t xml:space="preserve">4</w:t>
            </w:r>
          </w:p>
        </w:tc>
        <w:tc>
          <w:tcPr>
            <w:tcW w:type="dxa" w:w="2000"/>
            <w:shd w:fill="EBF3FB" w:val="clear"/>
          </w:tcPr>
          <w:p>
            <w:r>
              <w:rPr>
                <w:sz w:val="20"/>
                <w:szCs w:val="20"/>
              </w:rPr>
              <w:t xml:space="preserve">cp-query</w:t>
            </w:r>
          </w:p>
        </w:tc>
        <w:tc>
          <w:tcPr>
            <w:tcW w:type="dxa" w:w="6200"/>
            <w:shd w:fill="EBF3FB" w:val="clear"/>
          </w:tcPr>
          <w:p>
            <w:r>
              <w:rPr>
                <w:sz w:val="20"/>
                <w:szCs w:val="20"/>
              </w:rPr>
              <w:t xml:space="preserve">GET /alerts → Query GSI2 (physically contains only alerts — no filtering)</w:t>
            </w:r>
          </w:p>
        </w:tc>
      </w:tr>
      <w:tr>
        <w:tc>
          <w:tcPr>
            <w:tcW w:type="dxa" w:w="600"/>
            <w:shd w:fill="FFFFFF" w:val="clear"/>
          </w:tcPr>
          <w:p>
            <w:r>
              <w:rPr>
                <w:sz w:val="20"/>
                <w:szCs w:val="20"/>
              </w:rPr>
              <w:t xml:space="preserve">5</w:t>
            </w:r>
          </w:p>
        </w:tc>
        <w:tc>
          <w:tcPr>
            <w:tcW w:type="dxa" w:w="2000"/>
            <w:shd w:fill="FFFFFF" w:val="clear"/>
          </w:tcPr>
          <w:p>
            <w:r>
              <w:rPr>
                <w:sz w:val="20"/>
                <w:szCs w:val="20"/>
              </w:rPr>
              <w:t xml:space="preserve">cp-stats</w:t>
            </w:r>
          </w:p>
        </w:tc>
        <w:tc>
          <w:tcPr>
            <w:tcW w:type="dxa" w:w="6200"/>
            <w:shd w:fill="FFFFFF" w:val="clear"/>
          </w:tcPr>
          <w:p>
            <w:r>
              <w:rPr>
                <w:sz w:val="20"/>
                <w:szCs w:val="20"/>
              </w:rPr>
              <w:t xml:space="preserve">GET /stats → Query main table, aggregate by building/room</w:t>
            </w:r>
          </w:p>
        </w:tc>
      </w:tr>
      <w:tr>
        <w:tc>
          <w:tcPr>
            <w:tcW w:type="dxa" w:w="600"/>
            <w:shd w:fill="EBF3FB" w:val="clear"/>
          </w:tcPr>
          <w:p>
            <w:r>
              <w:rPr>
                <w:sz w:val="20"/>
                <w:szCs w:val="20"/>
              </w:rPr>
              <w:t xml:space="preserve">6</w:t>
            </w:r>
          </w:p>
        </w:tc>
        <w:tc>
          <w:tcPr>
            <w:tcW w:type="dxa" w:w="2000"/>
            <w:shd w:fill="EBF3FB" w:val="clear"/>
          </w:tcPr>
          <w:p>
            <w:r>
              <w:rPr>
                <w:sz w:val="20"/>
                <w:szCs w:val="20"/>
              </w:rPr>
              <w:t xml:space="preserve">Browser</w:t>
            </w:r>
          </w:p>
        </w:tc>
        <w:tc>
          <w:tcPr>
            <w:tcW w:type="dxa" w:w="6200"/>
            <w:shd w:fill="EBF3FB" w:val="clear"/>
          </w:tcPr>
          <w:p>
            <w:r>
              <w:rPr>
                <w:sz w:val="20"/>
                <w:szCs w:val="20"/>
              </w:rPr>
              <w:t xml:space="preserve">Renders: alert list, occupancy bars, energy chart, event count tiles</w:t>
            </w:r>
          </w:p>
        </w:tc>
      </w:tr>
    </w:tbl>
    <w:p/>
    <w:p>
      <w:pPr>
        <w:pStyle w:val="Heading2"/>
        <w:spacing w:after="100" w:before="300"/>
      </w:pPr>
      <w:r>
        <w:t xml:space="preserve">DynamoDB Data Model</w:t>
      </w:r>
    </w:p>
    <w:p>
      <w:pPr>
        <w:pStyle w:val="Heading3"/>
        <w:spacing w:after="80" w:before="200"/>
      </w:pPr>
      <w:r>
        <w:t xml:space="preserve">Access Patterns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600"/>
      </w:tblGrid>
      <w:tr>
        <w:trPr>
          <w:tblHeader/>
        </w:trPr>
        <w:tc>
          <w:tcPr>
            <w:tcW w:type="dxa" w:w="2400"/>
            <w:shd w:fill="2E74B5" w:val="clear"/>
          </w:tcPr>
          <w:p>
            <w:r>
              <w:rPr>
                <w:b/>
                <w:bCs/>
                <w:color w:val="FFFFFF"/>
                <w:sz w:val="20"/>
                <w:szCs w:val="20"/>
              </w:rPr>
              <w:t xml:space="preserve">Pattern</w:t>
            </w:r>
          </w:p>
        </w:tc>
        <w:tc>
          <w:tcPr>
            <w:tcW w:type="dxa" w:w="2800"/>
            <w:shd w:fill="2E74B5" w:val="clear"/>
          </w:tcPr>
          <w:p>
            <w:r>
              <w:rPr>
                <w:b/>
                <w:bCs/>
                <w:color w:val="FFFFFF"/>
                <w:sz w:val="20"/>
                <w:szCs w:val="20"/>
              </w:rPr>
              <w:t xml:space="preserve">Query</w:t>
            </w:r>
          </w:p>
        </w:tc>
        <w:tc>
          <w:tcPr>
            <w:tcW w:type="dxa" w:w="1600"/>
            <w:shd w:fill="2E74B5" w:val="clear"/>
          </w:tcPr>
          <w:p>
            <w:r>
              <w:rPr>
                <w:b/>
                <w:bCs/>
                <w:color w:val="FFFFFF"/>
                <w:sz w:val="20"/>
                <w:szCs w:val="20"/>
              </w:rPr>
              <w:t xml:space="preserve">Index</w:t>
            </w:r>
          </w:p>
        </w:tc>
      </w:tr>
      <w:tr>
        <w:tc>
          <w:tcPr>
            <w:tcW w:type="dxa" w:w="2400"/>
            <w:shd w:fill="FFFFFF" w:val="clear"/>
          </w:tcPr>
          <w:p>
            <w:r>
              <w:rPr>
                <w:sz w:val="20"/>
                <w:szCs w:val="20"/>
              </w:rPr>
              <w:t xml:space="preserve">All events today</w:t>
            </w:r>
          </w:p>
        </w:tc>
        <w:tc>
          <w:tcPr>
            <w:tcW w:type="dxa" w:w="2800"/>
            <w:shd w:fill="FFFFFF" w:val="clear"/>
          </w:tcPr>
          <w:p>
            <w:r>
              <w:rPr>
                <w:sz w:val="20"/>
                <w:szCs w:val="20"/>
              </w:rPr>
              <w:t xml:space="preserve">PK = DAY#2026-10-05</w:t>
            </w:r>
          </w:p>
        </w:tc>
        <w:tc>
          <w:tcPr>
            <w:tcW w:type="dxa" w:w="1600"/>
            <w:shd w:fill="FFFFFF" w:val="clear"/>
          </w:tcPr>
          <w:p>
            <w:r>
              <w:rPr>
                <w:sz w:val="20"/>
                <w:szCs w:val="20"/>
              </w:rPr>
              <w:t xml:space="preserve">Main table</w:t>
            </w:r>
          </w:p>
        </w:tc>
      </w:tr>
      <w:tr>
        <w:tc>
          <w:tcPr>
            <w:tcW w:type="dxa" w:w="2400"/>
            <w:shd w:fill="EBF3FB" w:val="clear"/>
          </w:tcPr>
          <w:p>
            <w:r>
              <w:rPr>
                <w:sz w:val="20"/>
                <w:szCs w:val="20"/>
              </w:rPr>
              <w:t xml:space="preserve">Events by building today</w:t>
            </w:r>
          </w:p>
        </w:tc>
        <w:tc>
          <w:tcPr>
            <w:tcW w:type="dxa" w:w="2800"/>
            <w:shd w:fill="EBF3FB" w:val="clear"/>
          </w:tcPr>
          <w:p>
            <w:r>
              <w:rPr>
                <w:sz w:val="20"/>
                <w:szCs w:val="20"/>
              </w:rPr>
              <w:t xml:space="preserve">PK = BUILDING#Library-A#DAY#2026-10-05</w:t>
            </w:r>
          </w:p>
        </w:tc>
        <w:tc>
          <w:tcPr>
            <w:tcW w:type="dxa" w:w="1600"/>
            <w:shd w:fill="EBF3FB" w:val="clear"/>
          </w:tcPr>
          <w:p>
            <w:r>
              <w:rPr>
                <w:sz w:val="20"/>
                <w:szCs w:val="20"/>
              </w:rPr>
              <w:t xml:space="preserve">GSI1</w:t>
            </w:r>
          </w:p>
        </w:tc>
      </w:tr>
      <w:tr>
        <w:tc>
          <w:tcPr>
            <w:tcW w:type="dxa" w:w="2400"/>
            <w:shd w:fill="FFFFFF" w:val="clear"/>
          </w:tcPr>
          <w:p>
            <w:r>
              <w:rPr>
                <w:sz w:val="20"/>
                <w:szCs w:val="20"/>
              </w:rPr>
              <w:t xml:space="preserve">All alerts today</w:t>
            </w:r>
          </w:p>
        </w:tc>
        <w:tc>
          <w:tcPr>
            <w:tcW w:type="dxa" w:w="2800"/>
            <w:shd w:fill="FFFFFF" w:val="clear"/>
          </w:tcPr>
          <w:p>
            <w:r>
              <w:rPr>
                <w:sz w:val="20"/>
                <w:szCs w:val="20"/>
              </w:rPr>
              <w:t xml:space="preserve">PK = ALERT#DAY#2026-10-05</w:t>
            </w:r>
          </w:p>
        </w:tc>
        <w:tc>
          <w:tcPr>
            <w:tcW w:type="dxa" w:w="1600"/>
            <w:shd w:fill="FFFFFF" w:val="clear"/>
          </w:tcPr>
          <w:p>
            <w:r>
              <w:rPr>
                <w:sz w:val="20"/>
                <w:szCs w:val="20"/>
              </w:rPr>
              <w:t xml:space="preserve">GSI2 (sparse)</w:t>
            </w:r>
          </w:p>
        </w:tc>
      </w:tr>
      <w:tr>
        <w:tc>
          <w:tcPr>
            <w:tcW w:type="dxa" w:w="2400"/>
            <w:shd w:fill="EBF3FB" w:val="clear"/>
          </w:tcPr>
          <w:p>
            <w:r>
              <w:rPr>
                <w:sz w:val="20"/>
                <w:szCs w:val="20"/>
              </w:rPr>
              <w:t xml:space="preserve">Stats for today</w:t>
            </w:r>
          </w:p>
        </w:tc>
        <w:tc>
          <w:tcPr>
            <w:tcW w:type="dxa" w:w="2800"/>
            <w:shd w:fill="EBF3FB" w:val="clear"/>
          </w:tcPr>
          <w:p>
            <w:r>
              <w:rPr>
                <w:sz w:val="20"/>
                <w:szCs w:val="20"/>
              </w:rPr>
              <w:t xml:space="preserve">PK = DAY#2026-10-05 (scan with limit)</w:t>
            </w:r>
          </w:p>
        </w:tc>
        <w:tc>
          <w:tcPr>
            <w:tcW w:type="dxa" w:w="1600"/>
            <w:shd w:fill="EBF3FB" w:val="clear"/>
          </w:tcPr>
          <w:p>
            <w:r>
              <w:rPr>
                <w:sz w:val="20"/>
                <w:szCs w:val="20"/>
              </w:rPr>
              <w:t xml:space="preserve">Main table</w:t>
            </w:r>
          </w:p>
        </w:tc>
      </w:tr>
      <w:tr>
        <w:tc>
          <w:tcPr>
            <w:tcW w:type="dxa" w:w="2400"/>
            <w:shd w:fill="FFFFFF" w:val="clear"/>
          </w:tcPr>
          <w:p>
            <w:r>
              <w:rPr>
                <w:sz w:val="20"/>
                <w:szCs w:val="20"/>
              </w:rPr>
              <w:t xml:space="preserve">Recent events (last N)</w:t>
            </w:r>
          </w:p>
        </w:tc>
        <w:tc>
          <w:tcPr>
            <w:tcW w:type="dxa" w:w="2800"/>
            <w:shd w:fill="FFFFFF" w:val="clear"/>
          </w:tcPr>
          <w:p>
            <w:r>
              <w:rPr>
                <w:sz w:val="20"/>
                <w:szCs w:val="20"/>
              </w:rPr>
              <w:t xml:space="preserve">PK = DAY#2026-10-05, SK descending, limit N</w:t>
            </w:r>
          </w:p>
        </w:tc>
        <w:tc>
          <w:tcPr>
            <w:tcW w:type="dxa" w:w="1600"/>
            <w:shd w:fill="FFFFFF" w:val="clear"/>
          </w:tcPr>
          <w:p>
            <w:r>
              <w:rPr>
                <w:sz w:val="20"/>
                <w:szCs w:val="20"/>
              </w:rPr>
              <w:t xml:space="preserve">Main table</w:t>
            </w:r>
          </w:p>
        </w:tc>
      </w:tr>
    </w:tbl>
    <w:p>
      <w:pPr>
        <w:spacing w:after="80" w:before="80"/>
      </w:pPr>
      <w:r>
        <w:rPr>
          <w:b w:val="false"/>
          <w:bCs w:val="false"/>
          <w:sz w:val="22"/>
          <w:szCs w:val="22"/>
        </w:rPr>
        <w:t xml:space="preserve">There is NO Scan anywhere. Every query supplies a partition key. This ensures cost and latency stay bounded regardless of table size.</w:t>
      </w:r>
    </w:p>
    <w:p/>
    <w:p>
      <w:pPr>
        <w:pStyle w:val="Heading2"/>
        <w:spacing w:after="100" w:before="300"/>
      </w:pPr>
      <w:r>
        <w:t xml:space="preserve">IAM Trust Model</w:t>
      </w:r>
    </w:p>
    <w:p>
      <w:pPr>
        <w:spacing w:after="80" w:before="80"/>
      </w:pPr>
      <w:r>
        <w:rPr>
          <w:b w:val="false"/>
          <w:bCs w:val="false"/>
          <w:sz w:val="22"/>
          <w:szCs w:val="22"/>
        </w:rPr>
        <w:t xml:space="preserve">Each Lambda function has exactly one IAM role. Each role grants exactly what that function needs — nothing more.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200"/>
      </w:tblGrid>
      <w:tr>
        <w:trPr>
          <w:tblHeader/>
        </w:trPr>
        <w:tc>
          <w:tcPr>
            <w:tcW w:type="dxa" w:w="1800"/>
            <w:shd w:fill="2E74B5" w:val="clear"/>
          </w:tcPr>
          <w:p>
            <w:r>
              <w:rPr>
                <w:b/>
                <w:bCs/>
                <w:color w:val="FFFFFF"/>
                <w:sz w:val="20"/>
                <w:szCs w:val="20"/>
              </w:rPr>
              <w:t xml:space="preserve">Function</w:t>
            </w:r>
          </w:p>
        </w:tc>
        <w:tc>
          <w:tcPr>
            <w:tcW w:type="dxa" w:w="2800"/>
            <w:shd w:fill="2E74B5" w:val="clear"/>
          </w:tcPr>
          <w:p>
            <w:r>
              <w:rPr>
                <w:b/>
                <w:bCs/>
                <w:color w:val="FFFFFF"/>
                <w:sz w:val="20"/>
                <w:szCs w:val="20"/>
              </w:rPr>
              <w:t xml:space="preserve">Can do</w:t>
            </w:r>
          </w:p>
        </w:tc>
        <w:tc>
          <w:tcPr>
            <w:tcW w:type="dxa" w:w="4200"/>
            <w:shd w:fill="2E74B5" w:val="clear"/>
          </w:tcPr>
          <w:p>
            <w:r>
              <w:rPr>
                <w:b/>
                <w:bCs/>
                <w:color w:val="FFFFFF"/>
                <w:sz w:val="20"/>
                <w:szCs w:val="20"/>
              </w:rPr>
              <w:t xml:space="preserve">Cannot do</w:t>
            </w:r>
          </w:p>
        </w:tc>
      </w:tr>
      <w:tr>
        <w:tc>
          <w:tcPr>
            <w:tcW w:type="dxa" w:w="1800"/>
            <w:shd w:fill="FFFFFF" w:val="clear"/>
          </w:tcPr>
          <w:p>
            <w:r>
              <w:rPr>
                <w:sz w:val="20"/>
                <w:szCs w:val="20"/>
              </w:rPr>
              <w:t xml:space="preserve">cp-health</w:t>
            </w:r>
          </w:p>
        </w:tc>
        <w:tc>
          <w:tcPr>
            <w:tcW w:type="dxa" w:w="2800"/>
            <w:shd w:fill="FFFFFF" w:val="clear"/>
          </w:tcPr>
          <w:p>
            <w:r>
              <w:rPr>
                <w:sz w:val="20"/>
                <w:szCs w:val="20"/>
              </w:rPr>
              <w:t xml:space="preserve">Write logs</w:t>
            </w:r>
          </w:p>
        </w:tc>
        <w:tc>
          <w:tcPr>
            <w:tcW w:type="dxa" w:w="4200"/>
            <w:shd w:fill="FFFFFF" w:val="clear"/>
          </w:tcPr>
          <w:p>
            <w:r>
              <w:rPr>
                <w:sz w:val="20"/>
                <w:szCs w:val="20"/>
              </w:rPr>
              <w:t xml:space="preserve">Anything else</w:t>
            </w:r>
          </w:p>
        </w:tc>
      </w:tr>
      <w:tr>
        <w:tc>
          <w:tcPr>
            <w:tcW w:type="dxa" w:w="1800"/>
            <w:shd w:fill="EBF3FB" w:val="clear"/>
          </w:tcPr>
          <w:p>
            <w:r>
              <w:rPr>
                <w:sz w:val="20"/>
                <w:szCs w:val="20"/>
              </w:rPr>
              <w:t xml:space="preserve">cp-auth</w:t>
            </w:r>
          </w:p>
        </w:tc>
        <w:tc>
          <w:tcPr>
            <w:tcW w:type="dxa" w:w="2800"/>
            <w:shd w:fill="EBF3FB" w:val="clear"/>
          </w:tcPr>
          <w:p>
            <w:r>
              <w:rPr>
                <w:sz w:val="20"/>
                <w:szCs w:val="20"/>
              </w:rPr>
              <w:t xml:space="preserve">Call Cognito InitiateAuth on our pool</w:t>
            </w:r>
          </w:p>
        </w:tc>
        <w:tc>
          <w:tcPr>
            <w:tcW w:type="dxa" w:w="4200"/>
            <w:shd w:fill="EBF3FB" w:val="clear"/>
          </w:tcPr>
          <w:p>
            <w:r>
              <w:rPr>
                <w:sz w:val="20"/>
                <w:szCs w:val="20"/>
              </w:rPr>
              <w:t xml:space="preserve">Anything else</w:t>
            </w:r>
          </w:p>
        </w:tc>
      </w:tr>
      <w:tr>
        <w:tc>
          <w:tcPr>
            <w:tcW w:type="dxa" w:w="1800"/>
            <w:shd w:fill="FFFFFF" w:val="clear"/>
          </w:tcPr>
          <w:p>
            <w:r>
              <w:rPr>
                <w:sz w:val="20"/>
                <w:szCs w:val="20"/>
              </w:rPr>
              <w:t xml:space="preserve">cp-ingest</w:t>
            </w:r>
          </w:p>
        </w:tc>
        <w:tc>
          <w:tcPr>
            <w:tcW w:type="dxa" w:w="2800"/>
            <w:shd w:fill="FFFFFF" w:val="clear"/>
          </w:tcPr>
          <w:p>
            <w:r>
              <w:rPr>
                <w:sz w:val="20"/>
                <w:szCs w:val="20"/>
              </w:rPr>
              <w:t xml:space="preserve">PutItem on campuspulse-dev-events</w:t>
            </w:r>
          </w:p>
        </w:tc>
        <w:tc>
          <w:tcPr>
            <w:tcW w:type="dxa" w:w="4200"/>
            <w:shd w:fill="FFFFFF" w:val="clear"/>
          </w:tcPr>
          <w:p>
            <w:r>
              <w:rPr>
                <w:sz w:val="20"/>
                <w:szCs w:val="20"/>
              </w:rPr>
              <w:t xml:space="preserve">Read the table, write to S3, call Cognito</w:t>
            </w:r>
          </w:p>
        </w:tc>
      </w:tr>
      <w:tr>
        <w:tc>
          <w:tcPr>
            <w:tcW w:type="dxa" w:w="1800"/>
            <w:shd w:fill="EBF3FB" w:val="clear"/>
          </w:tcPr>
          <w:p>
            <w:r>
              <w:rPr>
                <w:sz w:val="20"/>
                <w:szCs w:val="20"/>
              </w:rPr>
              <w:t xml:space="preserve">cp-query</w:t>
            </w:r>
          </w:p>
        </w:tc>
        <w:tc>
          <w:tcPr>
            <w:tcW w:type="dxa" w:w="2800"/>
            <w:shd w:fill="EBF3FB" w:val="clear"/>
          </w:tcPr>
          <w:p>
            <w:r>
              <w:rPr>
                <w:sz w:val="20"/>
                <w:szCs w:val="20"/>
              </w:rPr>
              <w:t xml:space="preserve">Query on table and indexes</w:t>
            </w:r>
          </w:p>
        </w:tc>
        <w:tc>
          <w:tcPr>
            <w:tcW w:type="dxa" w:w="4200"/>
            <w:shd w:fill="EBF3FB" w:val="clear"/>
          </w:tcPr>
          <w:p>
            <w:r>
              <w:rPr>
                <w:sz w:val="20"/>
                <w:szCs w:val="20"/>
              </w:rPr>
              <w:t xml:space="preserve">Write anything, call Cognito</w:t>
            </w:r>
          </w:p>
        </w:tc>
      </w:tr>
      <w:tr>
        <w:tc>
          <w:tcPr>
            <w:tcW w:type="dxa" w:w="1800"/>
            <w:shd w:fill="FFFFFF" w:val="clear"/>
          </w:tcPr>
          <w:p>
            <w:r>
              <w:rPr>
                <w:sz w:val="20"/>
                <w:szCs w:val="20"/>
              </w:rPr>
              <w:t xml:space="preserve">cp-stats</w:t>
            </w:r>
          </w:p>
        </w:tc>
        <w:tc>
          <w:tcPr>
            <w:tcW w:type="dxa" w:w="2800"/>
            <w:shd w:fill="FFFFFF" w:val="clear"/>
          </w:tcPr>
          <w:p>
            <w:r>
              <w:rPr>
                <w:sz w:val="20"/>
                <w:szCs w:val="20"/>
              </w:rPr>
              <w:t xml:space="preserve">Query on table and indexes</w:t>
            </w:r>
          </w:p>
        </w:tc>
        <w:tc>
          <w:tcPr>
            <w:tcW w:type="dxa" w:w="4200"/>
            <w:shd w:fill="FFFFFF" w:val="clear"/>
          </w:tcPr>
          <w:p>
            <w:r>
              <w:rPr>
                <w:sz w:val="20"/>
                <w:szCs w:val="20"/>
              </w:rPr>
              <w:t xml:space="preserve">Write anything, call Cognito</w:t>
            </w:r>
          </w:p>
        </w:tc>
      </w:tr>
    </w:tbl>
    <w:p>
      <w:pPr>
        <w:spacing w:after="80" w:before="80"/>
      </w:pPr>
      <w:r>
        <w:rPr>
          <w:b w:val="false"/>
          <w:bCs w:val="false"/>
          <w:sz w:val="22"/>
          <w:szCs w:val="22"/>
        </w:rPr>
        <w:t xml:space="preserve">This means: if cp-ingest is compromised, the attacker can add junk events but cannot read student data, cannot delete records, and cannot escalate to other services.</w:t>
      </w:r>
    </w:p>
    <w:p/>
    <w:p>
      <w:pPr>
        <w:pStyle w:val="Heading2"/>
        <w:spacing w:after="100" w:before="300"/>
      </w:pPr>
      <w:r>
        <w:t xml:space="preserve">Cost Architecture</w:t>
      </w:r>
    </w:p>
    <w:p>
      <w:pPr>
        <w:pStyle w:val="Heading3"/>
        <w:spacing w:after="80" w:before="200"/>
      </w:pPr>
      <w:r>
        <w:t xml:space="preserve">Nothing in this architecture bills by the hour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200"/>
      </w:tblGrid>
      <w:tr>
        <w:trPr>
          <w:tblHeader/>
        </w:trPr>
        <w:tc>
          <w:tcPr>
            <w:tcW w:type="dxa" w:w="2200"/>
            <w:shd w:fill="2E74B5" w:val="clear"/>
          </w:tcPr>
          <w:p>
            <w:r>
              <w:rPr>
                <w:b/>
                <w:bCs/>
                <w:color w:val="FFFFFF"/>
                <w:sz w:val="20"/>
                <w:szCs w:val="20"/>
              </w:rPr>
              <w:t xml:space="preserve">Component</w:t>
            </w:r>
          </w:p>
        </w:tc>
        <w:tc>
          <w:tcPr>
            <w:tcW w:type="dxa" w:w="2400"/>
            <w:shd w:fill="2E74B5" w:val="clear"/>
          </w:tcPr>
          <w:p>
            <w:r>
              <w:rPr>
                <w:b/>
                <w:bCs/>
                <w:color w:val="FFFFFF"/>
                <w:sz w:val="20"/>
                <w:szCs w:val="20"/>
              </w:rPr>
              <w:t xml:space="preserve">Billing model</w:t>
            </w:r>
          </w:p>
        </w:tc>
        <w:tc>
          <w:tcPr>
            <w:tcW w:type="dxa" w:w="4200"/>
            <w:shd w:fill="2E74B5" w:val="clear"/>
          </w:tcPr>
          <w:p>
            <w:r>
              <w:rPr>
                <w:b/>
                <w:bCs/>
                <w:color w:val="FFFFFF"/>
                <w:sz w:val="20"/>
                <w:szCs w:val="20"/>
              </w:rPr>
              <w:t xml:space="preserve">Cost at our scale</w:t>
            </w:r>
          </w:p>
        </w:tc>
      </w:tr>
      <w:tr>
        <w:tc>
          <w:tcPr>
            <w:tcW w:type="dxa" w:w="2200"/>
            <w:shd w:fill="FFFFFF" w:val="clear"/>
          </w:tcPr>
          <w:p>
            <w:r>
              <w:rPr>
                <w:sz w:val="20"/>
                <w:szCs w:val="20"/>
              </w:rPr>
              <w:t xml:space="preserve">Lambda</w:t>
            </w:r>
          </w:p>
        </w:tc>
        <w:tc>
          <w:tcPr>
            <w:tcW w:type="dxa" w:w="2400"/>
            <w:shd w:fill="FFFFFF" w:val="clear"/>
          </w:tcPr>
          <w:p>
            <w:r>
              <w:rPr>
                <w:sz w:val="20"/>
                <w:szCs w:val="20"/>
              </w:rPr>
              <w:t xml:space="preserve">Per request + per GB-second</w:t>
            </w:r>
          </w:p>
        </w:tc>
        <w:tc>
          <w:tcPr>
            <w:tcW w:type="dxa" w:w="4200"/>
            <w:shd w:fill="FFFFFF" w:val="clear"/>
          </w:tcPr>
          <w:p>
            <w:r>
              <w:rPr>
                <w:sz w:val="20"/>
                <w:szCs w:val="20"/>
              </w:rPr>
              <w:t xml:space="preserve">~$0 (within free tier)</w:t>
            </w:r>
          </w:p>
        </w:tc>
      </w:tr>
      <w:tr>
        <w:tc>
          <w:tcPr>
            <w:tcW w:type="dxa" w:w="2200"/>
            <w:shd w:fill="EBF3FB" w:val="clear"/>
          </w:tcPr>
          <w:p>
            <w:r>
              <w:rPr>
                <w:sz w:val="20"/>
                <w:szCs w:val="20"/>
              </w:rPr>
              <w:t xml:space="preserve">API Gateway (HTTP)</w:t>
            </w:r>
          </w:p>
        </w:tc>
        <w:tc>
          <w:tcPr>
            <w:tcW w:type="dxa" w:w="2400"/>
            <w:shd w:fill="EBF3FB" w:val="clear"/>
          </w:tcPr>
          <w:p>
            <w:r>
              <w:rPr>
                <w:sz w:val="20"/>
                <w:szCs w:val="20"/>
              </w:rPr>
              <w:t xml:space="preserve">$1.00 per million requests</w:t>
            </w:r>
          </w:p>
        </w:tc>
        <w:tc>
          <w:tcPr>
            <w:tcW w:type="dxa" w:w="4200"/>
            <w:shd w:fill="EBF3FB" w:val="clear"/>
          </w:tcPr>
          <w:p>
            <w:r>
              <w:rPr>
                <w:sz w:val="20"/>
                <w:szCs w:val="20"/>
              </w:rPr>
              <w:t xml:space="preserve">~$0 (within free tier for 12 months)</w:t>
            </w:r>
          </w:p>
        </w:tc>
      </w:tr>
      <w:tr>
        <w:tc>
          <w:tcPr>
            <w:tcW w:type="dxa" w:w="2200"/>
            <w:shd w:fill="FFFFFF" w:val="clear"/>
          </w:tcPr>
          <w:p>
            <w:r>
              <w:rPr>
                <w:sz w:val="20"/>
                <w:szCs w:val="20"/>
              </w:rPr>
              <w:t xml:space="preserve">DynamoDB on-demand</w:t>
            </w:r>
          </w:p>
        </w:tc>
        <w:tc>
          <w:tcPr>
            <w:tcW w:type="dxa" w:w="2400"/>
            <w:shd w:fill="FFFFFF" w:val="clear"/>
          </w:tcPr>
          <w:p>
            <w:r>
              <w:rPr>
                <w:sz w:val="20"/>
                <w:szCs w:val="20"/>
              </w:rPr>
              <w:t xml:space="preserve">Per read/write request unit</w:t>
            </w:r>
          </w:p>
        </w:tc>
        <w:tc>
          <w:tcPr>
            <w:tcW w:type="dxa" w:w="4200"/>
            <w:shd w:fill="FFFFFF" w:val="clear"/>
          </w:tcPr>
          <w:p>
            <w:r>
              <w:rPr>
                <w:sz w:val="20"/>
                <w:szCs w:val="20"/>
              </w:rPr>
              <w:t xml:space="preserve">~$0.06 for ~100k writes</w:t>
            </w:r>
          </w:p>
        </w:tc>
      </w:tr>
      <w:tr>
        <w:tc>
          <w:tcPr>
            <w:tcW w:type="dxa" w:w="2200"/>
            <w:shd w:fill="EBF3FB" w:val="clear"/>
          </w:tcPr>
          <w:p>
            <w:r>
              <w:rPr>
                <w:sz w:val="20"/>
                <w:szCs w:val="20"/>
              </w:rPr>
              <w:t xml:space="preserve">Cognito (Essentials)</w:t>
            </w:r>
          </w:p>
        </w:tc>
        <w:tc>
          <w:tcPr>
            <w:tcW w:type="dxa" w:w="2400"/>
            <w:shd w:fill="EBF3FB" w:val="clear"/>
          </w:tcPr>
          <w:p>
            <w:r>
              <w:rPr>
                <w:sz w:val="20"/>
                <w:szCs w:val="20"/>
              </w:rPr>
              <w:t xml:space="preserve">Per MAU over 10,000</w:t>
            </w:r>
          </w:p>
        </w:tc>
        <w:tc>
          <w:tcPr>
            <w:tcW w:type="dxa" w:w="4200"/>
            <w:shd w:fill="EBF3FB" w:val="clear"/>
          </w:tcPr>
          <w:p>
            <w:r>
              <w:rPr>
                <w:sz w:val="20"/>
                <w:szCs w:val="20"/>
              </w:rPr>
              <w:t xml:space="preserve">~$0 (6 users)</w:t>
            </w:r>
          </w:p>
        </w:tc>
      </w:tr>
      <w:tr>
        <w:tc>
          <w:tcPr>
            <w:tcW w:type="dxa" w:w="2200"/>
            <w:shd w:fill="FFFFFF" w:val="clear"/>
          </w:tcPr>
          <w:p>
            <w:r>
              <w:rPr>
                <w:sz w:val="20"/>
                <w:szCs w:val="20"/>
              </w:rPr>
              <w:t xml:space="preserve">CloudWatch</w:t>
            </w:r>
          </w:p>
        </w:tc>
        <w:tc>
          <w:tcPr>
            <w:tcW w:type="dxa" w:w="2400"/>
            <w:shd w:fill="FFFFFF" w:val="clear"/>
          </w:tcPr>
          <w:p>
            <w:r>
              <w:rPr>
                <w:sz w:val="20"/>
                <w:szCs w:val="20"/>
              </w:rPr>
              <w:t xml:space="preserve">Per log GB + per metric over 10</w:t>
            </w:r>
          </w:p>
        </w:tc>
        <w:tc>
          <w:tcPr>
            <w:tcW w:type="dxa" w:w="4200"/>
            <w:shd w:fill="FFFFFF" w:val="clear"/>
          </w:tcPr>
          <w:p>
            <w:r>
              <w:rPr>
                <w:sz w:val="20"/>
                <w:szCs w:val="20"/>
              </w:rPr>
              <w:t xml:space="preserve">~$0 (within free tier)</w:t>
            </w:r>
          </w:p>
        </w:tc>
      </w:tr>
      <w:tr>
        <w:tc>
          <w:tcPr>
            <w:tcW w:type="dxa" w:w="2200"/>
            <w:shd w:fill="EBF3FB" w:val="clear"/>
          </w:tcPr>
          <w:p>
            <w:r>
              <w:rPr>
                <w:sz w:val="20"/>
                <w:szCs w:val="20"/>
              </w:rPr>
              <w:t xml:space="preserve">S3</w:t>
            </w:r>
          </w:p>
        </w:tc>
        <w:tc>
          <w:tcPr>
            <w:tcW w:type="dxa" w:w="2400"/>
            <w:shd w:fill="EBF3FB" w:val="clear"/>
          </w:tcPr>
          <w:p>
            <w:r>
              <w:rPr>
                <w:sz w:val="20"/>
                <w:szCs w:val="20"/>
              </w:rPr>
              <w:t xml:space="preserve">Per GB + per request</w:t>
            </w:r>
          </w:p>
        </w:tc>
        <w:tc>
          <w:tcPr>
            <w:tcW w:type="dxa" w:w="4200"/>
            <w:shd w:fill="EBF3FB" w:val="clear"/>
          </w:tcPr>
          <w:p>
            <w:r>
              <w:rPr>
                <w:sz w:val="20"/>
                <w:szCs w:val="20"/>
              </w:rPr>
              <w:t xml:space="preserve">~$0 (&lt;1 MB, few requests)</w:t>
            </w:r>
          </w:p>
        </w:tc>
      </w:tr>
    </w:tbl>
    <w:p/>
    <w:p>
      <w:pPr>
        <w:spacing w:after="80" w:before="80"/>
      </w:pPr>
      <w:r>
        <w:rPr>
          <w:b w:val="false"/>
          <w:bCs w:val="false"/>
          <w:sz w:val="22"/>
          <w:szCs w:val="22"/>
        </w:rPr>
        <w:t xml:space="preserve">Biggest saving: NO NAT Gateway (~$32/month). Possible because all components are fully managed AWS services — no EC2 instance inside a VPC needs internet access.</w:t>
      </w:r>
    </w:p>
    <w:p/>
    <w:p>
      <w:pPr>
        <w:pStyle w:val="Heading2"/>
        <w:spacing w:after="100" w:before="300"/>
      </w:pPr>
      <w:r>
        <w:t xml:space="preserve">Scalability Ceilings (Honest)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400"/>
      </w:tblGrid>
      <w:tr>
        <w:trPr>
          <w:tblHeader/>
        </w:trPr>
        <w:tc>
          <w:tcPr>
            <w:tcW w:type="dxa" w:w="2400"/>
            <w:shd w:fill="2E74B5" w:val="clear"/>
          </w:tcPr>
          <w:p>
            <w:r>
              <w:rPr>
                <w:b/>
                <w:bCs/>
                <w:color w:val="FFFFFF"/>
                <w:sz w:val="20"/>
                <w:szCs w:val="20"/>
              </w:rPr>
              <w:t xml:space="preserve">Ceiling</w:t>
            </w:r>
          </w:p>
        </w:tc>
        <w:tc>
          <w:tcPr>
            <w:tcW w:type="dxa" w:w="2000"/>
            <w:shd w:fill="2E74B5" w:val="clear"/>
          </w:tcPr>
          <w:p>
            <w:r>
              <w:rPr>
                <w:b/>
                <w:bCs/>
                <w:color w:val="FFFFFF"/>
                <w:sz w:val="20"/>
                <w:szCs w:val="20"/>
              </w:rPr>
              <w:t xml:space="preserve">Value</w:t>
            </w:r>
          </w:p>
        </w:tc>
        <w:tc>
          <w:tcPr>
            <w:tcW w:type="dxa" w:w="4400"/>
            <w:shd w:fill="2E74B5" w:val="clear"/>
          </w:tcPr>
          <w:p>
            <w:r>
              <w:rPr>
                <w:b/>
                <w:bCs/>
                <w:color w:val="FFFFFF"/>
                <w:sz w:val="20"/>
                <w:szCs w:val="20"/>
              </w:rPr>
              <w:t xml:space="preserve">Fix (designed, not built)</w:t>
            </w:r>
          </w:p>
        </w:tc>
      </w:tr>
      <w:tr>
        <w:tc>
          <w:tcPr>
            <w:tcW w:type="dxa" w:w="2400"/>
            <w:shd w:fill="FFFFFF" w:val="clear"/>
          </w:tcPr>
          <w:p>
            <w:r>
              <w:rPr>
                <w:sz w:val="20"/>
                <w:szCs w:val="20"/>
              </w:rPr>
              <w:t xml:space="preserve">DynamoDB writes per second</w:t>
            </w:r>
          </w:p>
        </w:tc>
        <w:tc>
          <w:tcPr>
            <w:tcW w:type="dxa" w:w="2000"/>
            <w:shd w:fill="FFFFFF" w:val="clear"/>
          </w:tcPr>
          <w:p>
            <w:r>
              <w:rPr>
                <w:sz w:val="20"/>
                <w:szCs w:val="20"/>
              </w:rPr>
              <w:t xml:space="preserve">~1,000 WCU/s per partition</w:t>
            </w:r>
          </w:p>
        </w:tc>
        <w:tc>
          <w:tcPr>
            <w:tcW w:type="dxa" w:w="4400"/>
            <w:shd w:fill="FFFFFF" w:val="clear"/>
          </w:tcPr>
          <w:p>
            <w:r>
              <w:rPr>
                <w:sz w:val="20"/>
                <w:szCs w:val="20"/>
              </w:rPr>
              <w:t xml:space="preserve">Shard partition key: DAY#2026-10-05#0 … #9</w:t>
            </w:r>
          </w:p>
        </w:tc>
      </w:tr>
      <w:tr>
        <w:tc>
          <w:tcPr>
            <w:tcW w:type="dxa" w:w="2400"/>
            <w:shd w:fill="EBF3FB" w:val="clear"/>
          </w:tcPr>
          <w:p>
            <w:r>
              <w:rPr>
                <w:sz w:val="20"/>
                <w:szCs w:val="20"/>
              </w:rPr>
              <w:t xml:space="preserve">/stats at high volume</w:t>
            </w:r>
          </w:p>
        </w:tc>
        <w:tc>
          <w:tcPr>
            <w:tcW w:type="dxa" w:w="2000"/>
            <w:shd w:fill="EBF3FB" w:val="clear"/>
          </w:tcPr>
          <w:p>
            <w:r>
              <w:rPr>
                <w:sz w:val="20"/>
                <w:szCs w:val="20"/>
              </w:rPr>
              <w:t xml:space="preserve">Truncates at 10 pages</w:t>
            </w:r>
          </w:p>
        </w:tc>
        <w:tc>
          <w:tcPr>
            <w:tcW w:type="dxa" w:w="4400"/>
            <w:shd w:fill="EBF3FB" w:val="clear"/>
          </w:tcPr>
          <w:p>
            <w:r>
              <w:rPr>
                <w:sz w:val="20"/>
                <w:szCs w:val="20"/>
              </w:rPr>
              <w:t xml:space="preserve">DynamoDB Streams → pre-aggregated counters</w:t>
            </w:r>
          </w:p>
        </w:tc>
      </w:tr>
      <w:tr>
        <w:tc>
          <w:tcPr>
            <w:tcW w:type="dxa" w:w="2400"/>
            <w:shd w:fill="FFFFFF" w:val="clear"/>
          </w:tcPr>
          <w:p>
            <w:r>
              <w:rPr>
                <w:sz w:val="20"/>
                <w:szCs w:val="20"/>
              </w:rPr>
              <w:t xml:space="preserve">Dashboard concurrent users</w:t>
            </w:r>
          </w:p>
        </w:tc>
        <w:tc>
          <w:tcPr>
            <w:tcW w:type="dxa" w:w="2000"/>
            <w:shd w:fill="FFFFFF" w:val="clear"/>
          </w:tcPr>
          <w:p>
            <w:r>
              <w:rPr>
                <w:sz w:val="20"/>
                <w:szCs w:val="20"/>
              </w:rPr>
              <w:t xml:space="preserve">~30 req/s hits throttle</w:t>
            </w:r>
          </w:p>
        </w:tc>
        <w:tc>
          <w:tcPr>
            <w:tcW w:type="dxa" w:w="4400"/>
            <w:shd w:fill="FFFFFF" w:val="clear"/>
          </w:tcPr>
          <w:p>
            <w:r>
              <w:rPr>
                <w:sz w:val="20"/>
                <w:szCs w:val="20"/>
              </w:rPr>
              <w:t xml:space="preserve">Raise throttle limit (one-value change)</w:t>
            </w:r>
          </w:p>
        </w:tc>
      </w:tr>
      <w:tr>
        <w:tc>
          <w:tcPr>
            <w:tcW w:type="dxa" w:w="2400"/>
            <w:shd w:fill="EBF3FB" w:val="clear"/>
          </w:tcPr>
          <w:p>
            <w:r>
              <w:rPr>
                <w:sz w:val="20"/>
                <w:szCs w:val="20"/>
              </w:rPr>
              <w:t xml:space="preserve">Token revocation</w:t>
            </w:r>
          </w:p>
        </w:tc>
        <w:tc>
          <w:tcPr>
            <w:tcW w:type="dxa" w:w="2000"/>
            <w:shd w:fill="EBF3FB" w:val="clear"/>
          </w:tcPr>
          <w:p>
            <w:r>
              <w:rPr>
                <w:sz w:val="20"/>
                <w:szCs w:val="20"/>
              </w:rPr>
              <w:t xml:space="preserve">Stolen token valid for 60 min</w:t>
            </w:r>
          </w:p>
        </w:tc>
        <w:tc>
          <w:tcPr>
            <w:tcW w:type="dxa" w:w="4400"/>
            <w:shd w:fill="EBF3FB" w:val="clear"/>
          </w:tcPr>
          <w:p>
            <w:r>
              <w:rPr>
                <w:sz w:val="20"/>
                <w:szCs w:val="20"/>
              </w:rPr>
              <w:t xml:space="preserve">Token blocklist in DynamoDB (future)</w:t>
            </w:r>
          </w:p>
        </w:tc>
      </w:tr>
    </w:tbl>
    <w:p/>
    <w:p>
      <w:pPr>
        <w:pStyle w:val="Heading2"/>
        <w:spacing w:after="100" w:before="300"/>
      </w:pPr>
      <w:r>
        <w:t xml:space="preserve">What Is Not Built (Honest)</w:t>
      </w:r>
    </w:p>
    <w:p>
      <w:pPr>
        <w:pStyle w:val="ListParagraph"/>
        <w:numPr>
          <w:ilvl w:val="0"/>
          <w:numId w:val="1"/>
        </w:numPr>
        <w:spacing w:after="40" w:before="40"/>
      </w:pPr>
      <w:r>
        <w:rPr>
          <w:sz w:val="22"/>
          <w:szCs w:val="22"/>
        </w:rPr>
        <w:t xml:space="preserve">Multi-region deployment or automatic failover</w:t>
      </w:r>
    </w:p>
    <w:p>
      <w:pPr>
        <w:pStyle w:val="ListParagraph"/>
        <w:numPr>
          <w:ilvl w:val="0"/>
          <w:numId w:val="1"/>
        </w:numPr>
        <w:spacing w:after="40" w:before="40"/>
      </w:pPr>
      <w:r>
        <w:rPr>
          <w:sz w:val="22"/>
          <w:szCs w:val="22"/>
        </w:rPr>
        <w:t xml:space="preserve">CI/CD pipeline</w:t>
      </w:r>
    </w:p>
    <w:p>
      <w:pPr>
        <w:pStyle w:val="ListParagraph"/>
        <w:numPr>
          <w:ilvl w:val="0"/>
          <w:numId w:val="1"/>
        </w:numPr>
        <w:spacing w:after="40" w:before="40"/>
      </w:pPr>
      <w:r>
        <w:rPr>
          <w:sz w:val="22"/>
          <w:szCs w:val="22"/>
        </w:rPr>
        <w:t xml:space="preserve">Statistical anomaly detection (thresholds only)</w:t>
      </w:r>
    </w:p>
    <w:p>
      <w:pPr>
        <w:pStyle w:val="ListParagraph"/>
        <w:numPr>
          <w:ilvl w:val="0"/>
          <w:numId w:val="1"/>
        </w:numPr>
        <w:spacing w:after="40" w:before="40"/>
      </w:pPr>
      <w:r>
        <w:rPr>
          <w:sz w:val="22"/>
          <w:szCs w:val="22"/>
        </w:rPr>
        <w:t xml:space="preserve">SNS email alerting</w:t>
      </w:r>
    </w:p>
    <w:p>
      <w:pPr>
        <w:pStyle w:val="ListParagraph"/>
        <w:numPr>
          <w:ilvl w:val="0"/>
          <w:numId w:val="1"/>
        </w:numPr>
        <w:spacing w:after="40" w:before="40"/>
      </w:pPr>
      <w:r>
        <w:rPr>
          <w:sz w:val="22"/>
          <w:szCs w:val="22"/>
        </w:rPr>
        <w:t xml:space="preserve">Token revocation</w:t>
      </w:r>
    </w:p>
    <w:p>
      <w:pPr>
        <w:pStyle w:val="ListParagraph"/>
        <w:numPr>
          <w:ilvl w:val="0"/>
          <w:numId w:val="1"/>
        </w:numPr>
        <w:spacing w:after="40" w:before="40"/>
      </w:pPr>
      <w:r>
        <w:rPr>
          <w:sz w:val="22"/>
          <w:szCs w:val="22"/>
        </w:rPr>
        <w:t xml:space="preserve">S3 data lake or Athena for historical analytics</w:t>
      </w:r>
    </w:p>
    <w:p>
      <w:pPr>
        <w:spacing w:after="80" w:before="80"/>
      </w:pPr>
      <w:r>
        <w:rPr>
          <w:b w:val="false"/>
          <w:bCs w:val="false"/>
          <w:sz w:val="22"/>
          <w:szCs w:val="22"/>
        </w:rPr>
        <w:t xml:space="preserve">Every limitation is stated in the report where it is relevant — not discovered by an examiner.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2026-10-05T16:35:19.094Z</dcterms:created>
  <dcterms:modified xsi:type="dcterms:W3CDTF">2026-10-05T16:35:19.094Z</dcterms:modified>
</cp:coreProperties>
</file>

<file path=docProps/custom.xml><?xml version="1.0" encoding="utf-8"?>
<Properties xmlns="http://schemas.openxmlformats.org/officeDocument/2006/custom-properties" xmlns:vt="http://schemas.openxmlformats.org/officeDocument/2006/docPropsVTypes"/>
</file>