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Meha — Identity &amp; Security</w:t>
      </w:r>
    </w:p>
    <w:p>
      <w:pPr>
        <w:spacing w:after="60" w:before="60"/>
      </w:pPr>
      <w:r>
        <w:rPr>
          <w:b/>
          <w:bCs/>
          <w:sz w:val="22"/>
          <w:szCs w:val="22"/>
        </w:rPr>
        <w:t xml:space="preserve">Role: </w:t>
      </w:r>
      <w:r>
        <w:rPr>
          <w:sz w:val="22"/>
          <w:szCs w:val="22"/>
        </w:rPr>
        <w:t xml:space="preserve">Authentication, Authorization, IAM Design, Threat Model</w:t>
      </w:r>
    </w:p>
    <w:p>
      <w:pPr>
        <w:spacing w:after="60" w:before="60"/>
      </w:pPr>
      <w:r>
        <w:rPr>
          <w:b/>
          <w:bCs/>
          <w:sz w:val="22"/>
          <w:szCs w:val="22"/>
        </w:rPr>
        <w:t xml:space="preserve">Components Owned: </w:t>
      </w:r>
      <w:r>
        <w:rPr>
          <w:sz w:val="22"/>
          <w:szCs w:val="22"/>
        </w:rPr>
        <w:t xml:space="preserve">cp-auth, common/auth.py, Cognito Terraform (cognito.tf), IAM policies (iam.tf)</w:t>
      </w:r>
    </w:p>
    <w:p/>
    <w:p>
      <w:pPr>
        <w:pStyle w:val="Heading2"/>
        <w:spacing w:after="100" w:before="300"/>
      </w:pPr>
      <w:r>
        <w:t xml:space="preserve">Area Overview</w:t>
      </w:r>
    </w:p>
    <w:p>
      <w:pPr>
        <w:spacing w:after="80" w:before="80"/>
      </w:pPr>
      <w:r>
        <w:rPr>
          <w:b w:val="false"/>
          <w:bCs w:val="false"/>
          <w:sz w:val="22"/>
          <w:szCs w:val="22"/>
        </w:rPr>
        <w:t xml:space="preserve">Meha owns everything that proves who you are and decides what you can do. This covers the Cognito user pool, the JWT auth Lambda, the IAM policy design for all five functions, and the threat model for the entire system.</w:t>
      </w:r>
    </w:p>
    <w:p/>
    <w:p>
      <w:pPr>
        <w:pStyle w:val="Heading2"/>
        <w:spacing w:after="100" w:before="300"/>
      </w:pPr>
      <w:r>
        <w:t xml:space="preserve">Components in Detail</w:t>
      </w:r>
    </w:p>
    <w:p>
      <w:pPr>
        <w:pStyle w:val="Heading3"/>
        <w:spacing w:after="80" w:before="200"/>
      </w:pPr>
      <w:r>
        <w:t xml:space="preserve">cp-auth (Lambda)</w:t>
      </w:r>
    </w:p>
    <w:p>
      <w:pPr>
        <w:spacing w:after="80" w:before="80"/>
      </w:pPr>
      <w:r>
        <w:rPr>
          <w:b w:val="false"/>
          <w:bCs w:val="false"/>
          <w:sz w:val="22"/>
          <w:szCs w:val="22"/>
        </w:rPr>
        <w:t xml:space="preserve">Handles POST /login. Receives email + password, calls Cognito InitiateAuth, returns a JWT access token valid for 60 minutes.</w:t>
      </w:r>
    </w:p>
    <w:p>
      <w:pPr>
        <w:pStyle w:val="ListParagraph"/>
        <w:numPr>
          <w:ilvl w:val="0"/>
          <w:numId w:val="1"/>
        </w:numPr>
        <w:spacing w:after="40" w:before="40"/>
      </w:pPr>
      <w:r>
        <w:rPr>
          <w:sz w:val="22"/>
          <w:szCs w:val="22"/>
        </w:rPr>
        <w:t xml:space="preserve">Returns identical error messages for wrong-password and unknown-user — prevents username enumeration</w:t>
      </w:r>
    </w:p>
    <w:p>
      <w:pPr>
        <w:pStyle w:val="ListParagraph"/>
        <w:numPr>
          <w:ilvl w:val="0"/>
          <w:numId w:val="1"/>
        </w:numPr>
        <w:spacing w:after="40" w:before="40"/>
      </w:pPr>
      <w:r>
        <w:rPr>
          <w:sz w:val="22"/>
          <w:szCs w:val="22"/>
        </w:rPr>
        <w:t xml:space="preserve">Token contains the user's Cognito groups (ops, staff) as claims</w:t>
      </w:r>
    </w:p>
    <w:p>
      <w:pPr>
        <w:pStyle w:val="ListParagraph"/>
        <w:numPr>
          <w:ilvl w:val="0"/>
          <w:numId w:val="1"/>
        </w:numPr>
        <w:spacing w:after="40" w:before="40"/>
      </w:pPr>
      <w:r>
        <w:rPr>
          <w:sz w:val="22"/>
          <w:szCs w:val="22"/>
        </w:rPr>
        <w:t xml:space="preserve">No credential material is logged</w:t>
      </w:r>
    </w:p>
    <w:p/>
    <w:p>
      <w:pPr>
        <w:pStyle w:val="Heading3"/>
        <w:spacing w:after="80" w:before="200"/>
      </w:pPr>
      <w:r>
        <w:t xml:space="preserve">Amazon Cognito Setup</w:t>
      </w:r>
    </w:p>
    <w:p>
      <w:pPr>
        <w:spacing w:after="80" w:before="80"/>
      </w:pPr>
      <w:r>
        <w:rPr>
          <w:b w:val="false"/>
          <w:bCs w:val="false"/>
          <w:sz w:val="22"/>
          <w:szCs w:val="22"/>
        </w:rPr>
        <w:t xml:space="preserve">User pool: campuspulse-dev-users (eu-west-3_h0OpNKIwF)</w:t>
      </w:r>
    </w:p>
    <w:p>
      <w:pPr>
        <w:pStyle w:val="ListParagraph"/>
        <w:numPr>
          <w:ilvl w:val="0"/>
          <w:numId w:val="1"/>
        </w:numPr>
        <w:spacing w:after="40" w:before="40"/>
      </w:pPr>
      <w:r>
        <w:rPr>
          <w:sz w:val="22"/>
          <w:szCs w:val="22"/>
        </w:rPr>
        <w:t xml:space="preserve">username_attributes = ["email"] — users log in with their email address</w:t>
      </w:r>
    </w:p>
    <w:p>
      <w:pPr>
        <w:pStyle w:val="ListParagraph"/>
        <w:numPr>
          <w:ilvl w:val="0"/>
          <w:numId w:val="1"/>
        </w:numPr>
        <w:spacing w:after="40" w:before="40"/>
      </w:pPr>
      <w:r>
        <w:rPr>
          <w:sz w:val="22"/>
          <w:szCs w:val="22"/>
        </w:rPr>
        <w:t xml:space="preserve">Two groups: ops (operations team) and staff (general staff)</w:t>
      </w:r>
    </w:p>
    <w:p>
      <w:pPr>
        <w:pStyle w:val="ListParagraph"/>
        <w:numPr>
          <w:ilvl w:val="0"/>
          <w:numId w:val="1"/>
        </w:numPr>
        <w:spacing w:after="40" w:before="40"/>
      </w:pPr>
      <w:r>
        <w:rPr>
          <w:sz w:val="22"/>
          <w:szCs w:val="22"/>
        </w:rPr>
        <w:t xml:space="preserve">Essentials tier — 10,000 MAU free; Plus has no free tier</w:t>
      </w:r>
    </w:p>
    <w:p>
      <w:pPr>
        <w:pStyle w:val="ListParagraph"/>
        <w:numPr>
          <w:ilvl w:val="0"/>
          <w:numId w:val="1"/>
        </w:numPr>
        <w:spacing w:after="40" w:before="40"/>
      </w:pPr>
      <w:r>
        <w:rPr>
          <w:sz w:val="22"/>
          <w:szCs w:val="22"/>
        </w:rPr>
        <w:t xml:space="preserve">Token lifetime: 60 minutes (stolen token is briefly useful, not indefinitely)</w:t>
      </w:r>
    </w:p>
    <w:p>
      <w:pPr>
        <w:pStyle w:val="ListParagraph"/>
        <w:numPr>
          <w:ilvl w:val="0"/>
          <w:numId w:val="1"/>
        </w:numPr>
        <w:spacing w:after="40" w:before="40"/>
      </w:pPr>
      <w:r>
        <w:rPr>
          <w:sz w:val="22"/>
          <w:szCs w:val="22"/>
        </w:rPr>
        <w:t xml:space="preserve">No public sign-up — users are created by an admin only</w:t>
      </w:r>
    </w:p>
    <w:p/>
    <w:p>
      <w:pPr>
        <w:pStyle w:val="Heading3"/>
        <w:spacing w:after="80" w:before="200"/>
      </w:pPr>
      <w:r>
        <w:t xml:space="preserve">Three-layer Authorization</w:t>
      </w:r>
    </w:p>
    <w:p>
      <w:pPr>
        <w:spacing w:after="80" w:before="80"/>
      </w:pPr>
      <w:r>
        <w:rPr>
          <w:b w:val="false"/>
          <w:bCs w:val="false"/>
          <w:sz w:val="22"/>
          <w:szCs w:val="22"/>
        </w:rPr>
        <w:t xml:space="preserve">Data crosses a trust boundary in exactly three places: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rPr>
          <w:tblHeader/>
        </w:trPr>
        <w:tc>
          <w:tcPr>
            <w:tcW w:type="dxa" w:w="2400"/>
            <w:shd w:fill="2E74B5" w:val="clear"/>
          </w:tcPr>
          <w:p>
            <w:r>
              <w:rPr>
                <w:b/>
                <w:bCs/>
                <w:color w:val="FFFFFF"/>
                <w:sz w:val="20"/>
                <w:szCs w:val="20"/>
              </w:rPr>
              <w:t xml:space="preserve">Layer</w:t>
            </w:r>
          </w:p>
        </w:tc>
        <w:tc>
          <w:tcPr>
            <w:tcW w:type="dxa" w:w="3000"/>
            <w:shd w:fill="2E74B5" w:val="clear"/>
          </w:tcPr>
          <w:p>
            <w:r>
              <w:rPr>
                <w:b/>
                <w:bCs/>
                <w:color w:val="FFFFFF"/>
                <w:sz w:val="20"/>
                <w:szCs w:val="20"/>
              </w:rPr>
              <w:t xml:space="preserve">Who/What</w:t>
            </w:r>
          </w:p>
        </w:tc>
        <w:tc>
          <w:tcPr>
            <w:tcW w:type="dxa" w:w="3400"/>
            <w:shd w:fill="2E74B5" w:val="clear"/>
          </w:tcPr>
          <w:p>
            <w:r>
              <w:rPr>
                <w:b/>
                <w:bCs/>
                <w:color w:val="FFFFFF"/>
                <w:sz w:val="20"/>
                <w:szCs w:val="20"/>
              </w:rPr>
              <w:t xml:space="preserve">Failure Response</w:t>
            </w:r>
          </w:p>
        </w:tc>
      </w:tr>
      <w:tr>
        <w:tc>
          <w:tcPr>
            <w:tcW w:type="dxa" w:w="2400"/>
            <w:shd w:fill="FFFFFF" w:val="clear"/>
          </w:tcPr>
          <w:p>
            <w:r>
              <w:rPr>
                <w:sz w:val="20"/>
                <w:szCs w:val="20"/>
              </w:rPr>
              <w:t xml:space="preserve">1. API Gateway JWT authorizer</w:t>
            </w:r>
          </w:p>
        </w:tc>
        <w:tc>
          <w:tcPr>
            <w:tcW w:type="dxa" w:w="3000"/>
            <w:shd w:fill="FFFFFF" w:val="clear"/>
          </w:tcPr>
          <w:p>
            <w:r>
              <w:rPr>
                <w:sz w:val="20"/>
                <w:szCs w:val="20"/>
              </w:rPr>
              <w:t xml:space="preserve">Validates every token before our code runs</w:t>
            </w:r>
          </w:p>
        </w:tc>
        <w:tc>
          <w:tcPr>
            <w:tcW w:type="dxa" w:w="3400"/>
            <w:shd w:fill="FFFFFF" w:val="clear"/>
          </w:tcPr>
          <w:p>
            <w:r>
              <w:rPr>
                <w:sz w:val="20"/>
                <w:szCs w:val="20"/>
              </w:rPr>
              <w:t xml:space="preserve">401 Unauthorized</w:t>
            </w:r>
          </w:p>
        </w:tc>
      </w:tr>
      <w:tr>
        <w:tc>
          <w:tcPr>
            <w:tcW w:type="dxa" w:w="2400"/>
            <w:shd w:fill="EBF3FB" w:val="clear"/>
          </w:tcPr>
          <w:p>
            <w:r>
              <w:rPr>
                <w:sz w:val="20"/>
                <w:szCs w:val="20"/>
              </w:rPr>
              <w:t xml:space="preserve">2. Lambda group check (common/auth.py)</w:t>
            </w:r>
          </w:p>
        </w:tc>
        <w:tc>
          <w:tcPr>
            <w:tcW w:type="dxa" w:w="3000"/>
            <w:shd w:fill="EBF3FB" w:val="clear"/>
          </w:tcPr>
          <w:p>
            <w:r>
              <w:rPr>
                <w:sz w:val="20"/>
                <w:szCs w:val="20"/>
              </w:rPr>
              <w:t xml:space="preserve">Checks Cognito group for role-specific routes</w:t>
            </w:r>
          </w:p>
        </w:tc>
        <w:tc>
          <w:tcPr>
            <w:tcW w:type="dxa" w:w="3400"/>
            <w:shd w:fill="EBF3FB" w:val="clear"/>
          </w:tcPr>
          <w:p>
            <w:r>
              <w:rPr>
                <w:sz w:val="20"/>
                <w:szCs w:val="20"/>
              </w:rPr>
              <w:t xml:space="preserve">403 Forbidden</w:t>
            </w:r>
          </w:p>
        </w:tc>
      </w:tr>
      <w:tr>
        <w:tc>
          <w:tcPr>
            <w:tcW w:type="dxa" w:w="2400"/>
            <w:shd w:fill="FFFFFF" w:val="clear"/>
          </w:tcPr>
          <w:p>
            <w:r>
              <w:rPr>
                <w:sz w:val="20"/>
                <w:szCs w:val="20"/>
              </w:rPr>
              <w:t xml:space="preserve">3. IAM role policy</w:t>
            </w:r>
          </w:p>
        </w:tc>
        <w:tc>
          <w:tcPr>
            <w:tcW w:type="dxa" w:w="3000"/>
            <w:shd w:fill="FFFFFF" w:val="clear"/>
          </w:tcPr>
          <w:p>
            <w:r>
              <w:rPr>
                <w:sz w:val="20"/>
                <w:szCs w:val="20"/>
              </w:rPr>
              <w:t xml:space="preserve">Controls which AWS services the function can call</w:t>
            </w:r>
          </w:p>
        </w:tc>
        <w:tc>
          <w:tcPr>
            <w:tcW w:type="dxa" w:w="3400"/>
            <w:shd w:fill="FFFFFF" w:val="clear"/>
          </w:tcPr>
          <w:p>
            <w:r>
              <w:rPr>
                <w:sz w:val="20"/>
                <w:szCs w:val="20"/>
              </w:rPr>
              <w:t xml:space="preserve">AccessDenied exception</w:t>
            </w:r>
          </w:p>
        </w:tc>
      </w:tr>
    </w:tbl>
    <w:p>
      <w:pPr>
        <w:spacing w:after="80" w:before="80"/>
      </w:pPr>
      <w:r>
        <w:rPr>
          <w:b w:val="false"/>
          <w:bCs w:val="false"/>
          <w:sz w:val="22"/>
          <w:szCs w:val="22"/>
        </w:rPr>
        <w:t xml:space="preserve">Defeating one layer leaves the other two standing. This is defense in depth.</w:t>
      </w:r>
    </w:p>
    <w:p/>
    <w:p>
      <w:pPr>
        <w:pStyle w:val="Heading3"/>
        <w:spacing w:after="80" w:before="200"/>
      </w:pPr>
      <w:r>
        <w:t xml:space="preserve">Route Authorization Matrix</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tblGrid>
      <w:tr>
        <w:trPr>
          <w:tblHeader/>
        </w:trPr>
        <w:tc>
          <w:tcPr>
            <w:tcW w:type="dxa" w:w="2800"/>
            <w:shd w:fill="2E74B5" w:val="clear"/>
          </w:tcPr>
          <w:p>
            <w:r>
              <w:rPr>
                <w:b/>
                <w:bCs/>
                <w:color w:val="FFFFFF"/>
                <w:sz w:val="20"/>
                <w:szCs w:val="20"/>
              </w:rPr>
              <w:t xml:space="preserve">Route</w:t>
            </w:r>
          </w:p>
        </w:tc>
        <w:tc>
          <w:tcPr>
            <w:tcW w:type="dxa" w:w="1600"/>
            <w:shd w:fill="2E74B5" w:val="clear"/>
          </w:tcPr>
          <w:p>
            <w:r>
              <w:rPr>
                <w:b/>
                <w:bCs/>
                <w:color w:val="FFFFFF"/>
                <w:sz w:val="20"/>
                <w:szCs w:val="20"/>
              </w:rPr>
              <w:t xml:space="preserve">ops group</w:t>
            </w:r>
          </w:p>
        </w:tc>
        <w:tc>
          <w:tcPr>
            <w:tcW w:type="dxa" w:w="1600"/>
            <w:shd w:fill="2E74B5" w:val="clear"/>
          </w:tcPr>
          <w:p>
            <w:r>
              <w:rPr>
                <w:b/>
                <w:bCs/>
                <w:color w:val="FFFFFF"/>
                <w:sz w:val="20"/>
                <w:szCs w:val="20"/>
              </w:rPr>
              <w:t xml:space="preserve">staff group</w:t>
            </w:r>
          </w:p>
        </w:tc>
        <w:tc>
          <w:tcPr>
            <w:tcW w:type="dxa" w:w="1600"/>
            <w:shd w:fill="2E74B5" w:val="clear"/>
          </w:tcPr>
          <w:p>
            <w:r>
              <w:rPr>
                <w:b/>
                <w:bCs/>
                <w:color w:val="FFFFFF"/>
                <w:sz w:val="20"/>
                <w:szCs w:val="20"/>
              </w:rPr>
              <w:t xml:space="preserve">No token</w:t>
            </w:r>
          </w:p>
        </w:tc>
      </w:tr>
      <w:tr>
        <w:tc>
          <w:tcPr>
            <w:tcW w:type="dxa" w:w="2800"/>
            <w:shd w:fill="FFFFFF" w:val="clear"/>
          </w:tcPr>
          <w:p>
            <w:r>
              <w:rPr>
                <w:sz w:val="20"/>
                <w:szCs w:val="20"/>
              </w:rPr>
              <w:t xml:space="preserve">POST /login</w:t>
            </w:r>
          </w:p>
        </w:tc>
        <w:tc>
          <w:tcPr>
            <w:tcW w:type="dxa" w:w="1600"/>
            <w:shd w:fill="FFFFFF" w:val="clear"/>
          </w:tcPr>
          <w:p>
            <w:r>
              <w:rPr>
                <w:sz w:val="20"/>
                <w:szCs w:val="20"/>
              </w:rPr>
              <w:t xml:space="preserve">✓</w:t>
            </w:r>
          </w:p>
        </w:tc>
        <w:tc>
          <w:tcPr>
            <w:tcW w:type="dxa" w:w="1600"/>
            <w:shd w:fill="FFFFFF" w:val="clear"/>
          </w:tcPr>
          <w:p>
            <w:r>
              <w:rPr>
                <w:sz w:val="20"/>
                <w:szCs w:val="20"/>
              </w:rPr>
              <w:t xml:space="preserve">✓</w:t>
            </w:r>
          </w:p>
        </w:tc>
        <w:tc>
          <w:tcPr>
            <w:tcW w:type="dxa" w:w="1600"/>
            <w:shd w:fill="FFFFFF" w:val="clear"/>
          </w:tcPr>
          <w:p>
            <w:r>
              <w:rPr>
                <w:sz w:val="20"/>
                <w:szCs w:val="20"/>
              </w:rPr>
              <w:t xml:space="preserve">✓</w:t>
            </w:r>
          </w:p>
        </w:tc>
      </w:tr>
      <w:tr>
        <w:tc>
          <w:tcPr>
            <w:tcW w:type="dxa" w:w="2800"/>
            <w:shd w:fill="EBF3FB" w:val="clear"/>
          </w:tcPr>
          <w:p>
            <w:r>
              <w:rPr>
                <w:sz w:val="20"/>
                <w:szCs w:val="20"/>
              </w:rPr>
              <w:t xml:space="preserve">GET /health</w:t>
            </w:r>
          </w:p>
        </w:tc>
        <w:tc>
          <w:tcPr>
            <w:tcW w:type="dxa" w:w="1600"/>
            <w:shd w:fill="EBF3FB" w:val="clear"/>
          </w:tcPr>
          <w:p>
            <w:r>
              <w:rPr>
                <w:sz w:val="20"/>
                <w:szCs w:val="20"/>
              </w:rPr>
              <w:t xml:space="preserve">✓</w:t>
            </w:r>
          </w:p>
        </w:tc>
        <w:tc>
          <w:tcPr>
            <w:tcW w:type="dxa" w:w="1600"/>
            <w:shd w:fill="EBF3FB" w:val="clear"/>
          </w:tcPr>
          <w:p>
            <w:r>
              <w:rPr>
                <w:sz w:val="20"/>
                <w:szCs w:val="20"/>
              </w:rPr>
              <w:t xml:space="preserve">✓</w:t>
            </w:r>
          </w:p>
        </w:tc>
        <w:tc>
          <w:tcPr>
            <w:tcW w:type="dxa" w:w="1600"/>
            <w:shd w:fill="EBF3FB" w:val="clear"/>
          </w:tcPr>
          <w:p>
            <w:r>
              <w:rPr>
                <w:sz w:val="20"/>
                <w:szCs w:val="20"/>
              </w:rPr>
              <w:t xml:space="preserve">✓</w:t>
            </w:r>
          </w:p>
        </w:tc>
      </w:tr>
      <w:tr>
        <w:tc>
          <w:tcPr>
            <w:tcW w:type="dxa" w:w="2800"/>
            <w:shd w:fill="FFFFFF" w:val="clear"/>
          </w:tcPr>
          <w:p>
            <w:r>
              <w:rPr>
                <w:sz w:val="20"/>
                <w:szCs w:val="20"/>
              </w:rPr>
              <w:t xml:space="preserve">POST /events</w:t>
            </w:r>
          </w:p>
        </w:tc>
        <w:tc>
          <w:tcPr>
            <w:tcW w:type="dxa" w:w="1600"/>
            <w:shd w:fill="FFFFFF" w:val="clear"/>
          </w:tcPr>
          <w:p>
            <w:r>
              <w:rPr>
                <w:sz w:val="20"/>
                <w:szCs w:val="20"/>
              </w:rPr>
              <w:t xml:space="preserve">✓</w:t>
            </w:r>
          </w:p>
        </w:tc>
        <w:tc>
          <w:tcPr>
            <w:tcW w:type="dxa" w:w="1600"/>
            <w:shd w:fill="FFFFFF" w:val="clear"/>
          </w:tcPr>
          <w:p>
            <w:r>
              <w:rPr>
                <w:sz w:val="20"/>
                <w:szCs w:val="20"/>
              </w:rPr>
              <w:t xml:space="preserve">✗ 403</w:t>
            </w:r>
          </w:p>
        </w:tc>
        <w:tc>
          <w:tcPr>
            <w:tcW w:type="dxa" w:w="1600"/>
            <w:shd w:fill="FFFFFF" w:val="clear"/>
          </w:tcPr>
          <w:p>
            <w:r>
              <w:rPr>
                <w:sz w:val="20"/>
                <w:szCs w:val="20"/>
              </w:rPr>
              <w:t xml:space="preserve">✗ 401</w:t>
            </w:r>
          </w:p>
        </w:tc>
      </w:tr>
      <w:tr>
        <w:tc>
          <w:tcPr>
            <w:tcW w:type="dxa" w:w="2800"/>
            <w:shd w:fill="EBF3FB" w:val="clear"/>
          </w:tcPr>
          <w:p>
            <w:r>
              <w:rPr>
                <w:sz w:val="20"/>
                <w:szCs w:val="20"/>
              </w:rPr>
              <w:t xml:space="preserve">GET /events</w:t>
            </w:r>
          </w:p>
        </w:tc>
        <w:tc>
          <w:tcPr>
            <w:tcW w:type="dxa" w:w="1600"/>
            <w:shd w:fill="EBF3FB" w:val="clear"/>
          </w:tcPr>
          <w:p>
            <w:r>
              <w:rPr>
                <w:sz w:val="20"/>
                <w:szCs w:val="20"/>
              </w:rPr>
              <w:t xml:space="preserve">✓</w:t>
            </w:r>
          </w:p>
        </w:tc>
        <w:tc>
          <w:tcPr>
            <w:tcW w:type="dxa" w:w="1600"/>
            <w:shd w:fill="EBF3FB" w:val="clear"/>
          </w:tcPr>
          <w:p>
            <w:r>
              <w:rPr>
                <w:sz w:val="20"/>
                <w:szCs w:val="20"/>
              </w:rPr>
              <w:t xml:space="preserve">✓</w:t>
            </w:r>
          </w:p>
        </w:tc>
        <w:tc>
          <w:tcPr>
            <w:tcW w:type="dxa" w:w="1600"/>
            <w:shd w:fill="EBF3FB" w:val="clear"/>
          </w:tcPr>
          <w:p>
            <w:r>
              <w:rPr>
                <w:sz w:val="20"/>
                <w:szCs w:val="20"/>
              </w:rPr>
              <w:t xml:space="preserve">✗ 401</w:t>
            </w:r>
          </w:p>
        </w:tc>
      </w:tr>
      <w:tr>
        <w:tc>
          <w:tcPr>
            <w:tcW w:type="dxa" w:w="2800"/>
            <w:shd w:fill="FFFFFF" w:val="clear"/>
          </w:tcPr>
          <w:p>
            <w:r>
              <w:rPr>
                <w:sz w:val="20"/>
                <w:szCs w:val="20"/>
              </w:rPr>
              <w:t xml:space="preserve">GET /stats</w:t>
            </w:r>
          </w:p>
        </w:tc>
        <w:tc>
          <w:tcPr>
            <w:tcW w:type="dxa" w:w="1600"/>
            <w:shd w:fill="FFFFFF" w:val="clear"/>
          </w:tcPr>
          <w:p>
            <w:r>
              <w:rPr>
                <w:sz w:val="20"/>
                <w:szCs w:val="20"/>
              </w:rPr>
              <w:t xml:space="preserve">✓</w:t>
            </w:r>
          </w:p>
        </w:tc>
        <w:tc>
          <w:tcPr>
            <w:tcW w:type="dxa" w:w="1600"/>
            <w:shd w:fill="FFFFFF" w:val="clear"/>
          </w:tcPr>
          <w:p>
            <w:r>
              <w:rPr>
                <w:sz w:val="20"/>
                <w:szCs w:val="20"/>
              </w:rPr>
              <w:t xml:space="preserve">✓</w:t>
            </w:r>
          </w:p>
        </w:tc>
        <w:tc>
          <w:tcPr>
            <w:tcW w:type="dxa" w:w="1600"/>
            <w:shd w:fill="FFFFFF" w:val="clear"/>
          </w:tcPr>
          <w:p>
            <w:r>
              <w:rPr>
                <w:sz w:val="20"/>
                <w:szCs w:val="20"/>
              </w:rPr>
              <w:t xml:space="preserve">✗ 401</w:t>
            </w:r>
          </w:p>
        </w:tc>
      </w:tr>
      <w:tr>
        <w:tc>
          <w:tcPr>
            <w:tcW w:type="dxa" w:w="2800"/>
            <w:shd w:fill="EBF3FB" w:val="clear"/>
          </w:tcPr>
          <w:p>
            <w:r>
              <w:rPr>
                <w:sz w:val="20"/>
                <w:szCs w:val="20"/>
              </w:rPr>
              <w:t xml:space="preserve">GET /alerts</w:t>
            </w:r>
          </w:p>
        </w:tc>
        <w:tc>
          <w:tcPr>
            <w:tcW w:type="dxa" w:w="1600"/>
            <w:shd w:fill="EBF3FB" w:val="clear"/>
          </w:tcPr>
          <w:p>
            <w:r>
              <w:rPr>
                <w:sz w:val="20"/>
                <w:szCs w:val="20"/>
              </w:rPr>
              <w:t xml:space="preserve">✓</w:t>
            </w:r>
          </w:p>
        </w:tc>
        <w:tc>
          <w:tcPr>
            <w:tcW w:type="dxa" w:w="1600"/>
            <w:shd w:fill="EBF3FB" w:val="clear"/>
          </w:tcPr>
          <w:p>
            <w:r>
              <w:rPr>
                <w:sz w:val="20"/>
                <w:szCs w:val="20"/>
              </w:rPr>
              <w:t xml:space="preserve">✗ 403</w:t>
            </w:r>
          </w:p>
        </w:tc>
        <w:tc>
          <w:tcPr>
            <w:tcW w:type="dxa" w:w="1600"/>
            <w:shd w:fill="EBF3FB" w:val="clear"/>
          </w:tcPr>
          <w:p>
            <w:r>
              <w:rPr>
                <w:sz w:val="20"/>
                <w:szCs w:val="20"/>
              </w:rPr>
              <w:t xml:space="preserve">✗ 401</w:t>
            </w:r>
          </w:p>
        </w:tc>
      </w:tr>
      <w:tr>
        <w:tc>
          <w:tcPr>
            <w:tcW w:type="dxa" w:w="2800"/>
            <w:shd w:fill="FFFFFF" w:val="clear"/>
          </w:tcPr>
          <w:p>
            <w:r>
              <w:rPr>
                <w:sz w:val="20"/>
                <w:szCs w:val="20"/>
              </w:rPr>
              <w:t xml:space="preserve">POST /requests</w:t>
            </w:r>
          </w:p>
        </w:tc>
        <w:tc>
          <w:tcPr>
            <w:tcW w:type="dxa" w:w="1600"/>
            <w:shd w:fill="FFFFFF" w:val="clear"/>
          </w:tcPr>
          <w:p>
            <w:r>
              <w:rPr>
                <w:sz w:val="20"/>
                <w:szCs w:val="20"/>
              </w:rPr>
              <w:t xml:space="preserve">✓</w:t>
            </w:r>
          </w:p>
        </w:tc>
        <w:tc>
          <w:tcPr>
            <w:tcW w:type="dxa" w:w="1600"/>
            <w:shd w:fill="FFFFFF" w:val="clear"/>
          </w:tcPr>
          <w:p>
            <w:r>
              <w:rPr>
                <w:sz w:val="20"/>
                <w:szCs w:val="20"/>
              </w:rPr>
              <w:t xml:space="preserve">✓</w:t>
            </w:r>
          </w:p>
        </w:tc>
        <w:tc>
          <w:tcPr>
            <w:tcW w:type="dxa" w:w="1600"/>
            <w:shd w:fill="FFFFFF" w:val="clear"/>
          </w:tcPr>
          <w:p>
            <w:r>
              <w:rPr>
                <w:sz w:val="20"/>
                <w:szCs w:val="20"/>
              </w:rPr>
              <w:t xml:space="preserve">✗ 401</w:t>
            </w:r>
          </w:p>
        </w:tc>
      </w:tr>
    </w:tbl>
    <w:p/>
    <w:p>
      <w:pPr>
        <w:pStyle w:val="Heading3"/>
        <w:spacing w:after="80" w:before="200"/>
      </w:pPr>
      <w:r>
        <w:t xml:space="preserve">IAM Least Privilege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400"/>
      </w:tblGrid>
      <w:tr>
        <w:trPr>
          <w:tblHeader/>
        </w:trPr>
        <w:tc>
          <w:tcPr>
            <w:tcW w:type="dxa" w:w="2000"/>
            <w:shd w:fill="2E74B5" w:val="clear"/>
          </w:tcPr>
          <w:p>
            <w:r>
              <w:rPr>
                <w:b/>
                <w:bCs/>
                <w:color w:val="FFFFFF"/>
                <w:sz w:val="20"/>
                <w:szCs w:val="20"/>
              </w:rPr>
              <w:t xml:space="preserve">Function</w:t>
            </w:r>
          </w:p>
        </w:tc>
        <w:tc>
          <w:tcPr>
            <w:tcW w:type="dxa" w:w="2400"/>
            <w:shd w:fill="2E74B5" w:val="clear"/>
          </w:tcPr>
          <w:p>
            <w:r>
              <w:rPr>
                <w:b/>
                <w:bCs/>
                <w:color w:val="FFFFFF"/>
                <w:sz w:val="20"/>
                <w:szCs w:val="20"/>
              </w:rPr>
              <w:t xml:space="preserve">AWS calls it makes</w:t>
            </w:r>
          </w:p>
        </w:tc>
        <w:tc>
          <w:tcPr>
            <w:tcW w:type="dxa" w:w="4400"/>
            <w:shd w:fill="2E74B5" w:val="clear"/>
          </w:tcPr>
          <w:p>
            <w:r>
              <w:rPr>
                <w:b/>
                <w:bCs/>
                <w:color w:val="FFFFFF"/>
                <w:sz w:val="20"/>
                <w:szCs w:val="20"/>
              </w:rPr>
              <w:t xml:space="preserve">Policy grants</w:t>
            </w:r>
          </w:p>
        </w:tc>
      </w:tr>
      <w:tr>
        <w:tc>
          <w:tcPr>
            <w:tcW w:type="dxa" w:w="2000"/>
            <w:shd w:fill="FFFFFF" w:val="clear"/>
          </w:tcPr>
          <w:p>
            <w:r>
              <w:rPr>
                <w:sz w:val="20"/>
                <w:szCs w:val="20"/>
              </w:rPr>
              <w:t xml:space="preserve">cp-health</w:t>
            </w:r>
          </w:p>
        </w:tc>
        <w:tc>
          <w:tcPr>
            <w:tcW w:type="dxa" w:w="2400"/>
            <w:shd w:fill="FFFFFF" w:val="clear"/>
          </w:tcPr>
          <w:p>
            <w:r>
              <w:rPr>
                <w:sz w:val="20"/>
                <w:szCs w:val="20"/>
              </w:rPr>
              <w:t xml:space="preserve">none</w:t>
            </w:r>
          </w:p>
        </w:tc>
        <w:tc>
          <w:tcPr>
            <w:tcW w:type="dxa" w:w="4400"/>
            <w:shd w:fill="FFFFFF" w:val="clear"/>
          </w:tcPr>
          <w:p>
            <w:r>
              <w:rPr>
                <w:sz w:val="20"/>
                <w:szCs w:val="20"/>
              </w:rPr>
              <w:t xml:space="preserve">logs only</w:t>
            </w:r>
          </w:p>
        </w:tc>
      </w:tr>
      <w:tr>
        <w:tc>
          <w:tcPr>
            <w:tcW w:type="dxa" w:w="2000"/>
            <w:shd w:fill="EBF3FB" w:val="clear"/>
          </w:tcPr>
          <w:p>
            <w:r>
              <w:rPr>
                <w:sz w:val="20"/>
                <w:szCs w:val="20"/>
              </w:rPr>
              <w:t xml:space="preserve">cp-auth</w:t>
            </w:r>
          </w:p>
        </w:tc>
        <w:tc>
          <w:tcPr>
            <w:tcW w:type="dxa" w:w="2400"/>
            <w:shd w:fill="EBF3FB" w:val="clear"/>
          </w:tcPr>
          <w:p>
            <w:r>
              <w:rPr>
                <w:sz w:val="20"/>
                <w:szCs w:val="20"/>
              </w:rPr>
              <w:t xml:space="preserve">InitiateAuth</w:t>
            </w:r>
          </w:p>
        </w:tc>
        <w:tc>
          <w:tcPr>
            <w:tcW w:type="dxa" w:w="4400"/>
            <w:shd w:fill="EBF3FB" w:val="clear"/>
          </w:tcPr>
          <w:p>
            <w:r>
              <w:rPr>
                <w:sz w:val="20"/>
                <w:szCs w:val="20"/>
              </w:rPr>
              <w:t xml:space="preserve">cognito-idp:InitiateAuth on our pool ONLY</w:t>
            </w:r>
          </w:p>
        </w:tc>
      </w:tr>
      <w:tr>
        <w:tc>
          <w:tcPr>
            <w:tcW w:type="dxa" w:w="2000"/>
            <w:shd w:fill="FFFFFF" w:val="clear"/>
          </w:tcPr>
          <w:p>
            <w:r>
              <w:rPr>
                <w:sz w:val="20"/>
                <w:szCs w:val="20"/>
              </w:rPr>
              <w:t xml:space="preserve">cp-ingest</w:t>
            </w:r>
          </w:p>
        </w:tc>
        <w:tc>
          <w:tcPr>
            <w:tcW w:type="dxa" w:w="2400"/>
            <w:shd w:fill="FFFFFF" w:val="clear"/>
          </w:tcPr>
          <w:p>
            <w:r>
              <w:rPr>
                <w:sz w:val="20"/>
                <w:szCs w:val="20"/>
              </w:rPr>
              <w:t xml:space="preserve">PutItem</w:t>
            </w:r>
          </w:p>
        </w:tc>
        <w:tc>
          <w:tcPr>
            <w:tcW w:type="dxa" w:w="4400"/>
            <w:shd w:fill="FFFFFF" w:val="clear"/>
          </w:tcPr>
          <w:p>
            <w:r>
              <w:rPr>
                <w:sz w:val="20"/>
                <w:szCs w:val="20"/>
              </w:rPr>
              <w:t xml:space="preserve">dynamodb:PutItem on one table — cannot read</w:t>
            </w:r>
          </w:p>
        </w:tc>
      </w:tr>
      <w:tr>
        <w:tc>
          <w:tcPr>
            <w:tcW w:type="dxa" w:w="2000"/>
            <w:shd w:fill="EBF3FB" w:val="clear"/>
          </w:tcPr>
          <w:p>
            <w:r>
              <w:rPr>
                <w:sz w:val="20"/>
                <w:szCs w:val="20"/>
              </w:rPr>
              <w:t xml:space="preserve">cp-query, cp-stats</w:t>
            </w:r>
          </w:p>
        </w:tc>
        <w:tc>
          <w:tcPr>
            <w:tcW w:type="dxa" w:w="2400"/>
            <w:shd w:fill="EBF3FB" w:val="clear"/>
          </w:tcPr>
          <w:p>
            <w:r>
              <w:rPr>
                <w:sz w:val="20"/>
                <w:szCs w:val="20"/>
              </w:rPr>
              <w:t xml:space="preserve">Query</w:t>
            </w:r>
          </w:p>
        </w:tc>
        <w:tc>
          <w:tcPr>
            <w:tcW w:type="dxa" w:w="4400"/>
            <w:shd w:fill="EBF3FB" w:val="clear"/>
          </w:tcPr>
          <w:p>
            <w:r>
              <w:rPr>
                <w:sz w:val="20"/>
                <w:szCs w:val="20"/>
              </w:rPr>
              <w:t xml:space="preserve">dynamodb:Query on table and indexes — cannot write</w:t>
            </w:r>
          </w:p>
        </w:tc>
      </w:tr>
    </w:tbl>
    <w:p>
      <w:pPr>
        <w:spacing w:after="80" w:before="80"/>
      </w:pPr>
      <w:r>
        <w:rPr>
          <w:b w:val="false"/>
          <w:bCs w:val="false"/>
          <w:sz w:val="22"/>
          <w:szCs w:val="22"/>
        </w:rPr>
        <w:t xml:space="preserve">logs:CreateLogGroup is deliberately withheld — a function cannot create a log group with "never expire" retention. All log groups are created by Terraform with explicit 7-day retention.</w:t>
      </w:r>
    </w:p>
    <w:p/>
    <w:p>
      <w:pPr>
        <w:pStyle w:val="Heading3"/>
        <w:spacing w:after="80" w:before="200"/>
      </w:pPr>
      <w:r>
        <w:t xml:space="preserve">Threat Model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tblGrid>
      <w:tr>
        <w:trPr>
          <w:tblHeader/>
        </w:trPr>
        <w:tc>
          <w:tcPr>
            <w:tcW w:type="dxa" w:w="2200"/>
            <w:shd w:fill="2E74B5" w:val="clear"/>
          </w:tcPr>
          <w:p>
            <w:r>
              <w:rPr>
                <w:b/>
                <w:bCs/>
                <w:color w:val="FFFFFF"/>
                <w:sz w:val="20"/>
                <w:szCs w:val="20"/>
              </w:rPr>
              <w:t xml:space="preserve">Threat</w:t>
            </w:r>
          </w:p>
        </w:tc>
        <w:tc>
          <w:tcPr>
            <w:tcW w:type="dxa" w:w="3400"/>
            <w:shd w:fill="2E74B5" w:val="clear"/>
          </w:tcPr>
          <w:p>
            <w:r>
              <w:rPr>
                <w:b/>
                <w:bCs/>
                <w:color w:val="FFFFFF"/>
                <w:sz w:val="20"/>
                <w:szCs w:val="20"/>
              </w:rPr>
              <w:t xml:space="preserve">Principal Controls</w:t>
            </w:r>
          </w:p>
        </w:tc>
        <w:tc>
          <w:tcPr>
            <w:tcW w:type="dxa" w:w="1600"/>
            <w:shd w:fill="2E74B5" w:val="clear"/>
          </w:tcPr>
          <w:p>
            <w:r>
              <w:rPr>
                <w:b/>
                <w:bCs/>
                <w:color w:val="FFFFFF"/>
                <w:sz w:val="20"/>
                <w:szCs w:val="20"/>
              </w:rPr>
              <w:t xml:space="preserve">Status</w:t>
            </w:r>
          </w:p>
        </w:tc>
      </w:tr>
      <w:tr>
        <w:tc>
          <w:tcPr>
            <w:tcW w:type="dxa" w:w="2200"/>
            <w:shd w:fill="FFFFFF" w:val="clear"/>
          </w:tcPr>
          <w:p>
            <w:r>
              <w:rPr>
                <w:sz w:val="20"/>
                <w:szCs w:val="20"/>
              </w:rPr>
              <w:t xml:space="preserve">Unauthorized access</w:t>
            </w:r>
          </w:p>
        </w:tc>
        <w:tc>
          <w:tcPr>
            <w:tcW w:type="dxa" w:w="3400"/>
            <w:shd w:fill="FFFFFF" w:val="clear"/>
          </w:tcPr>
          <w:p>
            <w:r>
              <w:rPr>
                <w:sz w:val="20"/>
                <w:szCs w:val="20"/>
              </w:rPr>
              <w:t xml:space="preserve">JWT at edge; 60-min tokens; HTTPS only</w:t>
            </w:r>
          </w:p>
        </w:tc>
        <w:tc>
          <w:tcPr>
            <w:tcW w:type="dxa" w:w="1600"/>
            <w:shd w:fill="FFFFFF" w:val="clear"/>
          </w:tcPr>
          <w:p>
            <w:r>
              <w:rPr>
                <w:sz w:val="20"/>
                <w:szCs w:val="20"/>
              </w:rPr>
              <w:t xml:space="preserve">Configured</w:t>
            </w:r>
          </w:p>
        </w:tc>
      </w:tr>
      <w:tr>
        <w:tc>
          <w:tcPr>
            <w:tcW w:type="dxa" w:w="2200"/>
            <w:shd w:fill="EBF3FB" w:val="clear"/>
          </w:tcPr>
          <w:p>
            <w:r>
              <w:rPr>
                <w:sz w:val="20"/>
                <w:szCs w:val="20"/>
              </w:rPr>
              <w:t xml:space="preserve">Credential compromise</w:t>
            </w:r>
          </w:p>
        </w:tc>
        <w:tc>
          <w:tcPr>
            <w:tcW w:type="dxa" w:w="3400"/>
            <w:shd w:fill="EBF3FB" w:val="clear"/>
          </w:tcPr>
          <w:p>
            <w:r>
              <w:rPr>
                <w:sz w:val="20"/>
                <w:szCs w:val="20"/>
              </w:rPr>
              <w:t xml:space="preserve">No AWS credentials in code; identical error for wrong-password/unknown-user</w:t>
            </w:r>
          </w:p>
        </w:tc>
        <w:tc>
          <w:tcPr>
            <w:tcW w:type="dxa" w:w="1600"/>
            <w:shd w:fill="EBF3FB" w:val="clear"/>
          </w:tcPr>
          <w:p>
            <w:r>
              <w:rPr>
                <w:sz w:val="20"/>
                <w:szCs w:val="20"/>
              </w:rPr>
              <w:t xml:space="preserve">Implemented</w:t>
            </w:r>
          </w:p>
        </w:tc>
      </w:tr>
      <w:tr>
        <w:tc>
          <w:tcPr>
            <w:tcW w:type="dxa" w:w="2200"/>
            <w:shd w:fill="FFFFFF" w:val="clear"/>
          </w:tcPr>
          <w:p>
            <w:r>
              <w:rPr>
                <w:sz w:val="20"/>
                <w:szCs w:val="20"/>
              </w:rPr>
              <w:t xml:space="preserve">Malicious event submission</w:t>
            </w:r>
          </w:p>
        </w:tc>
        <w:tc>
          <w:tcPr>
            <w:tcW w:type="dxa" w:w="3400"/>
            <w:shd w:fill="FFFFFF" w:val="clear"/>
          </w:tcPr>
          <w:p>
            <w:r>
              <w:rPr>
                <w:sz w:val="20"/>
                <w:szCs w:val="20"/>
              </w:rPr>
              <w:t xml:space="preserve">Every field validated; 4 KB body cap; client severity discarded</w:t>
            </w:r>
          </w:p>
        </w:tc>
        <w:tc>
          <w:tcPr>
            <w:tcW w:type="dxa" w:w="1600"/>
            <w:shd w:fill="FFFFFF" w:val="clear"/>
          </w:tcPr>
          <w:p>
            <w:r>
              <w:rPr>
                <w:sz w:val="20"/>
                <w:szCs w:val="20"/>
              </w:rPr>
              <w:t xml:space="preserve">Implemented</w:t>
            </w:r>
          </w:p>
        </w:tc>
      </w:tr>
      <w:tr>
        <w:tc>
          <w:tcPr>
            <w:tcW w:type="dxa" w:w="2200"/>
            <w:shd w:fill="EBF3FB" w:val="clear"/>
          </w:tcPr>
          <w:p>
            <w:r>
              <w:rPr>
                <w:sz w:val="20"/>
                <w:szCs w:val="20"/>
              </w:rPr>
              <w:t xml:space="preserve">Excessive permissions</w:t>
            </w:r>
          </w:p>
        </w:tc>
        <w:tc>
          <w:tcPr>
            <w:tcW w:type="dxa" w:w="3400"/>
            <w:shd w:fill="EBF3FB" w:val="clear"/>
          </w:tcPr>
          <w:p>
            <w:r>
              <w:rPr>
                <w:sz w:val="20"/>
                <w:szCs w:val="20"/>
              </w:rPr>
              <w:t xml:space="preserve">One role per function, scoped to one action set on one ARN</w:t>
            </w:r>
          </w:p>
        </w:tc>
        <w:tc>
          <w:tcPr>
            <w:tcW w:type="dxa" w:w="1600"/>
            <w:shd w:fill="EBF3FB" w:val="clear"/>
          </w:tcPr>
          <w:p>
            <w:r>
              <w:rPr>
                <w:sz w:val="20"/>
                <w:szCs w:val="20"/>
              </w:rPr>
              <w:t xml:space="preserve">Configured</w:t>
            </w:r>
          </w:p>
        </w:tc>
      </w:tr>
      <w:tr>
        <w:tc>
          <w:tcPr>
            <w:tcW w:type="dxa" w:w="2200"/>
            <w:shd w:fill="FFFFFF" w:val="clear"/>
          </w:tcPr>
          <w:p>
            <w:r>
              <w:rPr>
                <w:sz w:val="20"/>
                <w:szCs w:val="20"/>
              </w:rPr>
              <w:t xml:space="preserve">Data exposure</w:t>
            </w:r>
          </w:p>
        </w:tc>
        <w:tc>
          <w:tcPr>
            <w:tcW w:type="dxa" w:w="3400"/>
            <w:shd w:fill="FFFFFF" w:val="clear"/>
          </w:tcPr>
          <w:p>
            <w:r>
              <w:rPr>
                <w:sz w:val="20"/>
                <w:szCs w:val="20"/>
              </w:rPr>
              <w:t xml:space="preserve">Encryption at rest/transit; explicit field list returned; vague 500s</w:t>
            </w:r>
          </w:p>
        </w:tc>
        <w:tc>
          <w:tcPr>
            <w:tcW w:type="dxa" w:w="1600"/>
            <w:shd w:fill="FFFFFF" w:val="clear"/>
          </w:tcPr>
          <w:p>
            <w:r>
              <w:rPr>
                <w:sz w:val="20"/>
                <w:szCs w:val="20"/>
              </w:rPr>
              <w:t xml:space="preserve">Implemented</w:t>
            </w:r>
          </w:p>
        </w:tc>
      </w:tr>
      <w:tr>
        <w:tc>
          <w:tcPr>
            <w:tcW w:type="dxa" w:w="2200"/>
            <w:shd w:fill="EBF3FB" w:val="clear"/>
          </w:tcPr>
          <w:p>
            <w:r>
              <w:rPr>
                <w:sz w:val="20"/>
                <w:szCs w:val="20"/>
              </w:rPr>
              <w:t xml:space="preserve">API abuse / cost attack</w:t>
            </w:r>
          </w:p>
        </w:tc>
        <w:tc>
          <w:tcPr>
            <w:tcW w:type="dxa" w:w="3400"/>
            <w:shd w:fill="EBF3FB" w:val="clear"/>
          </w:tcPr>
          <w:p>
            <w:r>
              <w:rPr>
                <w:sz w:val="20"/>
                <w:szCs w:val="20"/>
              </w:rPr>
              <w:t xml:space="preserve">Throttling; invalid tokens rejected at edge before Lambda runs</w:t>
            </w:r>
          </w:p>
        </w:tc>
        <w:tc>
          <w:tcPr>
            <w:tcW w:type="dxa" w:w="1600"/>
            <w:shd w:fill="EBF3FB" w:val="clear"/>
          </w:tcPr>
          <w:p>
            <w:r>
              <w:rPr>
                <w:sz w:val="20"/>
                <w:szCs w:val="20"/>
              </w:rPr>
              <w:t xml:space="preserve">Configured</w:t>
            </w:r>
          </w:p>
        </w:tc>
      </w:tr>
      <w:tr>
        <w:tc>
          <w:tcPr>
            <w:tcW w:type="dxa" w:w="2200"/>
            <w:shd w:fill="FFFFFF" w:val="clear"/>
          </w:tcPr>
          <w:p>
            <w:r>
              <w:rPr>
                <w:sz w:val="20"/>
                <w:szCs w:val="20"/>
              </w:rPr>
              <w:t xml:space="preserve">Misconfiguration</w:t>
            </w:r>
          </w:p>
        </w:tc>
        <w:tc>
          <w:tcPr>
            <w:tcW w:type="dxa" w:w="3400"/>
            <w:shd w:fill="FFFFFF" w:val="clear"/>
          </w:tcPr>
          <w:p>
            <w:r>
              <w:rPr>
                <w:sz w:val="20"/>
                <w:szCs w:val="20"/>
              </w:rPr>
              <w:t xml:space="preserve">All infra in Terraform; S3 public-ACL blocks; no public sign-up</w:t>
            </w:r>
          </w:p>
        </w:tc>
        <w:tc>
          <w:tcPr>
            <w:tcW w:type="dxa" w:w="1600"/>
            <w:shd w:fill="FFFFFF" w:val="clear"/>
          </w:tcPr>
          <w:p>
            <w:r>
              <w:rPr>
                <w:sz w:val="20"/>
                <w:szCs w:val="20"/>
              </w:rPr>
              <w:t xml:space="preserve">Configured</w:t>
            </w:r>
          </w:p>
        </w:tc>
      </w:tr>
    </w:tbl>
    <w:p/>
    <w:p>
      <w:pPr>
        <w:pStyle w:val="Heading2"/>
        <w:spacing w:after="100" w:before="300"/>
      </w:pPr>
      <w:r>
        <w:t xml:space="preserve">What Meha Should Be Able to Explain</w:t>
      </w:r>
    </w:p>
    <w:p>
      <w:pPr>
        <w:pStyle w:val="ListParagraph"/>
        <w:numPr>
          <w:ilvl w:val="0"/>
          <w:numId w:val="1"/>
        </w:numPr>
        <w:spacing w:after="40" w:before="40"/>
      </w:pPr>
      <w:r>
        <w:rPr>
          <w:sz w:val="22"/>
          <w:szCs w:val="22"/>
        </w:rPr>
        <w:t xml:space="preserve">What a JWT is and what claims it contains</w:t>
      </w:r>
    </w:p>
    <w:p>
      <w:pPr>
        <w:pStyle w:val="ListParagraph"/>
        <w:numPr>
          <w:ilvl w:val="0"/>
          <w:numId w:val="1"/>
        </w:numPr>
        <w:spacing w:after="40" w:before="40"/>
      </w:pPr>
      <w:r>
        <w:rPr>
          <w:sz w:val="22"/>
          <w:szCs w:val="22"/>
        </w:rPr>
        <w:t xml:space="preserve">How the JWT authorizer works at API Gateway level</w:t>
      </w:r>
    </w:p>
    <w:p>
      <w:pPr>
        <w:pStyle w:val="ListParagraph"/>
        <w:numPr>
          <w:ilvl w:val="0"/>
          <w:numId w:val="1"/>
        </w:numPr>
        <w:spacing w:after="40" w:before="40"/>
      </w:pPr>
      <w:r>
        <w:rPr>
          <w:sz w:val="22"/>
          <w:szCs w:val="22"/>
        </w:rPr>
        <w:t xml:space="preserve">Why group checks in Lambda are needed even with a valid JWT</w:t>
      </w:r>
    </w:p>
    <w:p>
      <w:pPr>
        <w:pStyle w:val="ListParagraph"/>
        <w:numPr>
          <w:ilvl w:val="0"/>
          <w:numId w:val="1"/>
        </w:numPr>
        <w:spacing w:after="40" w:before="40"/>
      </w:pPr>
      <w:r>
        <w:rPr>
          <w:sz w:val="22"/>
          <w:szCs w:val="22"/>
        </w:rPr>
        <w:t xml:space="preserve">Why identical error messages for wrong-password and unknown-user matters</w:t>
      </w:r>
    </w:p>
    <w:p>
      <w:pPr>
        <w:pStyle w:val="ListParagraph"/>
        <w:numPr>
          <w:ilvl w:val="0"/>
          <w:numId w:val="1"/>
        </w:numPr>
        <w:spacing w:after="40" w:before="40"/>
      </w:pPr>
      <w:r>
        <w:rPr>
          <w:sz w:val="22"/>
          <w:szCs w:val="22"/>
        </w:rPr>
        <w:t xml:space="preserve">The difference between authentication and authorization</w:t>
      </w:r>
    </w:p>
    <w:p>
      <w:pPr>
        <w:pStyle w:val="ListParagraph"/>
        <w:numPr>
          <w:ilvl w:val="0"/>
          <w:numId w:val="1"/>
        </w:numPr>
        <w:spacing w:after="40" w:before="40"/>
      </w:pPr>
      <w:r>
        <w:rPr>
          <w:sz w:val="22"/>
          <w:szCs w:val="22"/>
        </w:rPr>
        <w:t xml:space="preserve">Why logs:CreateLogGroup is withheld from Lambda roles</w:t>
      </w:r>
    </w:p>
    <w:p>
      <w:pPr>
        <w:pStyle w:val="ListParagraph"/>
        <w:numPr>
          <w:ilvl w:val="0"/>
          <w:numId w:val="1"/>
        </w:numPr>
        <w:spacing w:after="40" w:before="40"/>
      </w:pPr>
      <w:r>
        <w:rPr>
          <w:sz w:val="22"/>
          <w:szCs w:val="22"/>
        </w:rPr>
        <w:t xml:space="preserve">What "least privilege" means concretely for each function</w:t>
      </w:r>
    </w:p>
    <w:p>
      <w:pPr>
        <w:pStyle w:val="ListParagraph"/>
        <w:numPr>
          <w:ilvl w:val="0"/>
          <w:numId w:val="1"/>
        </w:numPr>
        <w:spacing w:after="40" w:before="40"/>
      </w:pPr>
      <w:r>
        <w:rPr>
          <w:sz w:val="22"/>
          <w:szCs w:val="22"/>
        </w:rPr>
        <w:t xml:space="preserve">How a compromised cp-ingest differs from a compromised cp-query in terms of blast radius</w:t>
      </w:r>
    </w:p>
    <w:p/>
    <w:p>
      <w:pPr>
        <w:pStyle w:val="Heading2"/>
        <w:spacing w:after="100" w:before="300"/>
      </w:pPr>
      <w:r>
        <w:t xml:space="preserve">Personal Reflection</w:t>
      </w:r>
    </w:p>
    <w:p>
      <w:pPr>
        <w:spacing w:after="80" w:before="80"/>
      </w:pPr>
      <w:r>
        <w:rPr>
          <w:b w:val="false"/>
          <w:bCs w:val="false"/>
          <w:sz w:val="22"/>
          <w:szCs w:val="22"/>
        </w:rPr>
        <w:t xml:space="preserve">"Implementing Cognito and the JWT authorizer showed me that identity is infrastructure — a misconfigured Cognito pool or a missing sub claim breaks the entire system before any business logic runs. The gap between authentication works and authorization is correct became very clear when we had to audit every route for missing group checks. Threat modelling a system I built myself was harder than expected: you naturally miss the risks you designed around."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2026-10-05T16:35:18.955Z</dcterms:created>
  <dcterms:modified xsi:type="dcterms:W3CDTF">2026-10-05T16:35:18.955Z</dcterms:modified>
</cp:coreProperties>
</file>

<file path=docProps/custom.xml><?xml version="1.0" encoding="utf-8"?>
<Properties xmlns="http://schemas.openxmlformats.org/officeDocument/2006/custom-properties" xmlns:vt="http://schemas.openxmlformats.org/officeDocument/2006/docPropsVTypes"/>
</file>