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cy9jpuv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Task Report: Model Implementation Strategy and Training Pipeline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2if2mwe9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Crop Yield Prediction and Resource Optimization System (CYPRO)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Agriculture and Agribusiness / Precision Agriculture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ddndowqwk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 of the Implementation Process in Agriculture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Implementing a machine learning solution for agricultural forecasting requires bridging raw environmental data with actionable farm-level insights. The implementation lifecycle encompasses automated data ingestion from meteorological and soil sensors, rigorous preprocessing, iterative model training, and continuous deployment for real-time agricultural decision support.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t7i5crlk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Structure of the Training Pipeline &amp; Data Flow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Architecture:</w:t>
      </w:r>
      <w:r w:rsidDel="00000000" w:rsidR="00000000" w:rsidRPr="00000000">
        <w:rPr>
          <w:rtl w:val="0"/>
        </w:rPr>
        <w:t xml:space="preserve"> Data flows sequentially from raw ingestion to feature extraction batches, entering a structured training pipeline that isolates training, validation, and testing phases.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Partitioning:</w:t>
      </w:r>
      <w:r w:rsidDel="00000000" w:rsidR="00000000" w:rsidRPr="00000000">
        <w:rPr>
          <w:rtl w:val="0"/>
        </w:rPr>
        <w:t xml:space="preserve"> To prevent temporal data leakage and overfitting, the dataset is split chronologically: </w:t>
      </w:r>
      <w:r w:rsidDel="00000000" w:rsidR="00000000" w:rsidRPr="00000000">
        <w:rPr>
          <w:b w:val="1"/>
          <w:bCs w:val="1"/>
          <w:rtl w:val="0"/>
        </w:rPr>
        <w:t xml:space="preserve">70% Training 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15% Validation 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15% Testing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&amp; Testing Procedures:</w:t>
      </w:r>
      <w:r w:rsidDel="00000000" w:rsidR="00000000" w:rsidRPr="00000000">
        <w:rPr>
          <w:rtl w:val="0"/>
        </w:rPr>
        <w:t xml:space="preserve"> The training loop optimizes model weights using ensemble algorithms, while the testing phase evaluates generalization on unseen regional farm data.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kfqw7bnc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Hyperparameter Tuning and Cross-Validation Frameworks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Hyperparameter Optimization:</w:t>
      </w:r>
      <w:r w:rsidDel="00000000" w:rsidR="00000000" w:rsidRPr="00000000">
        <w:rPr>
          <w:rtl w:val="0"/>
        </w:rPr>
        <w:t xml:space="preserve"> Utilizing </w:t>
      </w:r>
      <w:r w:rsidDel="00000000" w:rsidR="00000000" w:rsidRPr="00000000">
        <w:rPr>
          <w:b w:val="1"/>
          <w:bCs w:val="1"/>
          <w:rtl w:val="0"/>
        </w:rPr>
        <w:t xml:space="preserve">Randomized Search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Grid Search</w:t>
      </w:r>
      <w:r w:rsidDel="00000000" w:rsidR="00000000" w:rsidRPr="00000000">
        <w:rPr>
          <w:rtl w:val="0"/>
        </w:rPr>
        <w:t xml:space="preserve"> algorithms to systematically tune key parameters such as maximum tree depth, learning rate, and number of estimators in ensemble models.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Cross-Validation:</w:t>
      </w:r>
      <w:r w:rsidDel="00000000" w:rsidR="00000000" w:rsidRPr="00000000">
        <w:rPr>
          <w:rtl w:val="0"/>
        </w:rPr>
        <w:t xml:space="preserve"> Implementing </w:t>
      </w:r>
      <w:r w:rsidDel="00000000" w:rsidR="00000000" w:rsidRPr="00000000">
        <w:rPr>
          <w:b w:val="1"/>
          <w:bCs w:val="1"/>
          <w:rtl w:val="0"/>
        </w:rPr>
        <w:t xml:space="preserve">5-Fold Cross-Validation</w:t>
      </w:r>
      <w:r w:rsidDel="00000000" w:rsidR="00000000" w:rsidRPr="00000000">
        <w:rPr>
          <w:rtl w:val="0"/>
        </w:rPr>
        <w:t xml:space="preserve"> to ensure the model's performance remains stable and unbiased across diverse agricultural zones.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flakkn7e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Tools and Environments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&amp; Libraries:</w:t>
      </w:r>
      <w:r w:rsidDel="00000000" w:rsidR="00000000" w:rsidRPr="00000000">
        <w:rPr>
          <w:rtl w:val="0"/>
        </w:rPr>
        <w:t xml:space="preserve"> Python, Scikit-Learn, Pandas, NumPy, and MLflow for experiment tracking.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Infrastructure:</w:t>
      </w:r>
      <w:r w:rsidDel="00000000" w:rsidR="00000000" w:rsidRPr="00000000">
        <w:rPr>
          <w:rtl w:val="0"/>
        </w:rPr>
        <w:t xml:space="preserve"> AWS SageMaker and Google Colab environments utilized for scalable model training and computational resource management.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0gqlh5un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Implementation Challenges &amp; Mitigation Methods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High computational memory overhead when processing large multi-regional satellite and soil matrices.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Employing data chunking strategies and distributed batch processing to optimize memory usage.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