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hyperlocal-disaster-to-commerce-(d2c)-mesh-—-content-document" w:id="1"/>
      <w:r>
        <w:t xml:space="preserve">Hyperlocal Disaster-to-Commerce (D2C) Mesh — Content Document</w:t>
      </w:r>
      <w:bookmarkEnd w:id="1"/>
    </w:p>
    <w:p>
      <w:pPr>
        <w:pStyle w:val="Heading1"/>
      </w:pPr>
      <w:bookmarkStart w:name="1-overview" w:id="1"/>
      <w:r>
        <w:t xml:space="preserve">1. Overview</w:t>
      </w:r>
      <w:bookmarkEnd w:id="1"/>
    </w:p>
    <w:p>
      <w:pPr>
        <w:pStyle w:val="ListParagraph"/>
        <w:pStyle w:val="ListParagraph"/>
        <w:numPr>
          <w:ilvl w:val="0"/>
          <w:numId w:val="1"/>
        </w:numPr>
        <w:numPr>
          <w:ilvl w:val="0"/>
          <w:numId w:val="2"/>
        </w:numPr>
      </w:pPr>
      <w:r>
        <w:rPr>
          <w:b/>
          <w:bCs/>
        </w:rPr>
        <w:t xml:space="preserve">Project Name:</w:t>
      </w:r>
      <w:r>
        <w:t xml:space="preserve"> Hyperlocal Disaster-to-Commerce (D2C) Mesh</w:t>
      </w:r>
    </w:p>
    <w:p>
      <w:pPr>
        <w:pStyle w:val="ListParagraph"/>
        <w:pStyle w:val="ListParagraph"/>
        <w:numPr>
          <w:ilvl w:val="0"/>
          <w:numId w:val="1"/>
        </w:numPr>
        <w:numPr>
          <w:ilvl w:val="0"/>
          <w:numId w:val="2"/>
        </w:numPr>
      </w:pPr>
      <w:r>
        <w:rPr>
          <w:b/>
          <w:bCs/>
        </w:rPr>
        <w:t xml:space="preserve">One-Line Vision:</w:t>
      </w:r>
      <w:r>
        <w:t xml:space="preserve"> An AI-powered mobile platform that fuses government flood data into street-level predictions, provides vehicle-aware safe routing, and activates geo-targeted E-Vouchers redeemable at local SME Micro-Relief Stations — creating an end-to-end warning-to-action pipeline that also serves as year-round community commerce infrastructure. [source: participant]</w:t>
      </w:r>
    </w:p>
    <w:p>
      <w:pPr>
        <w:pStyle w:val="ListParagraph"/>
        <w:pStyle w:val="ListParagraph"/>
        <w:numPr>
          <w:ilvl w:val="0"/>
          <w:numId w:val="1"/>
        </w:numPr>
        <w:numPr>
          <w:ilvl w:val="0"/>
          <w:numId w:val="2"/>
        </w:numPr>
      </w:pPr>
      <w:r>
        <w:rPr>
          <w:b/>
          <w:bCs/>
        </w:rPr>
        <w:t xml:space="preserve">Pillar:</w:t>
      </w:r>
      <w:r>
        <w:t xml:space="preserve"> 🌪️ Resilience Communities — Protecting communities against disasters, climate change, and environmental risks through predictive and proactive AI solutions [source: workflow]</w:t>
      </w:r>
    </w:p>
    <w:p>
      <w:pPr>
        <w:pStyle w:val="ListParagraph"/>
        <w:pStyle w:val="ListParagraph"/>
        <w:numPr>
          <w:ilvl w:val="0"/>
          <w:numId w:val="1"/>
        </w:numPr>
        <w:numPr>
          <w:ilvl w:val="0"/>
          <w:numId w:val="2"/>
        </w:numPr>
      </w:pPr>
      <w:r>
        <w:rPr>
          <w:b/>
          <w:bCs/>
        </w:rPr>
        <w:t xml:space="preserve">Owner:</w:t>
      </w:r>
      <w:r>
        <w:t xml:space="preserve"> sommai</w:t>
      </w:r>
    </w:p>
    <w:p>
      <w:pPr>
        <w:pStyle w:val="ListParagraph"/>
        <w:pStyle w:val="ListParagraph"/>
        <w:numPr>
          <w:ilvl w:val="0"/>
          <w:numId w:val="1"/>
        </w:numPr>
        <w:numPr>
          <w:ilvl w:val="0"/>
          <w:numId w:val="2"/>
        </w:numPr>
      </w:pPr>
      <w:r>
        <w:rPr>
          <w:b/>
          <w:bCs/>
        </w:rPr>
        <w:t xml:space="preserve">Date:</w:t>
      </w:r>
      <w:r>
        <w:t xml:space="preserve"> 2026-10-26</w:t>
      </w:r>
    </w:p>
    <w:p>
      <w:pPr>
        <w:pStyle w:val="ListParagraph"/>
        <w:pStyle w:val="ListParagraph"/>
        <w:numPr>
          <w:ilvl w:val="0"/>
          <w:numId w:val="1"/>
        </w:numPr>
        <w:numPr>
          <w:ilvl w:val="0"/>
          <w:numId w:val="2"/>
        </w:numPr>
      </w:pPr>
      <w:r>
        <w:rPr>
          <w:b/>
          <w:bCs/>
        </w:rPr>
        <w:t xml:space="preserve">Status:</w:t>
      </w:r>
      <w:r>
        <w:t xml:space="preserve"> CONDITIONAL GO at 70% confidence [source: Stage 7 Go/No-Go]</w:t>
      </w:r>
    </w:p>
    <w:p>
      <w:pPr>
        <w:pStyle w:val="ListParagraph"/>
        <w:pStyle w:val="ListParagraph"/>
        <w:numPr>
          <w:ilvl w:val="0"/>
          <w:numId w:val="1"/>
        </w:numPr>
        <w:numPr>
          <w:ilvl w:val="0"/>
          <w:numId w:val="2"/>
        </w:numPr>
      </w:pPr>
      <w:r>
        <w:rPr>
          <w:b/>
          <w:bCs/>
        </w:rPr>
        <w:t xml:space="preserve">Project Type:</w:t>
      </w:r>
      <w:r>
        <w:t xml:space="preserve"> Greenfield consumer-facing PWA [source: Stage 1]</w:t>
      </w:r>
    </w:p>
    <w:p>
      <w:pPr>
        <w:pBdr>
          <w:top w:val="single" w:sz="6"/>
        </w:pBdr>
      </w:pPr>
    </w:p>
    <w:p>
      <w:pPr>
        <w:pStyle w:val="Heading1"/>
      </w:pPr>
      <w:bookmarkStart w:name="2-problem-statement" w:id="1"/>
      <w:r>
        <w:t xml:space="preserve">2. Problem Statement</w:t>
      </w:r>
      <w:bookmarkEnd w:id="1"/>
    </w:p>
    <w:p>
      <w:r>
        <w:rPr>
          <w:b/>
          <w:bCs/>
        </w:rPr>
        <w:t xml:space="preserve">Participant's framing (verbatim):</w:t>
      </w:r>
    </w:p>
    <w:p>
      <w:pPr>
        <w:pBdr>
          <w:left w:val="inset" w:color="aaaaaa" w:sz="20" w:space="14"/>
        </w:pBdr>
        <w:ind w:left="720" w:hanging="360"/>
      </w:pPr>
      <w:r>
        <w:rPr>
          <w:bdr/>
        </w:rPr>
        <w:t xml:space="preserve">"The most critical challenge in current disaster management initiatives is the lack of an integrated, end-to-end system that connects early warning intelligence to real-time crisis routing and, crucially, to an economic relief mechanism that directly stimulates the grassroots economy." [source: participant]</w:t>
      </w:r>
    </w:p>
    <w:p>
      <w:r>
        <w:rPr>
          <w:b/>
          <w:bCs/>
        </w:rPr>
        <w:t xml:space="preserve">Supporting evidence:</w:t>
      </w:r>
    </w:p>
    <w:p>
      <w:r>
        <w:t xml:space="preserve">Thailand invests heavily in national flood monitoring infrastructure — TMD weather radar, HII's 4,000+ telemetry stations, GISTDA THEOS-2 satellite imagery, RID canal/reservoir data, and the newly launched One Map Water dashboard [source: Stage 2 market research]. Yet the Thailand State Audit Office found that </w:t>
      </w:r>
      <w:r>
        <w:rPr>
          <w:b/>
          <w:bCs/>
        </w:rPr>
        <w:t xml:space="preserve">72.31% of flood incidents between 2021–2024 occurred without prior warning to affected communities</w:t>
      </w:r>
      <w:r>
        <w:t xml:space="preserve">, and </w:t>
      </w:r>
      <w:r>
        <w:rPr>
          <w:b/>
          <w:bCs/>
        </w:rPr>
        <w:t xml:space="preserve">46.17% of at-risk villages lack warning stations entirely</w:t>
      </w:r>
      <w:r>
        <w:t xml:space="preserve"> [source: Stage 2 market research, State Audit Office].</w:t>
      </w:r>
    </w:p>
    <w:p>
      <w:r>
        <w:t xml:space="preserve">The problem is not a data deficit — it is a last-mile delivery failure. Existing systems operate in silos: flood data stays in government dashboards, routing apps ignore flood conditions, and relief distribution relies on physical cash or in-kind deliveries that create bottlenecks and exclude local merchants from the economic recovery cycle [source: Stage 2 market research].</w:t>
      </w:r>
    </w:p>
    <w:p>
      <w:r>
        <w:rPr>
          <w:b/>
          <w:bCs/>
        </w:rPr>
        <w:t xml:space="preserve">Pilot area rationale:</w:t>
      </w:r>
    </w:p>
    <w:p>
      <w:r>
        <w:t xml:space="preserve">Nakhon Pathom and the surrounding Bangkok perimeter were selected because: (a) the region sits in the Tha Chin River basin with high flood relevance, (b) it offers a semi-urban context with a diverse SME ecosystem suitable for the Micro-Relief Station model, and (c) its proximity to Bangkok provides infrastructure and institutional access while remaining a realistic disaster-prone environment [source: participant].</w:t>
      </w:r>
    </w:p>
    <w:p>
      <w:pPr>
        <w:pBdr>
          <w:top w:val="single" w:sz="6"/>
        </w:pBdr>
      </w:pPr>
    </w:p>
    <w:p>
      <w:pPr>
        <w:pStyle w:val="Heading1"/>
      </w:pPr>
      <w:bookmarkStart w:name="3-solution-summary" w:id="1"/>
      <w:r>
        <w:t xml:space="preserve">3. Solution Summary</w:t>
      </w:r>
      <w:bookmarkEnd w:id="1"/>
    </w:p>
    <w:p>
      <w:r>
        <w:t xml:space="preserve">The D2C Mesh implements a three-track pipeline, where each track feeds the next:</w:t>
      </w:r>
    </w:p>
    <w:p>
      <w:r>
        <w:rPr>
          <w:b/>
          <w:bCs/>
        </w:rPr>
        <w:t xml:space="preserve">Track 6 — เตือนภัยตรงจุด (Resilient Communities: Early Warning)</w:t>
      </w:r>
    </w:p>
    <w:p>
      <w:r>
        <w:t xml:space="preserve">AI-powered hyperlocal flood prediction fusing TMD radar, HII telemetry, GISTDA satellite, RID canal data, and Traffy Fondue crowdsource reports into street-level, 3–6 hour advance warnings. Users see a Hyperlocal Hazard Map with water levels, use a Timeline Slider for 1h/3h/6h lookahead, receive Risk Alert Banners, and are warned of imminent isolation zones via the Isolation Alert system. [source: participant SRS / Stage 4 scope]</w:t>
      </w:r>
    </w:p>
    <w:p>
      <w:r>
        <w:rPr>
          <w:b/>
          <w:bCs/>
        </w:rPr>
        <w:t xml:space="preserve">Track 5 — เดินทางปลอดภัย (Smart Mobility: Crisis Routing)</w:t>
      </w:r>
    </w:p>
    <w:p>
      <w:r>
        <w:t xml:space="preserve">Vehicle-aware dynamic routing that blocks flooded roads based on vehicle clearance thresholds: sedan/motorcycle ≤15 cm, pickup/SUV ≤40 cm, boat/jet ski for deeply flooded roads and canals. The system provides turn-by-turn navigation with automatic rerouting when water rises mid-journey, plus crowdsourced flood reporting. [source: participant SRS / Stage 4 scope]</w:t>
      </w:r>
    </w:p>
    <w:p>
      <w:r>
        <w:rPr>
          <w:b/>
          <w:bCs/>
        </w:rPr>
        <w:t xml:space="preserve">Track 2 — เสบียงหมุนเวียนด้วยเงินท้องถิ่น (SME &amp; Local Economy: Decentralized Relief)</w:t>
      </w:r>
    </w:p>
    <w:p>
      <w:r>
        <w:t xml:space="preserve">Geo-targeted E-Vouchers activated by flood alerts, redeemable at local SME Micro-Relief Stations via Thailand's existing PromptPay QR infrastructure (74 million daily transactions, near-universal merchant QR acceptance) [source: Stage 2 market research]. The system converts local shops into relief distribution points, eliminating centralized bottlenecks. The E-Voucher model follows the proven Khon La Khrueng (คนละครึ่ง) co-payment architecture delivered through Krungthai Bank's Paotang app (40 million users) [source: Stage 2 market research].</w:t>
      </w:r>
    </w:p>
    <w:p>
      <w:r>
        <w:rPr>
          <w:b/>
          <w:bCs/>
        </w:rPr>
        <w:t xml:space="preserve">Year-round sustainability:</w:t>
      </w:r>
      <w:r>
        <w:t xml:space="preserve"> Between flood seasons, the platform serves as a digital welfare distribution layer for Thailand's 7,800 Local Administrative Organizations (อปท.), none of which currently have a standardized digital disbursement platform [source: Stage 2 market research]. This maintains continuous user and merchant engagement year-round. [source: participant]</w:t>
      </w:r>
    </w:p>
    <w:p>
      <w:pPr>
        <w:pBdr>
          <w:top w:val="single" w:sz="6"/>
        </w:pBdr>
      </w:pPr>
    </w:p>
    <w:p>
      <w:pPr>
        <w:pStyle w:val="Heading1"/>
      </w:pPr>
      <w:bookmarkStart w:name="4-confirmed-parameters" w:id="1"/>
      <w:r>
        <w:t xml:space="preserve">4. Confirmed Parameters</w:t>
      </w:r>
      <w:bookmarkEnd w:id="1"/>
    </w:p>
    <w:p>
      <w:r>
        <w:t xml:space="preserve">Decisions locked during the workflow, with rationale: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Parameter</w:t>
            </w:r>
          </w:p>
        </w:tc>
        <w:tc>
          <w:tcPr>
            <w:tcW w:type="auto" w:w="100"/>
            <w:shd w:fill="b79c2f" w:val="solid"/>
            <w:vAlign w:val="center"/>
          </w:tcPr>
          <w:p>
            <w:pPr>
              <w:jc w:val="center"/>
            </w:pPr>
            <w:r>
              <w:rPr>
                <w:b/>
                <w:bCs/>
              </w:rPr>
              <w:t xml:space="preserve">Value</w:t>
            </w:r>
          </w:p>
        </w:tc>
        <w:tc>
          <w:tcPr>
            <w:tcW w:type="auto" w:w="100"/>
            <w:shd w:fill="b79c2f" w:val="solid"/>
            <w:vAlign w:val="center"/>
          </w:tcPr>
          <w:p>
            <w:pPr>
              <w:jc w:val="center"/>
            </w:pPr>
            <w:r>
              <w:rPr>
                <w:b/>
                <w:bCs/>
              </w:rPr>
              <w:t xml:space="preserve">Rationale</w:t>
            </w:r>
          </w:p>
        </w:tc>
        <w:tc>
          <w:tcPr>
            <w:tcW w:type="auto" w:w="100"/>
            <w:shd w:fill="b79c2f" w:val="solid"/>
            <w:vAlign w:val="center"/>
          </w:tcPr>
          <w:p>
            <w:pPr>
              <w:jc w:val="center"/>
            </w:pPr>
            <w:r>
              <w:rPr>
                <w:b/>
                <w:bCs/>
              </w:rPr>
              <w:t xml:space="preserve">Source</w:t>
            </w:r>
          </w:p>
        </w:tc>
      </w:tr>
      <w:tr>
        <w:tc>
          <w:tcPr>
            <w:tcW w:type="auto" w:w="100"/>
            <w:vAlign w:val="center"/>
          </w:tcPr>
          <w:p>
            <w:r>
              <w:t xml:space="preserve">D-01</w:t>
            </w:r>
          </w:p>
        </w:tc>
        <w:tc>
          <w:tcPr>
            <w:tcW w:type="auto" w:w="100"/>
            <w:vAlign w:val="center"/>
          </w:tcPr>
          <w:p>
            <w:r>
              <w:t xml:space="preserve">Strategic pillar</w:t>
            </w:r>
          </w:p>
        </w:tc>
        <w:tc>
          <w:tcPr>
            <w:tcW w:type="auto" w:w="100"/>
            <w:vAlign w:val="center"/>
          </w:tcPr>
          <w:p>
            <w:r>
              <w:t xml:space="preserve">🌪️ Resilience Communities</w:t>
            </w:r>
          </w:p>
        </w:tc>
        <w:tc>
          <w:tcPr>
            <w:tcW w:type="auto" w:w="100"/>
            <w:vAlign w:val="center"/>
          </w:tcPr>
          <w:p>
            <w:r>
              <w:t xml:space="preserve">Participant's domain of concern</w:t>
            </w:r>
          </w:p>
        </w:tc>
        <w:tc>
          <w:tcPr>
            <w:tcW w:type="auto" w:w="100"/>
            <w:vAlign w:val="center"/>
          </w:tcPr>
          <w:p>
            <w:r>
              <w:t xml:space="preserve">[source: participant]</w:t>
            </w:r>
          </w:p>
        </w:tc>
      </w:tr>
      <w:tr>
        <w:tc>
          <w:tcPr>
            <w:tcW w:type="auto" w:w="100"/>
            <w:vAlign w:val="center"/>
          </w:tcPr>
          <w:p>
            <w:r>
              <w:t xml:space="preserve">D-02</w:t>
            </w:r>
          </w:p>
        </w:tc>
        <w:tc>
          <w:tcPr>
            <w:tcW w:type="auto" w:w="100"/>
            <w:vAlign w:val="center"/>
          </w:tcPr>
          <w:p>
            <w:r>
              <w:t xml:space="preserve">Pilot area</w:t>
            </w:r>
          </w:p>
        </w:tc>
        <w:tc>
          <w:tcPr>
            <w:tcW w:type="auto" w:w="100"/>
            <w:vAlign w:val="center"/>
          </w:tcPr>
          <w:p>
            <w:r>
              <w:t xml:space="preserve">Nakhon Pathom &amp; Bangkok perimeter</w:t>
            </w:r>
          </w:p>
        </w:tc>
        <w:tc>
          <w:tcPr>
            <w:tcW w:type="auto" w:w="100"/>
            <w:vAlign w:val="center"/>
          </w:tcPr>
          <w:p>
            <w:r>
              <w:t xml:space="preserve">High flood relevance; semi-urban SME ecosystem; Bangkok proximity</w:t>
            </w:r>
          </w:p>
        </w:tc>
        <w:tc>
          <w:tcPr>
            <w:tcW w:type="auto" w:w="100"/>
            <w:vAlign w:val="center"/>
          </w:tcPr>
          <w:p>
            <w:r>
              <w:t xml:space="preserve">[source: participant]</w:t>
            </w:r>
          </w:p>
        </w:tc>
      </w:tr>
      <w:tr>
        <w:tc>
          <w:tcPr>
            <w:tcW w:type="auto" w:w="100"/>
            <w:vAlign w:val="center"/>
          </w:tcPr>
          <w:p>
            <w:r>
              <w:t xml:space="preserve">D-03</w:t>
            </w:r>
          </w:p>
        </w:tc>
        <w:tc>
          <w:tcPr>
            <w:tcW w:type="auto" w:w="100"/>
            <w:vAlign w:val="center"/>
          </w:tcPr>
          <w:p>
            <w:r>
              <w:t xml:space="preserve">Core concept</w:t>
            </w:r>
          </w:p>
        </w:tc>
        <w:tc>
          <w:tcPr>
            <w:tcW w:type="auto" w:w="100"/>
            <w:vAlign w:val="center"/>
          </w:tcPr>
          <w:p>
            <w:r>
              <w:t xml:space="preserve">Three-track integration (Warning → Routing → Commerce)</w:t>
            </w:r>
          </w:p>
        </w:tc>
        <w:tc>
          <w:tcPr>
            <w:tcW w:type="auto" w:w="100"/>
            <w:vAlign w:val="center"/>
          </w:tcPr>
          <w:p>
            <w:r>
              <w:t xml:space="preserve">Integration is the white space; no existing platform combines all three</w:t>
            </w:r>
          </w:p>
        </w:tc>
        <w:tc>
          <w:tcPr>
            <w:tcW w:type="auto" w:w="100"/>
            <w:vAlign w:val="center"/>
          </w:tcPr>
          <w:p>
            <w:r>
              <w:t xml:space="preserve">[source: participant + Stage 2 market research]</w:t>
            </w:r>
          </w:p>
        </w:tc>
      </w:tr>
      <w:tr>
        <w:tc>
          <w:tcPr>
            <w:tcW w:type="auto" w:w="100"/>
            <w:vAlign w:val="center"/>
          </w:tcPr>
          <w:p>
            <w:r>
              <w:t xml:space="preserve">D-04</w:t>
            </w:r>
          </w:p>
        </w:tc>
        <w:tc>
          <w:tcPr>
            <w:tcW w:type="auto" w:w="100"/>
            <w:vAlign w:val="center"/>
          </w:tcPr>
          <w:p>
            <w:r>
              <w:t xml:space="preserve">Project type</w:t>
            </w:r>
          </w:p>
        </w:tc>
        <w:tc>
          <w:tcPr>
            <w:tcW w:type="auto" w:w="100"/>
            <w:vAlign w:val="center"/>
          </w:tcPr>
          <w:p>
            <w:r>
              <w:t xml:space="preserve">Greenfield consumer-facing PWA</w:t>
            </w:r>
          </w:p>
        </w:tc>
        <w:tc>
          <w:tcPr>
            <w:tcW w:type="auto" w:w="100"/>
            <w:vAlign w:val="center"/>
          </w:tcPr>
          <w:p>
            <w:r>
              <w:t xml:space="preserve">New platform with public user base; mobile-first</w:t>
            </w:r>
          </w:p>
        </w:tc>
        <w:tc>
          <w:tcPr>
            <w:tcW w:type="auto" w:w="100"/>
            <w:vAlign w:val="center"/>
          </w:tcPr>
          <w:p>
            <w:r>
              <w:t xml:space="preserve">[source: Stage 1]</w:t>
            </w:r>
          </w:p>
        </w:tc>
      </w:tr>
      <w:tr>
        <w:tc>
          <w:tcPr>
            <w:tcW w:type="auto" w:w="100"/>
            <w:vAlign w:val="center"/>
          </w:tcPr>
          <w:p>
            <w:r>
              <w:t xml:space="preserve">D-07</w:t>
            </w:r>
          </w:p>
        </w:tc>
        <w:tc>
          <w:tcPr>
            <w:tcW w:type="auto" w:w="100"/>
            <w:vAlign w:val="center"/>
          </w:tcPr>
          <w:p>
            <w:r>
              <w:t xml:space="preserve">Payment approach</w:t>
            </w:r>
          </w:p>
        </w:tc>
        <w:tc>
          <w:tcPr>
            <w:tcW w:type="auto" w:w="100"/>
            <w:vAlign w:val="center"/>
          </w:tcPr>
          <w:p>
            <w:r>
              <w:t xml:space="preserve">PromptPay / Krungthai Paotang API (no own gateway)</w:t>
            </w:r>
          </w:p>
        </w:tc>
        <w:tc>
          <w:tcPr>
            <w:tcW w:type="auto" w:w="100"/>
            <w:vAlign w:val="center"/>
          </w:tcPr>
          <w:p>
            <w:r>
              <w:t xml:space="preserve">74M daily transactions; near-universal QR; eliminates BOT licensing</w:t>
            </w:r>
          </w:p>
        </w:tc>
        <w:tc>
          <w:tcPr>
            <w:tcW w:type="auto" w:w="100"/>
            <w:vAlign w:val="center"/>
          </w:tcPr>
          <w:p>
            <w:r>
              <w:t xml:space="preserve">[source: Stage 2 market research + Stage 3 compliance]</w:t>
            </w:r>
          </w:p>
        </w:tc>
      </w:tr>
      <w:tr>
        <w:tc>
          <w:tcPr>
            <w:tcW w:type="auto" w:w="100"/>
            <w:vAlign w:val="center"/>
          </w:tcPr>
          <w:p>
            <w:r>
              <w:t xml:space="preserve">D-08</w:t>
            </w:r>
          </w:p>
        </w:tc>
        <w:tc>
          <w:tcPr>
            <w:tcW w:type="auto" w:w="100"/>
            <w:vAlign w:val="center"/>
          </w:tcPr>
          <w:p>
            <w:r>
              <w:t xml:space="preserve">Offline resilience</w:t>
            </w:r>
          </w:p>
        </w:tc>
        <w:tc>
          <w:tcPr>
            <w:tcW w:type="auto" w:w="100"/>
            <w:vAlign w:val="center"/>
          </w:tcPr>
          <w:p>
            <w:r>
              <w:t xml:space="preserve">4-layer graceful degradation architecture</w:t>
            </w:r>
          </w:p>
        </w:tc>
        <w:tc>
          <w:tcPr>
            <w:tcW w:type="auto" w:w="100"/>
            <w:vAlign w:val="center"/>
          </w:tcPr>
          <w:p>
            <w:r>
              <w:t xml:space="preserve">PWA cache → SMS/USSD → IoT edge → mesh/loudspeaker relay</w:t>
            </w:r>
          </w:p>
        </w:tc>
        <w:tc>
          <w:tcPr>
            <w:tcW w:type="auto" w:w="100"/>
            <w:vAlign w:val="center"/>
          </w:tcPr>
          <w:p>
            <w:r>
              <w:t xml:space="preserve">[source: Stage 3 platform agent]</w:t>
            </w:r>
          </w:p>
        </w:tc>
      </w:tr>
      <w:tr>
        <w:tc>
          <w:tcPr>
            <w:tcW w:type="auto" w:w="100"/>
            <w:vAlign w:val="center"/>
          </w:tcPr>
          <w:p>
            <w:r>
              <w:t xml:space="preserve">D-10</w:t>
            </w:r>
          </w:p>
        </w:tc>
        <w:tc>
          <w:tcPr>
            <w:tcW w:type="auto" w:w="100"/>
            <w:vAlign w:val="center"/>
          </w:tcPr>
          <w:p>
            <w:r>
              <w:t xml:space="preserve">Sensor strategy</w:t>
            </w:r>
          </w:p>
        </w:tc>
        <w:tc>
          <w:tcPr>
            <w:tcW w:type="auto" w:w="100"/>
            <w:vAlign w:val="center"/>
          </w:tcPr>
          <w:p>
            <w:r>
              <w:t xml:space="preserve">Software-first (no own hardware network)</w:t>
            </w:r>
          </w:p>
        </w:tc>
        <w:tc>
          <w:tcPr>
            <w:tcW w:type="auto" w:w="100"/>
            <w:vAlign w:val="center"/>
          </w:tcPr>
          <w:p>
            <w:r>
              <w:t xml:space="preserve">Consume TMD/HII/RID/GISTDA existing 4,000+ stations</w:t>
            </w:r>
          </w:p>
        </w:tc>
        <w:tc>
          <w:tcPr>
            <w:tcW w:type="auto" w:w="100"/>
            <w:vAlign w:val="center"/>
          </w:tcPr>
          <w:p>
            <w:r>
              <w:t xml:space="preserve">[source: participant]</w:t>
            </w:r>
          </w:p>
        </w:tc>
      </w:tr>
      <w:tr>
        <w:tc>
          <w:tcPr>
            <w:tcW w:type="auto" w:w="100"/>
            <w:vAlign w:val="center"/>
          </w:tcPr>
          <w:p>
            <w:r>
              <w:t xml:space="preserve">D-12</w:t>
            </w:r>
          </w:p>
        </w:tc>
        <w:tc>
          <w:tcPr>
            <w:tcW w:type="auto" w:w="100"/>
            <w:vAlign w:val="center"/>
          </w:tcPr>
          <w:p>
            <w:r>
              <w:t xml:space="preserve">Design system</w:t>
            </w:r>
          </w:p>
        </w:tc>
        <w:tc>
          <w:tcPr>
            <w:tcW w:type="auto" w:w="100"/>
            <w:vAlign w:val="center"/>
          </w:tcPr>
          <w:p>
            <w:r>
              <w:t xml:space="preserve">Soft UI, Clean White + Solid Blue, Kanit font, Material/Lucide icons</w:t>
            </w:r>
          </w:p>
        </w:tc>
        <w:tc>
          <w:tcPr>
            <w:tcW w:type="auto" w:w="100"/>
            <w:vAlign w:val="center"/>
          </w:tcPr>
          <w:p>
            <w:r>
              <w:t xml:space="preserve">Apple OS-style; Thai typography; trust/authority via blue</w:t>
            </w:r>
          </w:p>
        </w:tc>
        <w:tc>
          <w:tcPr>
            <w:tcW w:type="auto" w:w="100"/>
            <w:vAlign w:val="center"/>
          </w:tcPr>
          <w:p>
            <w:r>
              <w:t xml:space="preserve">[source: participant SRS]</w:t>
            </w:r>
          </w:p>
        </w:tc>
      </w:tr>
      <w:tr>
        <w:tc>
          <w:tcPr>
            <w:tcW w:type="auto" w:w="100"/>
            <w:vAlign w:val="center"/>
          </w:tcPr>
          <w:p>
            <w:r>
              <w:t xml:space="preserve">D-13</w:t>
            </w:r>
          </w:p>
        </w:tc>
        <w:tc>
          <w:tcPr>
            <w:tcW w:type="auto" w:w="100"/>
            <w:vAlign w:val="center"/>
          </w:tcPr>
          <w:p>
            <w:r>
              <w:t xml:space="preserve">Entry point</w:t>
            </w:r>
          </w:p>
        </w:tc>
        <w:tc>
          <w:tcPr>
            <w:tcW w:type="auto" w:w="100"/>
            <w:vAlign w:val="center"/>
          </w:tcPr>
          <w:p>
            <w:r>
              <w:t xml:space="preserve">Dashboard/Homepage (not forced map view)</w:t>
            </w:r>
          </w:p>
        </w:tc>
        <w:tc>
          <w:tcPr>
            <w:tcW w:type="auto" w:w="100"/>
            <w:vAlign w:val="center"/>
          </w:tcPr>
          <w:p>
            <w:r>
              <w:t xml:space="preserve">Reduces cognitive load; shows alert summary + voucher balance first</w:t>
            </w:r>
          </w:p>
        </w:tc>
        <w:tc>
          <w:tcPr>
            <w:tcW w:type="auto" w:w="100"/>
            <w:vAlign w:val="center"/>
          </w:tcPr>
          <w:p>
            <w:r>
              <w:t xml:space="preserve">[source: participant SRS]</w:t>
            </w:r>
          </w:p>
        </w:tc>
      </w:tr>
      <w:tr>
        <w:tc>
          <w:tcPr>
            <w:tcW w:type="auto" w:w="100"/>
            <w:vAlign w:val="center"/>
          </w:tcPr>
          <w:p>
            <w:r>
              <w:t xml:space="preserve">D-17</w:t>
            </w:r>
          </w:p>
        </w:tc>
        <w:tc>
          <w:tcPr>
            <w:tcW w:type="auto" w:w="100"/>
            <w:vAlign w:val="center"/>
          </w:tcPr>
          <w:p>
            <w:r>
              <w:t xml:space="preserve">Delivery platform</w:t>
            </w:r>
          </w:p>
        </w:tc>
        <w:tc>
          <w:tcPr>
            <w:tcW w:type="auto" w:w="100"/>
            <w:vAlign w:val="center"/>
          </w:tcPr>
          <w:p>
            <w:r>
              <w:t xml:space="preserve">PWA over native app for MVP</w:t>
            </w:r>
          </w:p>
        </w:tc>
        <w:tc>
          <w:tcPr>
            <w:tcW w:type="auto" w:w="100"/>
            <w:vAlign w:val="center"/>
          </w:tcPr>
          <w:p>
            <w:r>
              <w:t xml:space="preserve">Bypasses App Store delays for emergency deployment; minimal storage</w:t>
            </w:r>
          </w:p>
        </w:tc>
        <w:tc>
          <w:tcPr>
            <w:tcW w:type="auto" w:w="100"/>
            <w:vAlign w:val="center"/>
          </w:tcPr>
          <w:p>
            <w:r>
              <w:t xml:space="preserve">[source: participant]</w:t>
            </w:r>
          </w:p>
        </w:tc>
      </w:tr>
      <w:tr>
        <w:tc>
          <w:tcPr>
            <w:tcW w:type="auto" w:w="100"/>
            <w:vAlign w:val="center"/>
          </w:tcPr>
          <w:p>
            <w:r>
              <w:t xml:space="preserve">D-18</w:t>
            </w:r>
          </w:p>
        </w:tc>
        <w:tc>
          <w:tcPr>
            <w:tcW w:type="auto" w:w="100"/>
            <w:vAlign w:val="center"/>
          </w:tcPr>
          <w:p>
            <w:r>
              <w:t xml:space="preserve">Legal framework</w:t>
            </w:r>
          </w:p>
        </w:tc>
        <w:tc>
          <w:tcPr>
            <w:tcW w:type="auto" w:w="100"/>
            <w:vAlign w:val="center"/>
          </w:tcPr>
          <w:p>
            <w:r>
              <w:t xml:space="preserve">Smart City sandbox for อปท. welfare pilot</w:t>
            </w:r>
          </w:p>
        </w:tc>
        <w:tc>
          <w:tcPr>
            <w:tcW w:type="auto" w:w="100"/>
            <w:vAlign w:val="center"/>
          </w:tcPr>
          <w:p>
            <w:r>
              <w:t xml:space="preserve">Enables legal testing of digital welfare distributions</w:t>
            </w:r>
          </w:p>
        </w:tc>
        <w:tc>
          <w:tcPr>
            <w:tcW w:type="auto" w:w="100"/>
            <w:vAlign w:val="center"/>
          </w:tcPr>
          <w:p>
            <w:r>
              <w:t xml:space="preserve">[source: participant]</w:t>
            </w:r>
          </w:p>
        </w:tc>
      </w:tr>
    </w:tbl>
    <w:p>
      <w:pPr>
        <w:pBdr>
          <w:top w:val="single" w:sz="6"/>
        </w:pBdr>
      </w:pPr>
    </w:p>
    <w:p>
      <w:pPr>
        <w:pStyle w:val="Heading1"/>
      </w:pPr>
      <w:bookmarkStart w:name="5-competitive-landscape" w:id="1"/>
      <w:r>
        <w:t xml:space="preserve">5. Competitive Landscape</w:t>
      </w:r>
      <w:bookmarkEnd w:id="1"/>
    </w:p>
    <w:p>
      <w:r>
        <w:t xml:space="preserve">No existing platform — Thai or global — integrates early warning, vehicle-aware routing, and economic relief in a single pipeline [source: Stage 2 market research].</w:t>
      </w:r>
    </w:p>
    <w:p>
      <w:r>
        <w:rPr>
          <w:b/>
          <w:bCs/>
        </w:rPr>
        <w:t xml:space="preserve">Thai flood ecosystem (fragmented):</w:t>
      </w:r>
    </w:p>
    <w:p>
      <w:pPr>
        <w:pStyle w:val="ListParagraph"/>
        <w:pStyle w:val="ListParagraph"/>
        <w:numPr>
          <w:ilvl w:val="0"/>
          <w:numId w:val="1"/>
        </w:numPr>
        <w:numPr>
          <w:ilvl w:val="0"/>
          <w:numId w:val="3"/>
        </w:numPr>
      </w:pPr>
      <w:r>
        <w:rPr>
          <w:b/>
          <w:bCs/>
        </w:rPr>
        <w:t xml:space="preserve">TMD (Thai Meteorological Department):</w:t>
      </w:r>
      <w:r>
        <w:t xml:space="preserve"> National weather radar and forecasting; no hyperlocal street-level predictions; no public developer API [source: Stage 2 market research]</w:t>
      </w:r>
    </w:p>
    <w:p>
      <w:pPr>
        <w:pStyle w:val="ListParagraph"/>
        <w:pStyle w:val="ListParagraph"/>
        <w:numPr>
          <w:ilvl w:val="0"/>
          <w:numId w:val="1"/>
        </w:numPr>
        <w:numPr>
          <w:ilvl w:val="0"/>
          <w:numId w:val="3"/>
        </w:numPr>
      </w:pPr>
      <w:r>
        <w:rPr>
          <w:b/>
          <w:bCs/>
        </w:rPr>
        <w:t xml:space="preserve">HII (Hydro-Informatics Institute):</w:t>
      </w:r>
      <w:r>
        <w:t xml:space="preserve"> 4,000+ telemetry stations; operates ThaiWater portal; data not exposed via standardized open API [source: Stage 2 market research]</w:t>
      </w:r>
    </w:p>
    <w:p>
      <w:pPr>
        <w:pStyle w:val="ListParagraph"/>
        <w:pStyle w:val="ListParagraph"/>
        <w:numPr>
          <w:ilvl w:val="0"/>
          <w:numId w:val="1"/>
        </w:numPr>
        <w:numPr>
          <w:ilvl w:val="0"/>
          <w:numId w:val="3"/>
        </w:numPr>
      </w:pPr>
      <w:r>
        <w:rPr>
          <w:b/>
          <w:bCs/>
        </w:rPr>
        <w:t xml:space="preserve">GISTDA:</w:t>
      </w:r>
      <w:r>
        <w:t xml:space="preserve"> THEOS-2 satellite imagery (50 cm resolution); One Map Water dashboard (launched Sep 2026) consolidates visualization but no developer API [source: Stage 2 market research]</w:t>
      </w:r>
    </w:p>
    <w:p>
      <w:pPr>
        <w:pStyle w:val="ListParagraph"/>
        <w:pStyle w:val="ListParagraph"/>
        <w:numPr>
          <w:ilvl w:val="0"/>
          <w:numId w:val="1"/>
        </w:numPr>
        <w:numPr>
          <w:ilvl w:val="0"/>
          <w:numId w:val="3"/>
        </w:numPr>
      </w:pPr>
      <w:r>
        <w:rPr>
          <w:b/>
          <w:bCs/>
        </w:rPr>
        <w:t xml:space="preserve">Traffy Fondue:</w:t>
      </w:r>
      <w:r>
        <w:t xml:space="preserve"> Crowdsourced civic reporting platform (NECTEC); flood reports available but suffer from label categorization inaccuracies [source: Stage 2 market research]</w:t>
      </w:r>
    </w:p>
    <w:p>
      <w:pPr>
        <w:pStyle w:val="ListParagraph"/>
        <w:pStyle w:val="ListParagraph"/>
        <w:numPr>
          <w:ilvl w:val="0"/>
          <w:numId w:val="1"/>
        </w:numPr>
        <w:numPr>
          <w:ilvl w:val="0"/>
          <w:numId w:val="3"/>
        </w:numPr>
      </w:pPr>
      <w:r>
        <w:rPr>
          <w:b/>
          <w:bCs/>
        </w:rPr>
        <w:t xml:space="preserve">Google Maps / Longdo Map:</w:t>
      </w:r>
      <w:r>
        <w:t xml:space="preserve"> Standard routing without any real-time flood data integration [source: Stage 2 market research]</w:t>
      </w:r>
    </w:p>
    <w:p>
      <w:r>
        <w:rPr>
          <w:b/>
          <w:bCs/>
        </w:rPr>
        <w:t xml:space="preserve">Global precedents (components, not integrated):</w:t>
      </w:r>
    </w:p>
    <w:p>
      <w:pPr>
        <w:pStyle w:val="ListParagraph"/>
        <w:pStyle w:val="ListParagraph"/>
        <w:numPr>
          <w:ilvl w:val="0"/>
          <w:numId w:val="1"/>
        </w:numPr>
        <w:numPr>
          <w:ilvl w:val="0"/>
          <w:numId w:val="4"/>
        </w:numPr>
      </w:pPr>
      <w:r>
        <w:rPr>
          <w:b/>
          <w:bCs/>
        </w:rPr>
        <w:t xml:space="preserve">Mott MacDonald / UK FCDO Bangkok pilot:</w:t>
      </w:r>
      <w:r>
        <w:t xml:space="preserve"> Proved real-time stormwater flood forecasting using rain radar + IoT sensors + ML nowcasting is technically achievable [source: Stage 2 market research]</w:t>
      </w:r>
    </w:p>
    <w:p>
      <w:pPr>
        <w:pStyle w:val="ListParagraph"/>
        <w:pStyle w:val="ListParagraph"/>
        <w:numPr>
          <w:ilvl w:val="0"/>
          <w:numId w:val="1"/>
        </w:numPr>
        <w:numPr>
          <w:ilvl w:val="0"/>
          <w:numId w:val="4"/>
        </w:numPr>
      </w:pPr>
      <w:r>
        <w:rPr>
          <w:b/>
          <w:bCs/>
        </w:rPr>
        <w:t xml:space="preserve">KMITL AIoT system:</w:t>
      </w:r>
      <w:r>
        <w:t xml:space="preserve"> Demonstrated YOLOv10 + LSTM integration for flash-flood detection [source: Stage 2 market research]</w:t>
      </w:r>
    </w:p>
    <w:p>
      <w:pPr>
        <w:pStyle w:val="ListParagraph"/>
        <w:pStyle w:val="ListParagraph"/>
        <w:numPr>
          <w:ilvl w:val="0"/>
          <w:numId w:val="1"/>
        </w:numPr>
        <w:numPr>
          <w:ilvl w:val="0"/>
          <w:numId w:val="4"/>
        </w:numPr>
      </w:pPr>
      <w:r>
        <w:rPr>
          <w:b/>
          <w:bCs/>
        </w:rPr>
        <w:t xml:space="preserve">FloodMapp + Waze (Norfolk, Virginia):</w:t>
      </w:r>
      <w:r>
        <w:t xml:space="preserve"> Proved GIS layering of flood models onto road networks for routing [source: Stage 2 market research]</w:t>
      </w:r>
    </w:p>
    <w:p>
      <w:pPr>
        <w:pStyle w:val="ListParagraph"/>
        <w:pStyle w:val="ListParagraph"/>
        <w:numPr>
          <w:ilvl w:val="0"/>
          <w:numId w:val="1"/>
        </w:numPr>
        <w:numPr>
          <w:ilvl w:val="0"/>
          <w:numId w:val="4"/>
        </w:numPr>
      </w:pPr>
      <w:r>
        <w:rPr>
          <w:b/>
          <w:bCs/>
        </w:rPr>
        <w:t xml:space="preserve">WFP Building Blocks:</w:t>
      </w:r>
      <w:r>
        <w:t xml:space="preserve"> Blockchain-based humanitarian voucher system serving 1M+ refugees [source: Stage 2 market research]</w:t>
      </w:r>
    </w:p>
    <w:p>
      <w:pPr>
        <w:pStyle w:val="ListParagraph"/>
        <w:pStyle w:val="ListParagraph"/>
        <w:numPr>
          <w:ilvl w:val="0"/>
          <w:numId w:val="1"/>
        </w:numPr>
        <w:numPr>
          <w:ilvl w:val="0"/>
          <w:numId w:val="4"/>
        </w:numPr>
      </w:pPr>
      <w:r>
        <w:rPr>
          <w:b/>
          <w:bCs/>
        </w:rPr>
        <w:t xml:space="preserve">Oxfam UnBlocked Cash / GiveDirectly:</w:t>
      </w:r>
      <w:r>
        <w:t xml:space="preserve"> Vendor-integrated digital vouchers outperform traditional relief distribution [source: Stage 2 market research]</w:t>
      </w:r>
    </w:p>
    <w:p>
      <w:pPr>
        <w:pStyle w:val="ListParagraph"/>
        <w:pStyle w:val="ListParagraph"/>
        <w:numPr>
          <w:ilvl w:val="0"/>
          <w:numId w:val="1"/>
        </w:numPr>
        <w:numPr>
          <w:ilvl w:val="0"/>
          <w:numId w:val="4"/>
        </w:numPr>
      </w:pPr>
      <w:r>
        <w:rPr>
          <w:b/>
          <w:bCs/>
        </w:rPr>
        <w:t xml:space="preserve">Khon La Khrueng (คนละครึ่ง):</w:t>
      </w:r>
      <w:r>
        <w:t xml:space="preserve"> Thai government co-payment program via Krungthai Paotang app — 40 million users; architecturally identical to D2C Mesh E-Voucher flow [source: Stage 2 market research]</w:t>
      </w:r>
    </w:p>
    <w:p>
      <w:r>
        <w:rPr>
          <w:b/>
          <w:bCs/>
        </w:rPr>
        <w:t xml:space="preserve">White-space positioning:</w:t>
      </w:r>
      <w:r>
        <w:t xml:space="preserve"> The D2C Mesh is the first platform to integrate all three functions into one pipeline, uniquely enabled by Thailand's mature PromptPay infrastructure which eliminates the merchant-onboarding barrier that stalls humanitarian programs elsewhere [source: Stage 2 market research].</w:t>
      </w:r>
    </w:p>
    <w:p>
      <w:pPr>
        <w:pBdr>
          <w:top w:val="single" w:sz="6"/>
        </w:pBdr>
      </w:pPr>
    </w:p>
    <w:p>
      <w:pPr>
        <w:pStyle w:val="Heading1"/>
      </w:pPr>
      <w:bookmarkStart w:name="6-feasibility-assessment" w:id="1"/>
      <w:r>
        <w:t xml:space="preserve">6. Feasibility Assessment</w:t>
      </w:r>
      <w:bookmarkEnd w:id="1"/>
    </w:p>
    <w:p>
      <w:r>
        <w:t xml:space="preserve">Overall verdict: </w:t>
      </w:r>
      <w:r>
        <w:rPr>
          <w:b/>
          <w:bCs/>
        </w:rPr>
        <w:t xml:space="preserve">CONDITIONAL GO at 70% confidence</w:t>
      </w:r>
      <w:r>
        <w:t xml:space="preserve"> [source: Stage 3 feasibility]</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Dimension</w:t>
            </w:r>
          </w:p>
        </w:tc>
        <w:tc>
          <w:tcPr>
            <w:tcW w:type="auto" w:w="100"/>
            <w:shd w:fill="b79c2f" w:val="solid"/>
            <w:vAlign w:val="center"/>
          </w:tcPr>
          <w:p>
            <w:pPr>
              <w:jc w:val="center"/>
            </w:pPr>
            <w:r>
              <w:rPr>
                <w:b/>
                <w:bCs/>
              </w:rPr>
              <w:t xml:space="preserve">Rating</w:t>
            </w:r>
          </w:p>
        </w:tc>
        <w:tc>
          <w:tcPr>
            <w:tcW w:type="auto" w:w="100"/>
            <w:shd w:fill="b79c2f" w:val="solid"/>
            <w:vAlign w:val="center"/>
          </w:tcPr>
          <w:p>
            <w:pPr>
              <w:jc w:val="center"/>
            </w:pPr>
            <w:r>
              <w:rPr>
                <w:b/>
                <w:bCs/>
              </w:rPr>
              <w:t xml:space="preserve">Key Finding</w:t>
            </w:r>
          </w:p>
        </w:tc>
      </w:tr>
      <w:tr>
        <w:tc>
          <w:tcPr>
            <w:tcW w:type="auto" w:w="100"/>
            <w:vAlign w:val="center"/>
          </w:tcPr>
          <w:p>
            <w:r>
              <w:rPr>
                <w:b/>
                <w:bCs/>
              </w:rPr>
              <w:t xml:space="preserve">Technical feasibility</w:t>
            </w:r>
          </w:p>
        </w:tc>
        <w:tc>
          <w:tcPr>
            <w:tcW w:type="auto" w:w="100"/>
            <w:vAlign w:val="center"/>
          </w:tcPr>
          <w:p>
            <w:r>
              <w:t xml:space="preserve">CONDITIONAL GO ⚠️</w:t>
            </w:r>
          </w:p>
        </w:tc>
        <w:tc>
          <w:tcPr>
            <w:tcW w:type="auto" w:w="100"/>
            <w:vAlign w:val="center"/>
          </w:tcPr>
          <w:p>
            <w:r>
              <w:t xml:space="preserve">All three tracks have proven precedents; integration into a single pipeline is unprecedented. Primary risks: government API access negotiation and offline resilience during floods. [source: Stage 3 feasibility]</w:t>
            </w:r>
          </w:p>
        </w:tc>
      </w:tr>
      <w:tr>
        <w:tc>
          <w:tcPr>
            <w:tcW w:type="auto" w:w="100"/>
            <w:vAlign w:val="center"/>
          </w:tcPr>
          <w:p>
            <w:r>
              <w:rPr>
                <w:b/>
                <w:bCs/>
              </w:rPr>
              <w:t xml:space="preserve">Resource &amp; capability feasibility</w:t>
            </w:r>
          </w:p>
        </w:tc>
        <w:tc>
          <w:tcPr>
            <w:tcW w:type="auto" w:w="100"/>
            <w:vAlign w:val="center"/>
          </w:tcPr>
          <w:p>
            <w:r>
              <w:t xml:space="preserve">CONDITIONAL GO ⚠️</w:t>
            </w:r>
          </w:p>
        </w:tc>
        <w:tc>
          <w:tcPr>
            <w:tcW w:type="auto" w:w="100"/>
            <w:vAlign w:val="center"/>
          </w:tcPr>
          <w:p>
            <w:r>
              <w:t xml:space="preserve">Core technical skills available; critical gaps in hydrology domain expertise, fintech regulatory navigation, and GIS specialist scarcity. [source: Stage 3 feasibility]</w:t>
            </w:r>
          </w:p>
        </w:tc>
      </w:tr>
      <w:tr>
        <w:tc>
          <w:tcPr>
            <w:tcW w:type="auto" w:w="100"/>
            <w:vAlign w:val="center"/>
          </w:tcPr>
          <w:p>
            <w:r>
              <w:rPr>
                <w:b/>
                <w:bCs/>
              </w:rPr>
              <w:t xml:space="preserve">Timeline feasibility</w:t>
            </w:r>
          </w:p>
        </w:tc>
        <w:tc>
          <w:tcPr>
            <w:tcW w:type="auto" w:w="100"/>
            <w:vAlign w:val="center"/>
          </w:tcPr>
          <w:p>
            <w:r>
              <w:t xml:space="preserve">CONDITIONAL GO ⚠️</w:t>
            </w:r>
          </w:p>
        </w:tc>
        <w:tc>
          <w:tcPr>
            <w:tcW w:type="auto" w:w="100"/>
            <w:vAlign w:val="center"/>
          </w:tcPr>
          <w:p>
            <w:r>
              <w:t xml:space="preserve">12-month pilot achievable if API access agreements begin immediately and banking partnership route is pursued. Live flood testing targets May–October wet season. Government MOU negotiation (3–6 months) is the critical path item. [source: Stage 3 feasibility]</w:t>
            </w:r>
          </w:p>
        </w:tc>
      </w:tr>
      <w:tr>
        <w:tc>
          <w:tcPr>
            <w:tcW w:type="auto" w:w="100"/>
            <w:vAlign w:val="center"/>
          </w:tcPr>
          <w:p>
            <w:r>
              <w:rPr>
                <w:b/>
                <w:bCs/>
              </w:rPr>
              <w:t xml:space="preserve">Budget/cost feasibility</w:t>
            </w:r>
          </w:p>
        </w:tc>
        <w:tc>
          <w:tcPr>
            <w:tcW w:type="auto" w:w="100"/>
            <w:vAlign w:val="center"/>
          </w:tcPr>
          <w:p>
            <w:r>
              <w:t xml:space="preserve">CONDITIONAL GO ⚠️</w:t>
            </w:r>
          </w:p>
        </w:tc>
        <w:tc>
          <w:tcPr>
            <w:tcW w:type="auto" w:w="100"/>
            <w:vAlign w:val="center"/>
          </w:tcPr>
          <w:p>
            <w:r>
              <w:t xml:space="preserve">Estimated ฿4,900,000–฿9,500,000 (~$140,000–$270,000 USD). DEPA innovation grants, NSTDA funding, and international grants (UNDP, World Bank, UK FCDO) identified as funding pathways. [source: Stage 3 feasibility]</w:t>
            </w:r>
          </w:p>
        </w:tc>
      </w:tr>
    </w:tbl>
    <w:p>
      <w:r>
        <w:rPr>
          <w:b/>
          <w:bCs/>
        </w:rPr>
        <w:t xml:space="preserve">Hard constraints: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Constraint</w:t>
            </w:r>
          </w:p>
        </w:tc>
        <w:tc>
          <w:tcPr>
            <w:tcW w:type="auto" w:w="100"/>
            <w:shd w:fill="b79c2f" w:val="solid"/>
            <w:vAlign w:val="center"/>
          </w:tcPr>
          <w:p>
            <w:pPr>
              <w:jc w:val="center"/>
            </w:pPr>
            <w:r>
              <w:rPr>
                <w:b/>
                <w:bCs/>
              </w:rPr>
              <w:t xml:space="preserve">Impact</w:t>
            </w:r>
          </w:p>
        </w:tc>
      </w:tr>
      <w:tr>
        <w:tc>
          <w:tcPr>
            <w:tcW w:type="auto" w:w="100"/>
            <w:vAlign w:val="center"/>
          </w:tcPr>
          <w:p>
            <w:r>
              <w:t xml:space="preserve">C1</w:t>
            </w:r>
          </w:p>
        </w:tc>
        <w:tc>
          <w:tcPr>
            <w:tcW w:type="auto" w:w="100"/>
            <w:vAlign w:val="center"/>
          </w:tcPr>
          <w:p>
            <w:r>
              <w:t xml:space="preserve">BOT e-money licensing (Payment Systems Act B.E. 2560)</w:t>
            </w:r>
          </w:p>
        </w:tc>
        <w:tc>
          <w:tcPr>
            <w:tcW w:type="auto" w:w="100"/>
            <w:vAlign w:val="center"/>
          </w:tcPr>
          <w:p>
            <w:r>
              <w:t xml:space="preserve">Resolved via Krungthai Bank partnership route — no direct licensing needed [source: Stage 3 compliance agent]</w:t>
            </w:r>
          </w:p>
        </w:tc>
      </w:tr>
      <w:tr>
        <w:tc>
          <w:tcPr>
            <w:tcW w:type="auto" w:w="100"/>
            <w:vAlign w:val="center"/>
          </w:tcPr>
          <w:p>
            <w:r>
              <w:t xml:space="preserve">C3</w:t>
            </w:r>
          </w:p>
        </w:tc>
        <w:tc>
          <w:tcPr>
            <w:tcW w:type="auto" w:w="100"/>
            <w:vAlign w:val="center"/>
          </w:tcPr>
          <w:p>
            <w:r>
              <w:t xml:space="preserve">Government data APIs not standardized across agencies</w:t>
            </w:r>
          </w:p>
        </w:tc>
        <w:tc>
          <w:tcPr>
            <w:tcW w:type="auto" w:w="100"/>
            <w:vAlign w:val="center"/>
          </w:tcPr>
          <w:p>
            <w:r>
              <w:t xml:space="preserve">Requires individual MOUs with TMD, HII, RID, GISTDA [source: Stage 2 market research]</w:t>
            </w:r>
          </w:p>
        </w:tc>
      </w:tr>
      <w:tr>
        <w:tc>
          <w:tcPr>
            <w:tcW w:type="auto" w:w="100"/>
            <w:vAlign w:val="center"/>
          </w:tcPr>
          <w:p>
            <w:r>
              <w:t xml:space="preserve">C5</w:t>
            </w:r>
          </w:p>
        </w:tc>
        <w:tc>
          <w:tcPr>
            <w:tcW w:type="auto" w:w="100"/>
            <w:vAlign w:val="center"/>
          </w:tcPr>
          <w:p>
            <w:r>
              <w:t xml:space="preserve">Network degradation during floods (26% subnet unreachability in comparable events)</w:t>
            </w:r>
          </w:p>
        </w:tc>
        <w:tc>
          <w:tcPr>
            <w:tcW w:type="auto" w:w="100"/>
            <w:vAlign w:val="center"/>
          </w:tcPr>
          <w:p>
            <w:r>
              <w:t xml:space="preserve">Addressed via 4-layer offline-first architecture [source: Stage 3 platform agent]</w:t>
            </w:r>
          </w:p>
        </w:tc>
      </w:tr>
      <w:tr>
        <w:tc>
          <w:tcPr>
            <w:tcW w:type="auto" w:w="100"/>
            <w:vAlign w:val="center"/>
          </w:tcPr>
          <w:p>
            <w:r>
              <w:t xml:space="preserve">C6</w:t>
            </w:r>
          </w:p>
        </w:tc>
        <w:tc>
          <w:tcPr>
            <w:tcW w:type="auto" w:w="100"/>
            <w:vAlign w:val="center"/>
          </w:tcPr>
          <w:p>
            <w:r>
              <w:t xml:space="preserve">41.90% of public receives disaster info via community leaders, not apps</w:t>
            </w:r>
          </w:p>
        </w:tc>
        <w:tc>
          <w:tcPr>
            <w:tcW w:type="auto" w:w="100"/>
            <w:vAlign w:val="center"/>
          </w:tcPr>
          <w:p>
            <w:r>
              <w:t xml:space="preserve">Dual-channel strategy: app + community coordinator relay via อสม. network [source: Stage 2 market research]</w:t>
            </w:r>
          </w:p>
        </w:tc>
      </w:tr>
      <w:tr>
        <w:tc>
          <w:tcPr>
            <w:tcW w:type="auto" w:w="100"/>
            <w:vAlign w:val="center"/>
          </w:tcPr>
          <w:p>
            <w:r>
              <w:t xml:space="preserve">C7</w:t>
            </w:r>
          </w:p>
        </w:tc>
        <w:tc>
          <w:tcPr>
            <w:tcW w:type="auto" w:w="100"/>
            <w:vAlign w:val="center"/>
          </w:tcPr>
          <w:p>
            <w:r>
              <w:t xml:space="preserve">PromptPay single-point-of-failure dependency</w:t>
            </w:r>
          </w:p>
        </w:tc>
        <w:tc>
          <w:tcPr>
            <w:tcW w:type="auto" w:w="100"/>
            <w:vAlign w:val="center"/>
          </w:tcPr>
          <w:p>
            <w:r>
              <w:t xml:space="preserve">Architectural risk accepted; USSD fallback in P2 roadmap [source: Stage 3 feasibility]</w:t>
            </w:r>
          </w:p>
        </w:tc>
      </w:tr>
    </w:tbl>
    <w:p>
      <w:pPr>
        <w:pBdr>
          <w:top w:val="single" w:sz="6"/>
        </w:pBdr>
      </w:pPr>
    </w:p>
    <w:p>
      <w:pPr>
        <w:pStyle w:val="Heading1"/>
      </w:pPr>
      <w:bookmarkStart w:name="7-screens-&amp;-flows" w:id="1"/>
      <w:r>
        <w:t xml:space="preserve">7. Screens &amp; Flows</w:t>
      </w:r>
      <w:bookmarkEnd w:id="1"/>
    </w:p>
    <w:p>
      <w:pPr>
        <w:pStyle w:val="Heading2"/>
      </w:pPr>
      <w:bookmarkStart w:name="7-1-primary-user-flows" w:id="1"/>
      <w:r>
        <w:t xml:space="preserve">7.1 Primary User Flows</w:t>
      </w:r>
      <w:bookmarkEnd w:id="1"/>
    </w:p>
    <w:p>
      <w:r>
        <w:rPr>
          <w:b/>
          <w:bCs/>
        </w:rPr>
        <w:t xml:space="preserve">Flow A — Early Warning (Track 6, Resident):</w:t>
      </w:r>
      <w:r>
        <w:t xml:space="preserve">
Resident opens app → lands on Homepage/Dashboard showing active alert banner, E-Voucher balance, and area summary → taps "เปิดแผนที่" CTA → enters Hazard Map view with Map Layer Toggle (water level, rainfall, road elevation layers) and Location Pin (Safe/Warning/Danger status) → uses Timeline Slider (1h, 3h, 6h) to view AI flood predictions → receives Risk Alert Banner ("น้ำจะถึงซอยท่าน ภายใน 2 ชม.") → if Isolation Alert triggers, sees flashing red Highlight Zone on map → taps Evacuation Route Button ("ค้นหาเส้นทางอพยพด่วน") → receives safe route to evacuation point. [source: Stage 4 scope P0-01 to P0-03 / Stage 6 mockups]</w:t>
      </w:r>
    </w:p>
    <w:p>
      <w:r>
        <w:rPr>
          <w:b/>
          <w:bCs/>
        </w:rPr>
        <w:t xml:space="preserve">Flow B — Crisis Routing (Track 5, Resident/Rescue):</w:t>
      </w:r>
      <w:r>
        <w:t xml:space="preserve">
User enters from Homepage or Map View → selects vehicle type via Vehicle Selector Card (Sedan/Motorcycle: avoid &gt;15 cm; Pickup: wade ≤40 cm; Boat/Jet Ski: canal/deeply flooded roads) → sets origin and destination → taps "นำทางปลอดภัย" (Find Safe Route) → receives turn-by-turn flood-aware navigation → if water rises mid-route, Dynamic Reroute Alert pop-up appears ("water rising ahead — reroute now?") → accepts reroute → new safe route calculated. Users can also tap Report Flooded Road Button to crowdsource photo + depth report. [source: Stage 4 scope P0-04, P0-05 / Stage 6 mockups]</w:t>
      </w:r>
    </w:p>
    <w:p>
      <w:r>
        <w:rPr>
          <w:b/>
          <w:bCs/>
        </w:rPr>
        <w:t xml:space="preserve">Flow C — E-Voucher Redemption (Track 2, Resident + SME):</w:t>
      </w:r>
      <w:r>
        <w:t xml:space="preserve">
Resident sees E-Voucher balance on Homepage (e.g., "฿500, 2 คูปอง") → taps "ค้นหาเสบียงใกล้ฉัน" (Find Supplies) → map filters to show Micro-Relief Stations with Store Status Tags ("Open", "No Flooding", "Remaining Stock: 42") → selects store → navigates via Track 5 safe routing (cross-track integration) → at store, taps "สแกนเพื่อรับเสบียง" (Scan QR to Redeem) → scans SME's Receive QR → redemption completes (e.g., "฿200 Used"). SME side: Shop owner generates Receive QR ("สร้าง QR รับเงิน"), views Transaction History for reimbursement claims. [source: Stage 4 scope P0-06, P0-07 / Stage 6 mockups]</w:t>
      </w:r>
    </w:p>
    <w:p>
      <w:r>
        <w:rPr>
          <w:b/>
          <w:bCs/>
        </w:rPr>
        <w:t xml:space="preserve">Flow D — Fund Injection (Track 2, Donor/Government):</w:t>
      </w:r>
      <w:r>
        <w:t xml:space="preserve">
Donor/Government user logs in → views Live Impact Dashboard (stats: SMEs sustained, residents served) → selects target area (soi/community) → taps "อัดฉีดงบประมาณ" (Inject Funds) → confirms via PromptPay transfer → vouchers auto-distributed to residents in target area → tracks redemption in real-time. [source: Stage 4 scope P1-01 / Stage 6 flowcharts]</w:t>
      </w:r>
    </w:p>
    <w:p>
      <w:r>
        <w:rPr>
          <w:b/>
          <w:bCs/>
        </w:rPr>
        <w:t xml:space="preserve">Flow E — SME Economic Recovery (Track 2, Shop Owner):</w:t>
      </w:r>
      <w:r>
        <w:t xml:space="preserve">
SME logs in → generates Receive QR → receives customer payments → views Transaction History → reviews AI Restock Recommendation Card (e.g., "AI recommends: stock 30% more cement — heavy damage in Zone A") → taps "สั่งซื้อสินค้าเข้าสต็อก" (Order from Supplier) → order placed. [source: Stage 4 scope P1-02 / Stage 6 flowcharts]</w:t>
      </w:r>
    </w:p>
    <w:p>
      <w:pPr>
        <w:pStyle w:val="Heading2"/>
      </w:pPr>
      <w:bookmarkStart w:name="7-2-key-screens" w:id="1"/>
      <w:r>
        <w:t xml:space="preserve">7.2 Key Screens</w:t>
      </w:r>
      <w:bookmarkEnd w:id="1"/>
    </w:p>
    <w:p>
      <w:r>
        <w:rPr>
          <w:b/>
          <w:bCs/>
        </w:rPr>
        <w:t xml:space="preserve">Screen 1 — Homepage / Dashboard (Resident View):</w:t>
      </w:r>
      <w:r>
        <w:t xml:space="preserve">
Mobile-first layout (375px), Soft UI with Clean White background. Top: greeting bar ("สวัสดีครับ, สมหมาย") with location + date. Below: Risk Alert Banner (red gradient card showing AI prediction: "เตือนภัย: น้ำจะถึงซอยท่าน ภายใน 2 ชม." with flood depth and soi name). Center: E-Voucher Card (white rounded card, left side shows balance "฿500" in large Kanit bold + "คูปองถุงยังชีพ 2 ใบ", right side Solid Blue "สแกน QR" button with QR icon). Below: Map CTA (full-width Solid Blue rounded card: "เปิดแผนที่พื้นที่เสี่ยงและเส้นทางสัญจร" with arrow). Below: Quick Actions 2×2 grid (นำทางปลอดภัย, ค้นหาเสบียง, รายงานน้ำท่วม, ติดตามซอย — each with colored icon circle). Bottom: Nearby Stations list (white cards showing store name, distance, status badges: "เปิดให้บริการ", "เสบียง 42 รายการ"). Fixed bottom nav: หน้าหลัก, แผนที่, E-Voucher, แจ้งเตือน. AI FAB (Solid Blue circle, bottom-right) for contextual assistant. [source: Stage 6 mockup 06b Homepage]</w:t>
      </w:r>
    </w:p>
    <w:p>
      <w:r>
        <w:rPr>
          <w:b/>
          <w:bCs/>
        </w:rPr>
        <w:t xml:space="preserve">Screen 2 — Hazard Map &amp; Crisis Routing View:</w:t>
      </w:r>
      <w:r>
        <w:t xml:space="preserve">
Full-screen map (Google Maps API base) with D2C Mesh overlay layers. Top-left: search bar ("ค้นหาสถานที่"). Top-right: Layer Toggle panel (vertical pill buttons for toggling water level, rainfall, elevation, Micro-Relief Station layers — active layer highlighted in blue). Map content: blue semi-transparent flood zones with depth labels, red-bordered isolation zone with "จะถูกตัดขาด 1 ชม." label, green route line for safe navigation, green square markers for Micro-Relief Stations, blue location pin with "ตำแหน่งของฉัน" label. Collapsible bottom sheet: Vehicle Selector Cards (sedan, pickup, boat with clearance specs), Timeline Slider (1h/3h/6h), Route action buttons. All UI elements collapsible/swipeable to maximize map visibility. AI FAB (Solid Blue circle) for contextual route calculation and water level assessment. [source: Stage 6 mockup 06b Map View]</w:t>
      </w:r>
    </w:p>
    <w:p>
      <w:pPr>
        <w:pStyle w:val="Heading2"/>
      </w:pPr>
      <w:bookmarkStart w:name="7-3-design-principles" w:id="1"/>
      <w:r>
        <w:t xml:space="preserve">7.3 Design Principles</w:t>
      </w:r>
      <w:bookmarkEnd w:id="1"/>
    </w:p>
    <w:p>
      <w:pPr>
        <w:pStyle w:val="ListParagraph"/>
        <w:pStyle w:val="ListParagraph"/>
        <w:numPr>
          <w:ilvl w:val="0"/>
          <w:numId w:val="1"/>
        </w:numPr>
        <w:numPr>
          <w:ilvl w:val="0"/>
          <w:numId w:val="5"/>
        </w:numPr>
      </w:pPr>
      <w:r>
        <w:rPr>
          <w:b/>
          <w:bCs/>
        </w:rPr>
        <w:t xml:space="preserve">Soft UI (Apple OS style):</w:t>
      </w:r>
      <w:r>
        <w:t xml:space="preserve"> Rounded corners (14–16px border-radius on cards), subtle shadows, clean white card backgrounds on light gray (#f8f9fb) page background [source: participant SRS]</w:t>
      </w:r>
    </w:p>
    <w:p>
      <w:pPr>
        <w:pStyle w:val="ListParagraph"/>
        <w:pStyle w:val="ListParagraph"/>
        <w:numPr>
          <w:ilvl w:val="0"/>
          <w:numId w:val="1"/>
        </w:numPr>
        <w:numPr>
          <w:ilvl w:val="0"/>
          <w:numId w:val="5"/>
        </w:numPr>
      </w:pPr>
      <w:r>
        <w:rPr>
          <w:b/>
          <w:bCs/>
        </w:rPr>
        <w:t xml:space="preserve">Color Palette:</w:t>
      </w:r>
      <w:r>
        <w:t xml:space="preserve"> Clean White (#ffffff) theme, Solid Blue (#2563eb) primary action buttons, red for danger/alerts, green for safe/open status, no AI gradients [source: participant SRS]</w:t>
      </w:r>
    </w:p>
    <w:p>
      <w:pPr>
        <w:pStyle w:val="ListParagraph"/>
        <w:pStyle w:val="ListParagraph"/>
        <w:numPr>
          <w:ilvl w:val="0"/>
          <w:numId w:val="1"/>
        </w:numPr>
        <w:numPr>
          <w:ilvl w:val="0"/>
          <w:numId w:val="5"/>
        </w:numPr>
      </w:pPr>
      <w:r>
        <w:rPr>
          <w:b/>
          <w:bCs/>
        </w:rPr>
        <w:t xml:space="preserve">Typography:</w:t>
      </w:r>
      <w:r>
        <w:t xml:space="preserve"> Kanit font at weights 300 (light/description), 400 (body), 500 (labels), 600 (headings), 700 (large numbers). Font sizes range from 10px (captions) to 28px (hero numbers) [source: participant SRS]</w:t>
      </w:r>
    </w:p>
    <w:p>
      <w:pPr>
        <w:pStyle w:val="ListParagraph"/>
        <w:pStyle w:val="ListParagraph"/>
        <w:numPr>
          <w:ilvl w:val="0"/>
          <w:numId w:val="1"/>
        </w:numPr>
        <w:numPr>
          <w:ilvl w:val="0"/>
          <w:numId w:val="5"/>
        </w:numPr>
      </w:pPr>
      <w:r>
        <w:rPr>
          <w:b/>
          <w:bCs/>
        </w:rPr>
        <w:t xml:space="preserve">Iconography:</w:t>
      </w:r>
      <w:r>
        <w:t xml:space="preserve"> Minimalist inline SVG icons (Material/Lucide/Heroicons style) — no emoji anywhere in the UI [source: participant SRS]</w:t>
      </w:r>
    </w:p>
    <w:p>
      <w:pPr>
        <w:pStyle w:val="ListParagraph"/>
        <w:pStyle w:val="ListParagraph"/>
        <w:numPr>
          <w:ilvl w:val="0"/>
          <w:numId w:val="1"/>
        </w:numPr>
        <w:numPr>
          <w:ilvl w:val="0"/>
          <w:numId w:val="5"/>
        </w:numPr>
      </w:pPr>
      <w:r>
        <w:rPr>
          <w:b/>
          <w:bCs/>
        </w:rPr>
        <w:t xml:space="preserve">Navigation:</w:t>
      </w:r>
      <w:r>
        <w:t xml:space="preserve"> Mobile-first; Dashboard/Homepage entry point with bottom tab navigation (4 tabs). Map is reached via explicit CTA, not forced on entry [source: participant SRS]</w:t>
      </w:r>
    </w:p>
    <w:p>
      <w:pPr>
        <w:pStyle w:val="ListParagraph"/>
        <w:pStyle w:val="ListParagraph"/>
        <w:numPr>
          <w:ilvl w:val="0"/>
          <w:numId w:val="1"/>
        </w:numPr>
        <w:numPr>
          <w:ilvl w:val="0"/>
          <w:numId w:val="5"/>
        </w:numPr>
      </w:pPr>
      <w:r>
        <w:rPr>
          <w:b/>
          <w:bCs/>
        </w:rPr>
        <w:t xml:space="preserve">Map Interface:</w:t>
      </w:r>
      <w:r>
        <w:t xml:space="preserve"> Google Maps API base with D2C overlay layers; collapsible UI (all cards, pop-ups, toolbars can be collapsed/swiped to maximize map space) [source: participant SRS]</w:t>
      </w:r>
    </w:p>
    <w:p>
      <w:pPr>
        <w:pStyle w:val="ListParagraph"/>
        <w:pStyle w:val="ListParagraph"/>
        <w:numPr>
          <w:ilvl w:val="0"/>
          <w:numId w:val="1"/>
        </w:numPr>
        <w:numPr>
          <w:ilvl w:val="0"/>
          <w:numId w:val="5"/>
        </w:numPr>
      </w:pPr>
      <w:r>
        <w:rPr>
          <w:b/>
          <w:bCs/>
        </w:rPr>
        <w:t xml:space="preserve">AI Assistant:</w:t>
      </w:r>
      <w:r>
        <w:t xml:space="preserve"> Dedicated circular Floating Action Button (FAB), Solid Blue, bottom-right. Context-aware: on Map → route calculation + water level; on E-Voucher → supply recommendations + donation guidance [source: participant SRS]</w:t>
      </w:r>
    </w:p>
    <w:p>
      <w:pPr>
        <w:pBdr>
          <w:top w:val="single" w:sz="6"/>
        </w:pBdr>
      </w:pPr>
    </w:p>
    <w:p>
      <w:pPr>
        <w:pStyle w:val="Heading1"/>
      </w:pPr>
      <w:bookmarkStart w:name="8-architecture-/-how-it-works" w:id="1"/>
      <w:r>
        <w:t xml:space="preserve">8. Architecture / How It Works</w:t>
      </w:r>
      <w:bookmarkEnd w:id="1"/>
    </w:p>
    <w:p>
      <w:r>
        <w:rPr>
          <w:b/>
          <w:bCs/>
        </w:rPr>
        <w:t xml:space="preserve">Three-track data flow:</w:t>
      </w:r>
    </w:p>
    <w:p>
      <w:pPr>
        <w:pStyle w:val="ListParagraph"/>
        <w:pStyle w:val="ListParagraph"/>
        <w:numPr>
          <w:ilvl w:val="0"/>
          <w:numId w:val="1"/>
        </w:numPr>
        <w:numPr>
          <w:ilvl w:val="0"/>
          <w:numId w:val="6"/>
        </w:numPr>
      </w:pPr>
      <w:r>
        <w:rPr>
          <w:b/>
          <w:bCs/>
        </w:rPr>
        <w:t xml:space="preserve">Data Ingestion Layer:</w:t>
      </w:r>
      <w:r>
        <w:t xml:space="preserve"> Government flood data (TMD radar, HII telemetry, RID canal levels, GISTDA satellite) + Traffy Fondue crowdsource reports → ingested via agency-specific API integrations (individual MOUs required) at ≤15 min intervals (with time-series interpolation fallback if frequency degrades) [source: Stage 3 feasibility / Stage 7 A2 resolution]</w:t>
      </w:r>
    </w:p>
    <w:p>
      <w:pPr>
        <w:pStyle w:val="ListParagraph"/>
        <w:pStyle w:val="ListParagraph"/>
        <w:numPr>
          <w:ilvl w:val="0"/>
          <w:numId w:val="1"/>
        </w:numPr>
        <w:numPr>
          <w:ilvl w:val="0"/>
          <w:numId w:val="6"/>
        </w:numPr>
      </w:pPr>
      <w:r>
        <w:rPr>
          <w:b/>
          <w:bCs/>
        </w:rPr>
        <w:t xml:space="preserve">AI Prediction Layer:</w:t>
      </w:r>
      <w:r>
        <w:t xml:space="preserve"> Fuses multi-source data with high-resolution DEM (sourced via university-GISTDA research partnership) → generates hyperlocal flood predictions at tambon (sub-district) level, targeting street-level as DEM resolution allows → outputs: inundation maps, isolation zone predictions, risk scores per location [source: Stage 3 feasibility / Stage 7 A3 resolution]</w:t>
      </w:r>
    </w:p>
    <w:p>
      <w:pPr>
        <w:pStyle w:val="ListParagraph"/>
        <w:pStyle w:val="ListParagraph"/>
        <w:numPr>
          <w:ilvl w:val="0"/>
          <w:numId w:val="1"/>
        </w:numPr>
        <w:numPr>
          <w:ilvl w:val="0"/>
          <w:numId w:val="6"/>
        </w:numPr>
      </w:pPr>
      <w:r>
        <w:rPr>
          <w:b/>
          <w:bCs/>
        </w:rPr>
        <w:t xml:space="preserve">Routing Engine:</w:t>
      </w:r>
      <w:r>
        <w:t xml:space="preserve"> Overlays flood predictions onto OpenStreetMap road graph → applies vehicle-specific clearance thresholds (sedan ≤15 cm, pickup ≤40 cm, boat/waterway) → pre-computes flood scenario routing for edge caching (sub-second response) → Dijkstra/A* with dynamic edge weight modification [source: Stage 3 feasibility / Stage 7 A7 resolution]</w:t>
      </w:r>
    </w:p>
    <w:p>
      <w:pPr>
        <w:pStyle w:val="ListParagraph"/>
        <w:pStyle w:val="ListParagraph"/>
        <w:numPr>
          <w:ilvl w:val="0"/>
          <w:numId w:val="1"/>
        </w:numPr>
        <w:numPr>
          <w:ilvl w:val="0"/>
          <w:numId w:val="6"/>
        </w:numPr>
      </w:pPr>
      <w:r>
        <w:rPr>
          <w:b/>
          <w:bCs/>
        </w:rPr>
        <w:t xml:space="preserve">E-Voucher Engine:</w:t>
      </w:r>
      <w:r>
        <w:t xml:space="preserve"> Flood alerts trigger geo-targeted voucher activation → vouchers delivered to registered residents in affected zones → redemption via PromptPay QR at Micro-Relief Stations → transaction settlement through Krungthai Paotang API → audit trail for donor/government transparency [source: Stage 3 compliance agent / Stage 4 scope]</w:t>
      </w:r>
    </w:p>
    <w:p>
      <w:pPr>
        <w:pStyle w:val="ListParagraph"/>
        <w:pStyle w:val="ListParagraph"/>
        <w:numPr>
          <w:ilvl w:val="0"/>
          <w:numId w:val="1"/>
        </w:numPr>
        <w:numPr>
          <w:ilvl w:val="0"/>
          <w:numId w:val="6"/>
        </w:numPr>
      </w:pPr>
      <w:r>
        <w:rPr>
          <w:b/>
          <w:bCs/>
        </w:rPr>
        <w:t xml:space="preserve">Alert Delivery:</w:t>
      </w:r>
      <w:r>
        <w:t xml:space="preserve"> Multi-channel — push notifications (PWA) → SMS fallback (AIS/True/DTAC gateways via AWS SNS) → NBTC Cell Broadcast for area-wide alerts → community coordinator relay via อสม. network at Micro-Relief Stations [source: Stage 3 platform agent]</w:t>
      </w:r>
    </w:p>
    <w:p>
      <w:r>
        <w:rPr>
          <w:b/>
          <w:bCs/>
        </w:rPr>
        <w:t xml:space="preserve">Offline-first architecture (4-layer graceful degradation):</w:t>
      </w:r>
    </w:p>
    <w:p>
      <w:pPr>
        <w:pStyle w:val="ListParagraph"/>
        <w:pStyle w:val="ListParagraph"/>
        <w:numPr>
          <w:ilvl w:val="0"/>
          <w:numId w:val="1"/>
        </w:numPr>
        <w:numPr>
          <w:ilvl w:val="0"/>
          <w:numId w:val="7"/>
        </w:numPr>
      </w:pPr>
      <w:r>
        <w:rPr>
          <w:b/>
          <w:bCs/>
        </w:rPr>
        <w:t xml:space="preserve">Layer 1:</w:t>
      </w:r>
      <w:r>
        <w:t xml:space="preserve"> PWA with service worker caching (~50 MB: map tiles + flood scenarios + merchant directory) [source: Stage 3 platform agent]</w:t>
      </w:r>
    </w:p>
    <w:p>
      <w:pPr>
        <w:pStyle w:val="ListParagraph"/>
        <w:pStyle w:val="ListParagraph"/>
        <w:numPr>
          <w:ilvl w:val="0"/>
          <w:numId w:val="1"/>
        </w:numPr>
        <w:numPr>
          <w:ilvl w:val="0"/>
          <w:numId w:val="7"/>
        </w:numPr>
      </w:pPr>
      <w:r>
        <w:rPr>
          <w:b/>
          <w:bCs/>
        </w:rPr>
        <w:t xml:space="preserve">Layer 2:</w:t>
      </w:r>
      <w:r>
        <w:t xml:space="preserve"> SMS/USSD fallback gateway via telco integration [source: Stage 3 platform agent]</w:t>
      </w:r>
    </w:p>
    <w:p>
      <w:pPr>
        <w:pStyle w:val="ListParagraph"/>
        <w:pStyle w:val="ListParagraph"/>
        <w:numPr>
          <w:ilvl w:val="0"/>
          <w:numId w:val="1"/>
        </w:numPr>
        <w:numPr>
          <w:ilvl w:val="0"/>
          <w:numId w:val="7"/>
        </w:numPr>
      </w:pPr>
      <w:r>
        <w:rPr>
          <w:b/>
          <w:bCs/>
        </w:rPr>
        <w:t xml:space="preserve">Layer 3 (P2):</w:t>
      </w:r>
      <w:r>
        <w:t xml:space="preserve"> AWS IoT Greengrass edge computing at Micro-Relief Stations [source: Stage 3 platform agent]</w:t>
      </w:r>
    </w:p>
    <w:p>
      <w:pPr>
        <w:pStyle w:val="ListParagraph"/>
        <w:pStyle w:val="ListParagraph"/>
        <w:numPr>
          <w:ilvl w:val="0"/>
          <w:numId w:val="1"/>
        </w:numPr>
        <w:numPr>
          <w:ilvl w:val="0"/>
          <w:numId w:val="7"/>
        </w:numPr>
      </w:pPr>
      <w:r>
        <w:rPr>
          <w:b/>
          <w:bCs/>
        </w:rPr>
        <w:t xml:space="preserve">Layer 4 (P2):</w:t>
      </w:r>
      <w:r>
        <w:t xml:space="preserve"> Mesh communication network + Village Public Address loudspeaker integration [source: Stage 3 platform agent]</w:t>
      </w:r>
    </w:p>
    <w:p>
      <w:r>
        <w:rPr>
          <w:b/>
          <w:bCs/>
        </w:rPr>
        <w:t xml:space="preserve">Payment integration:</w:t>
      </w:r>
      <w:r>
        <w:t xml:space="preserve"> All payment flows route through PromptPay QR / Krungthai Paotang API. No proprietary payment gateway is built (W-01). BOT e-money licensing resolved via banking partnership route with Krungthai Bank, whose Paotang app already operates under the required licenses [source: Stage 3 compliance agent / Stage 7 A1 resolution].</w:t>
      </w:r>
    </w:p>
    <w:p>
      <w:pPr>
        <w:pBdr>
          <w:top w:val="single" w:sz="6"/>
        </w:pBdr>
      </w:pPr>
    </w:p>
    <w:p>
      <w:pPr>
        <w:pStyle w:val="Heading1"/>
      </w:pPr>
      <w:bookmarkStart w:name="9-scope" w:id="1"/>
      <w:r>
        <w:t xml:space="preserve">9. Scope</w:t>
      </w:r>
      <w:bookmarkEnd w:id="1"/>
    </w:p>
    <w:p>
      <w:pPr>
        <w:pStyle w:val="Heading2"/>
      </w:pPr>
      <w:bookmarkStart w:name="p0-—-must-have-(12-features)" w:id="1"/>
      <w:r>
        <w:t xml:space="preserve">P0 — MUST HAVE (12 features)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Feature</w:t>
            </w:r>
          </w:p>
        </w:tc>
        <w:tc>
          <w:tcPr>
            <w:tcW w:type="auto" w:w="100"/>
            <w:shd w:fill="b79c2f" w:val="solid"/>
            <w:vAlign w:val="center"/>
          </w:tcPr>
          <w:p>
            <w:pPr>
              <w:jc w:val="center"/>
            </w:pPr>
            <w:r>
              <w:rPr>
                <w:b/>
                <w:bCs/>
              </w:rPr>
              <w:t xml:space="preserve">Track</w:t>
            </w:r>
          </w:p>
        </w:tc>
      </w:tr>
      <w:tr>
        <w:tc>
          <w:tcPr>
            <w:tcW w:type="auto" w:w="100"/>
            <w:vAlign w:val="center"/>
          </w:tcPr>
          <w:p>
            <w:r>
              <w:t xml:space="preserve">P0-01</w:t>
            </w:r>
          </w:p>
        </w:tc>
        <w:tc>
          <w:tcPr>
            <w:tcW w:type="auto" w:w="100"/>
            <w:vAlign w:val="center"/>
          </w:tcPr>
          <w:p>
            <w:r>
              <w:t xml:space="preserve">Hyperlocal Hazard Map (Map Layer Toggle, Location Pin)</w:t>
            </w:r>
          </w:p>
        </w:tc>
        <w:tc>
          <w:tcPr>
            <w:tcW w:type="auto" w:w="100"/>
            <w:vAlign w:val="center"/>
          </w:tcPr>
          <w:p>
            <w:r>
              <w:t xml:space="preserve">Track 6</w:t>
            </w:r>
          </w:p>
        </w:tc>
      </w:tr>
      <w:tr>
        <w:tc>
          <w:tcPr>
            <w:tcW w:type="auto" w:w="100"/>
            <w:vAlign w:val="center"/>
          </w:tcPr>
          <w:p>
            <w:r>
              <w:t xml:space="preserve">P0-02</w:t>
            </w:r>
          </w:p>
        </w:tc>
        <w:tc>
          <w:tcPr>
            <w:tcW w:type="auto" w:w="100"/>
            <w:vAlign w:val="center"/>
          </w:tcPr>
          <w:p>
            <w:r>
              <w:t xml:space="preserve">AI 3-Hour Forecaster (Timeline Slider, Risk Alert Banner, Subscribe Alert)</w:t>
            </w:r>
          </w:p>
        </w:tc>
        <w:tc>
          <w:tcPr>
            <w:tcW w:type="auto" w:w="100"/>
            <w:vAlign w:val="center"/>
          </w:tcPr>
          <w:p>
            <w:r>
              <w:t xml:space="preserve">Track 6</w:t>
            </w:r>
          </w:p>
        </w:tc>
      </w:tr>
      <w:tr>
        <w:tc>
          <w:tcPr>
            <w:tcW w:type="auto" w:w="100"/>
            <w:vAlign w:val="center"/>
          </w:tcPr>
          <w:p>
            <w:r>
              <w:t xml:space="preserve">P0-03</w:t>
            </w:r>
          </w:p>
        </w:tc>
        <w:tc>
          <w:tcPr>
            <w:tcW w:type="auto" w:w="100"/>
            <w:vAlign w:val="center"/>
          </w:tcPr>
          <w:p>
            <w:r>
              <w:t xml:space="preserve">Isolation Alert (Highlight Zone, Evacuation Route Button)</w:t>
            </w:r>
          </w:p>
        </w:tc>
        <w:tc>
          <w:tcPr>
            <w:tcW w:type="auto" w:w="100"/>
            <w:vAlign w:val="center"/>
          </w:tcPr>
          <w:p>
            <w:r>
              <w:t xml:space="preserve">Track 6</w:t>
            </w:r>
          </w:p>
        </w:tc>
      </w:tr>
      <w:tr>
        <w:tc>
          <w:tcPr>
            <w:tcW w:type="auto" w:w="100"/>
            <w:vAlign w:val="center"/>
          </w:tcPr>
          <w:p>
            <w:r>
              <w:t xml:space="preserve">P0-04</w:t>
            </w:r>
          </w:p>
        </w:tc>
        <w:tc>
          <w:tcPr>
            <w:tcW w:type="auto" w:w="100"/>
            <w:vAlign w:val="center"/>
          </w:tcPr>
          <w:p>
            <w:r>
              <w:t xml:space="preserve">Vehicle-Specific Dispatch (Vehicle Selector Card, Find Safe Route)</w:t>
            </w:r>
          </w:p>
        </w:tc>
        <w:tc>
          <w:tcPr>
            <w:tcW w:type="auto" w:w="100"/>
            <w:vAlign w:val="center"/>
          </w:tcPr>
          <w:p>
            <w:r>
              <w:t xml:space="preserve">Track 5</w:t>
            </w:r>
          </w:p>
        </w:tc>
      </w:tr>
      <w:tr>
        <w:tc>
          <w:tcPr>
            <w:tcW w:type="auto" w:w="100"/>
            <w:vAlign w:val="center"/>
          </w:tcPr>
          <w:p>
            <w:r>
              <w:t xml:space="preserve">P0-05</w:t>
            </w:r>
          </w:p>
        </w:tc>
        <w:tc>
          <w:tcPr>
            <w:tcW w:type="auto" w:w="100"/>
            <w:vAlign w:val="center"/>
          </w:tcPr>
          <w:p>
            <w:r>
              <w:t xml:space="preserve">Dynamic Clearance Routing (Report Flooded Road, Dynamic Reroute Alert)</w:t>
            </w:r>
          </w:p>
        </w:tc>
        <w:tc>
          <w:tcPr>
            <w:tcW w:type="auto" w:w="100"/>
            <w:vAlign w:val="center"/>
          </w:tcPr>
          <w:p>
            <w:r>
              <w:t xml:space="preserve">Track 5</w:t>
            </w:r>
          </w:p>
        </w:tc>
      </w:tr>
      <w:tr>
        <w:tc>
          <w:tcPr>
            <w:tcW w:type="auto" w:w="100"/>
            <w:vAlign w:val="center"/>
          </w:tcPr>
          <w:p>
            <w:r>
              <w:t xml:space="preserve">P0-06</w:t>
            </w:r>
          </w:p>
        </w:tc>
        <w:tc>
          <w:tcPr>
            <w:tcW w:type="auto" w:w="100"/>
            <w:vAlign w:val="center"/>
          </w:tcPr>
          <w:p>
            <w:r>
              <w:t xml:space="preserve">Micro-Relief Station Locator (Find Supplies, Store Status Tag)</w:t>
            </w:r>
          </w:p>
        </w:tc>
        <w:tc>
          <w:tcPr>
            <w:tcW w:type="auto" w:w="100"/>
            <w:vAlign w:val="center"/>
          </w:tcPr>
          <w:p>
            <w:r>
              <w:t xml:space="preserve">Track 2</w:t>
            </w:r>
          </w:p>
        </w:tc>
      </w:tr>
      <w:tr>
        <w:tc>
          <w:tcPr>
            <w:tcW w:type="auto" w:w="100"/>
            <w:vAlign w:val="center"/>
          </w:tcPr>
          <w:p>
            <w:r>
              <w:t xml:space="preserve">P0-07</w:t>
            </w:r>
          </w:p>
        </w:tc>
        <w:tc>
          <w:tcPr>
            <w:tcW w:type="auto" w:w="100"/>
            <w:vAlign w:val="center"/>
          </w:tcPr>
          <w:p>
            <w:r>
              <w:t xml:space="preserve">Decentralized E-Voucher Wallet (My Vouchers, Scan QR, Generate QR, History)</w:t>
            </w:r>
          </w:p>
        </w:tc>
        <w:tc>
          <w:tcPr>
            <w:tcW w:type="auto" w:w="100"/>
            <w:vAlign w:val="center"/>
          </w:tcPr>
          <w:p>
            <w:r>
              <w:t xml:space="preserve">Track 2</w:t>
            </w:r>
          </w:p>
        </w:tc>
      </w:tr>
      <w:tr>
        <w:tc>
          <w:tcPr>
            <w:tcW w:type="auto" w:w="100"/>
            <w:vAlign w:val="center"/>
          </w:tcPr>
          <w:p>
            <w:r>
              <w:t xml:space="preserve">P0-08</w:t>
            </w:r>
          </w:p>
        </w:tc>
        <w:tc>
          <w:tcPr>
            <w:tcW w:type="auto" w:w="100"/>
            <w:vAlign w:val="center"/>
          </w:tcPr>
          <w:p>
            <w:r>
              <w:t xml:space="preserve">Homepage / Dashboard (alert summary, voucher balance, Map CTA)</w:t>
            </w:r>
          </w:p>
        </w:tc>
        <w:tc>
          <w:tcPr>
            <w:tcW w:type="auto" w:w="100"/>
            <w:vAlign w:val="center"/>
          </w:tcPr>
          <w:p>
            <w:r>
              <w:t xml:space="preserve">Navigation</w:t>
            </w:r>
          </w:p>
        </w:tc>
      </w:tr>
      <w:tr>
        <w:tc>
          <w:tcPr>
            <w:tcW w:type="auto" w:w="100"/>
            <w:vAlign w:val="center"/>
          </w:tcPr>
          <w:p>
            <w:r>
              <w:t xml:space="preserve">P0-09</w:t>
            </w:r>
          </w:p>
        </w:tc>
        <w:tc>
          <w:tcPr>
            <w:tcW w:type="auto" w:w="100"/>
            <w:vAlign w:val="center"/>
          </w:tcPr>
          <w:p>
            <w:r>
              <w:t xml:space="preserve">Google Maps API Base Map with D2C Mesh custom layers, collapsible UI</w:t>
            </w:r>
          </w:p>
        </w:tc>
        <w:tc>
          <w:tcPr>
            <w:tcW w:type="auto" w:w="100"/>
            <w:vAlign w:val="center"/>
          </w:tcPr>
          <w:p>
            <w:r>
              <w:t xml:space="preserve">Navigation</w:t>
            </w:r>
          </w:p>
        </w:tc>
      </w:tr>
      <w:tr>
        <w:tc>
          <w:tcPr>
            <w:tcW w:type="auto" w:w="100"/>
            <w:vAlign w:val="center"/>
          </w:tcPr>
          <w:p>
            <w:r>
              <w:t xml:space="preserve">P0-10</w:t>
            </w:r>
          </w:p>
        </w:tc>
        <w:tc>
          <w:tcPr>
            <w:tcW w:type="auto" w:w="100"/>
            <w:vAlign w:val="center"/>
          </w:tcPr>
          <w:p>
            <w:r>
              <w:t xml:space="preserve">Push Notification + SMS Alert Gateway</w:t>
            </w:r>
          </w:p>
        </w:tc>
        <w:tc>
          <w:tcPr>
            <w:tcW w:type="auto" w:w="100"/>
            <w:vAlign w:val="center"/>
          </w:tcPr>
          <w:p>
            <w:r>
              <w:t xml:space="preserve">Track 6</w:t>
            </w:r>
          </w:p>
        </w:tc>
      </w:tr>
      <w:tr>
        <w:tc>
          <w:tcPr>
            <w:tcW w:type="auto" w:w="100"/>
            <w:vAlign w:val="center"/>
          </w:tcPr>
          <w:p>
            <w:r>
              <w:t xml:space="preserve">P0-11</w:t>
            </w:r>
          </w:p>
        </w:tc>
        <w:tc>
          <w:tcPr>
            <w:tcW w:type="auto" w:w="100"/>
            <w:vAlign w:val="center"/>
          </w:tcPr>
          <w:p>
            <w:r>
              <w:t xml:space="preserve">User Role System (Resident, Rescue Team, SME/Shop Owner, Donor/Government)</w:t>
            </w:r>
          </w:p>
        </w:tc>
        <w:tc>
          <w:tcPr>
            <w:tcW w:type="auto" w:w="100"/>
            <w:vAlign w:val="center"/>
          </w:tcPr>
          <w:p>
            <w:r>
              <w:t xml:space="preserve">Platform</w:t>
            </w:r>
          </w:p>
        </w:tc>
      </w:tr>
      <w:tr>
        <w:tc>
          <w:tcPr>
            <w:tcW w:type="auto" w:w="100"/>
            <w:vAlign w:val="center"/>
          </w:tcPr>
          <w:p>
            <w:r>
              <w:t xml:space="preserve">P0-12</w:t>
            </w:r>
          </w:p>
        </w:tc>
        <w:tc>
          <w:tcPr>
            <w:tcW w:type="auto" w:w="100"/>
            <w:vAlign w:val="center"/>
          </w:tcPr>
          <w:p>
            <w:r>
              <w:t xml:space="preserve">Krungthai / PromptPay API Integration</w:t>
            </w:r>
          </w:p>
        </w:tc>
        <w:tc>
          <w:tcPr>
            <w:tcW w:type="auto" w:w="100"/>
            <w:vAlign w:val="center"/>
          </w:tcPr>
          <w:p>
            <w:r>
              <w:t xml:space="preserve">Track 2</w:t>
            </w:r>
          </w:p>
        </w:tc>
      </w:tr>
    </w:tbl>
    <w:p>
      <w:r>
        <w:t xml:space="preserve">[source: Stage 4 scope definition / participant SRS]</w:t>
      </w:r>
    </w:p>
    <w:p>
      <w:pPr>
        <w:pStyle w:val="Heading2"/>
      </w:pPr>
      <w:bookmarkStart w:name="p1-—-should-have-(6-features)" w:id="1"/>
      <w:r>
        <w:t xml:space="preserve">P1 — SHOULD HAVE (6 features)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Feature</w:t>
            </w:r>
          </w:p>
        </w:tc>
        <w:tc>
          <w:tcPr>
            <w:tcW w:type="auto" w:w="100"/>
            <w:shd w:fill="b79c2f" w:val="solid"/>
            <w:vAlign w:val="center"/>
          </w:tcPr>
          <w:p>
            <w:pPr>
              <w:jc w:val="center"/>
            </w:pPr>
            <w:r>
              <w:rPr>
                <w:b/>
                <w:bCs/>
              </w:rPr>
              <w:t xml:space="preserve">Track</w:t>
            </w:r>
          </w:p>
        </w:tc>
      </w:tr>
      <w:tr>
        <w:tc>
          <w:tcPr>
            <w:tcW w:type="auto" w:w="100"/>
            <w:vAlign w:val="center"/>
          </w:tcPr>
          <w:p>
            <w:r>
              <w:t xml:space="preserve">P1-01</w:t>
            </w:r>
          </w:p>
        </w:tc>
        <w:tc>
          <w:tcPr>
            <w:tcW w:type="auto" w:w="100"/>
            <w:vAlign w:val="center"/>
          </w:tcPr>
          <w:p>
            <w:r>
              <w:t xml:space="preserve">Donor &amp; Gov Funding Portal (Inject Funds, Live Impact Dashboard)</w:t>
            </w:r>
          </w:p>
        </w:tc>
        <w:tc>
          <w:tcPr>
            <w:tcW w:type="auto" w:w="100"/>
            <w:vAlign w:val="center"/>
          </w:tcPr>
          <w:p>
            <w:r>
              <w:t xml:space="preserve">Track 2</w:t>
            </w:r>
          </w:p>
        </w:tc>
      </w:tr>
      <w:tr>
        <w:tc>
          <w:tcPr>
            <w:tcW w:type="auto" w:w="100"/>
            <w:vAlign w:val="center"/>
          </w:tcPr>
          <w:p>
            <w:r>
              <w:t xml:space="preserve">P1-02</w:t>
            </w:r>
          </w:p>
        </w:tc>
        <w:tc>
          <w:tcPr>
            <w:tcW w:type="auto" w:w="100"/>
            <w:vAlign w:val="center"/>
          </w:tcPr>
          <w:p>
            <w:r>
              <w:t xml:space="preserve">SME Economic Recovery Dashboard (AI Restock Recommendation, Order from Supplier)</w:t>
            </w:r>
          </w:p>
        </w:tc>
        <w:tc>
          <w:tcPr>
            <w:tcW w:type="auto" w:w="100"/>
            <w:vAlign w:val="center"/>
          </w:tcPr>
          <w:p>
            <w:r>
              <w:t xml:space="preserve">Track 2</w:t>
            </w:r>
          </w:p>
        </w:tc>
      </w:tr>
      <w:tr>
        <w:tc>
          <w:tcPr>
            <w:tcW w:type="auto" w:w="100"/>
            <w:vAlign w:val="center"/>
          </w:tcPr>
          <w:p>
            <w:r>
              <w:t xml:space="preserve">P1-03</w:t>
            </w:r>
          </w:p>
        </w:tc>
        <w:tc>
          <w:tcPr>
            <w:tcW w:type="auto" w:w="100"/>
            <w:vAlign w:val="center"/>
          </w:tcPr>
          <w:p>
            <w:r>
              <w:t xml:space="preserve">AI Assistant (Contextual FAB)</w:t>
            </w:r>
          </w:p>
        </w:tc>
        <w:tc>
          <w:tcPr>
            <w:tcW w:type="auto" w:w="100"/>
            <w:vAlign w:val="center"/>
          </w:tcPr>
          <w:p>
            <w:r>
              <w:t xml:space="preserve">Platform</w:t>
            </w:r>
          </w:p>
        </w:tc>
      </w:tr>
      <w:tr>
        <w:tc>
          <w:tcPr>
            <w:tcW w:type="auto" w:w="100"/>
            <w:vAlign w:val="center"/>
          </w:tcPr>
          <w:p>
            <w:r>
              <w:t xml:space="preserve">P1-04</w:t>
            </w:r>
          </w:p>
        </w:tc>
        <w:tc>
          <w:tcPr>
            <w:tcW w:type="auto" w:w="100"/>
            <w:vAlign w:val="center"/>
          </w:tcPr>
          <w:p>
            <w:r>
              <w:t xml:space="preserve">Offline-First PWA Mode (~50 MB local cache)</w:t>
            </w:r>
          </w:p>
        </w:tc>
        <w:tc>
          <w:tcPr>
            <w:tcW w:type="auto" w:w="100"/>
            <w:vAlign w:val="center"/>
          </w:tcPr>
          <w:p>
            <w:r>
              <w:t xml:space="preserve">Platform</w:t>
            </w:r>
          </w:p>
        </w:tc>
      </w:tr>
      <w:tr>
        <w:tc>
          <w:tcPr>
            <w:tcW w:type="auto" w:w="100"/>
            <w:vAlign w:val="center"/>
          </w:tcPr>
          <w:p>
            <w:r>
              <w:t xml:space="preserve">P1-05</w:t>
            </w:r>
          </w:p>
        </w:tc>
        <w:tc>
          <w:tcPr>
            <w:tcW w:type="auto" w:w="100"/>
            <w:vAlign w:val="center"/>
          </w:tcPr>
          <w:p>
            <w:r>
              <w:t xml:space="preserve">อปท. Welfare Voucher Distribution Mode (year-round)</w:t>
            </w:r>
          </w:p>
        </w:tc>
        <w:tc>
          <w:tcPr>
            <w:tcW w:type="auto" w:w="100"/>
            <w:vAlign w:val="center"/>
          </w:tcPr>
          <w:p>
            <w:r>
              <w:t xml:space="preserve">Track 2</w:t>
            </w:r>
          </w:p>
        </w:tc>
      </w:tr>
      <w:tr>
        <w:tc>
          <w:tcPr>
            <w:tcW w:type="auto" w:w="100"/>
            <w:vAlign w:val="center"/>
          </w:tcPr>
          <w:p>
            <w:r>
              <w:t xml:space="preserve">P1-06</w:t>
            </w:r>
          </w:p>
        </w:tc>
        <w:tc>
          <w:tcPr>
            <w:tcW w:type="auto" w:w="100"/>
            <w:vAlign w:val="center"/>
          </w:tcPr>
          <w:p>
            <w:r>
              <w:t xml:space="preserve">Community Coordinator Relay System (อสม. network)</w:t>
            </w:r>
          </w:p>
        </w:tc>
        <w:tc>
          <w:tcPr>
            <w:tcW w:type="auto" w:w="100"/>
            <w:vAlign w:val="center"/>
          </w:tcPr>
          <w:p>
            <w:r>
              <w:t xml:space="preserve">Track 6 + 2</w:t>
            </w:r>
          </w:p>
        </w:tc>
      </w:tr>
    </w:tbl>
    <w:p>
      <w:r>
        <w:t xml:space="preserve">[source: Stage 4 scope definition]</w:t>
      </w:r>
    </w:p>
    <w:p>
      <w:pPr>
        <w:pStyle w:val="Heading2"/>
      </w:pPr>
      <w:bookmarkStart w:name="p2-—-could-have-(7-features)" w:id="1"/>
      <w:r>
        <w:t xml:space="preserve">P2 — COULD HAVE (7 features)</w:t>
      </w:r>
      <w:bookmarkEnd w:id="1"/>
    </w:p>
    <w:p>
      <w:r>
        <w:t xml:space="preserve">P2-01 USSD Fallback Gateway, P2-02 Edge Computing (IoT Greengrass), P2-03 Mesh Communication Network, P2-04 Cross-Agency Data Standardization API, P2-05 Crowdsource Flood Photo AI Classifier, P2-06 Multi-Province Scaling, P2-07 Supplier Marketplace Integration. [source: Stage 4 scope definition]</w:t>
      </w:r>
    </w:p>
    <w:p>
      <w:pPr>
        <w:pStyle w:val="Heading2"/>
      </w:pPr>
      <w:bookmarkStart w:name="explicitly-out-of-scope" w:id="1"/>
      <w:r>
        <w:t xml:space="preserve">Explicitly Out of Scope</w:t>
      </w:r>
      <w:bookmarkEnd w:id="1"/>
    </w:p>
    <w:p>
      <w:pPr>
        <w:pStyle w:val="ListParagraph"/>
        <w:pStyle w:val="ListParagraph"/>
        <w:numPr>
          <w:ilvl w:val="0"/>
          <w:numId w:val="1"/>
        </w:numPr>
        <w:numPr>
          <w:ilvl w:val="0"/>
          <w:numId w:val="8"/>
        </w:numPr>
      </w:pPr>
      <w:r>
        <w:rPr>
          <w:b/>
          <w:bCs/>
        </w:rPr>
        <w:t xml:space="preserve">W-01:</w:t>
      </w:r>
      <w:r>
        <w:t xml:space="preserve"> No proprietary payment gateway — use PromptPay/Krungthai API exclusively [source: participant + Stage 2 market research]</w:t>
      </w:r>
    </w:p>
    <w:p>
      <w:pPr>
        <w:pStyle w:val="ListParagraph"/>
        <w:pStyle w:val="ListParagraph"/>
        <w:numPr>
          <w:ilvl w:val="0"/>
          <w:numId w:val="1"/>
        </w:numPr>
        <w:numPr>
          <w:ilvl w:val="0"/>
          <w:numId w:val="8"/>
        </w:numPr>
      </w:pPr>
      <w:r>
        <w:rPr>
          <w:b/>
          <w:bCs/>
        </w:rPr>
        <w:t xml:space="preserve">W-02:</w:t>
      </w:r>
      <w:r>
        <w:t xml:space="preserve"> No physical hardware sensor network — software-first approach [source: participant]</w:t>
      </w:r>
    </w:p>
    <w:p>
      <w:pPr>
        <w:pStyle w:val="ListParagraph"/>
        <w:pStyle w:val="ListParagraph"/>
        <w:numPr>
          <w:ilvl w:val="0"/>
          <w:numId w:val="1"/>
        </w:numPr>
        <w:numPr>
          <w:ilvl w:val="0"/>
          <w:numId w:val="8"/>
        </w:numPr>
      </w:pPr>
      <w:r>
        <w:rPr>
          <w:b/>
          <w:bCs/>
        </w:rPr>
        <w:t xml:space="preserve">W-03:</w:t>
      </w:r>
      <w:r>
        <w:t xml:space="preserve"> No direct BOT e-money license application — banking partnership route [source: Stage 3 compliance]</w:t>
      </w:r>
    </w:p>
    <w:p>
      <w:pPr>
        <w:pStyle w:val="ListParagraph"/>
        <w:pStyle w:val="ListParagraph"/>
        <w:numPr>
          <w:ilvl w:val="0"/>
          <w:numId w:val="1"/>
        </w:numPr>
        <w:numPr>
          <w:ilvl w:val="0"/>
          <w:numId w:val="8"/>
        </w:numPr>
      </w:pPr>
      <w:r>
        <w:rPr>
          <w:b/>
          <w:bCs/>
        </w:rPr>
        <w:t xml:space="preserve">W-04:</w:t>
      </w:r>
      <w:r>
        <w:t xml:space="preserve"> No blockchain transaction ledger — PromptPay makes it redundant [source: Stage 2 market research]</w:t>
      </w:r>
    </w:p>
    <w:p>
      <w:pPr>
        <w:pStyle w:val="ListParagraph"/>
        <w:pStyle w:val="ListParagraph"/>
        <w:numPr>
          <w:ilvl w:val="0"/>
          <w:numId w:val="1"/>
        </w:numPr>
        <w:numPr>
          <w:ilvl w:val="0"/>
          <w:numId w:val="8"/>
        </w:numPr>
      </w:pPr>
      <w:r>
        <w:rPr>
          <w:b/>
          <w:bCs/>
        </w:rPr>
        <w:t xml:space="preserve">W-05:</w:t>
      </w:r>
      <w:r>
        <w:t xml:space="preserve"> No autonomous vehicle routing [source: Stage 2 market research]</w:t>
      </w:r>
    </w:p>
    <w:p>
      <w:pPr>
        <w:pStyle w:val="ListParagraph"/>
        <w:pStyle w:val="ListParagraph"/>
        <w:numPr>
          <w:ilvl w:val="0"/>
          <w:numId w:val="1"/>
        </w:numPr>
        <w:numPr>
          <w:ilvl w:val="0"/>
          <w:numId w:val="8"/>
        </w:numPr>
      </w:pPr>
      <w:r>
        <w:rPr>
          <w:b/>
          <w:bCs/>
        </w:rPr>
        <w:t xml:space="preserve">W-06:</w:t>
      </w:r>
      <w:r>
        <w:t xml:space="preserve"> No national-scale deployment — pilot only [source: Stage 4 scope]</w:t>
      </w:r>
    </w:p>
    <w:p>
      <w:pPr>
        <w:pStyle w:val="ListParagraph"/>
        <w:pStyle w:val="ListParagraph"/>
        <w:numPr>
          <w:ilvl w:val="0"/>
          <w:numId w:val="1"/>
        </w:numPr>
        <w:numPr>
          <w:ilvl w:val="0"/>
          <w:numId w:val="8"/>
        </w:numPr>
      </w:pPr>
      <w:r>
        <w:rPr>
          <w:b/>
          <w:bCs/>
        </w:rPr>
        <w:t xml:space="preserve">W-07:</w:t>
      </w:r>
      <w:r>
        <w:t xml:space="preserve"> No native iOS/Android apps — PWA only for MVP [source: participant SRS]</w:t>
      </w:r>
    </w:p>
    <w:p>
      <w:pPr>
        <w:pStyle w:val="ListParagraph"/>
        <w:pStyle w:val="ListParagraph"/>
        <w:numPr>
          <w:ilvl w:val="0"/>
          <w:numId w:val="1"/>
        </w:numPr>
        <w:numPr>
          <w:ilvl w:val="0"/>
          <w:numId w:val="8"/>
        </w:numPr>
      </w:pPr>
      <w:r>
        <w:rPr>
          <w:b/>
          <w:bCs/>
        </w:rPr>
        <w:t xml:space="preserve">W-08:</w:t>
      </w:r>
      <w:r>
        <w:t xml:space="preserve"> No AI gradient visuals or emoji-based UI [source: participant SRS]</w:t>
      </w:r>
    </w:p>
    <w:p>
      <w:pPr>
        <w:pBdr>
          <w:top w:val="single" w:sz="6"/>
        </w:pBdr>
      </w:pPr>
    </w:p>
    <w:p>
      <w:pPr>
        <w:pStyle w:val="Heading1"/>
      </w:pPr>
      <w:bookmarkStart w:name="10-success-criteria" w:id="1"/>
      <w:r>
        <w:t xml:space="preserve">10. Success Criteria</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Criterion</w:t>
            </w:r>
          </w:p>
        </w:tc>
        <w:tc>
          <w:tcPr>
            <w:tcW w:type="auto" w:w="100"/>
            <w:shd w:fill="b79c2f" w:val="solid"/>
            <w:vAlign w:val="center"/>
          </w:tcPr>
          <w:p>
            <w:pPr>
              <w:jc w:val="center"/>
            </w:pPr>
            <w:r>
              <w:rPr>
                <w:b/>
                <w:bCs/>
              </w:rPr>
              <w:t xml:space="preserve">Target</w:t>
            </w:r>
          </w:p>
        </w:tc>
        <w:tc>
          <w:tcPr>
            <w:tcW w:type="auto" w:w="100"/>
            <w:shd w:fill="b79c2f" w:val="solid"/>
            <w:vAlign w:val="center"/>
          </w:tcPr>
          <w:p>
            <w:pPr>
              <w:jc w:val="center"/>
            </w:pPr>
            <w:r>
              <w:rPr>
                <w:b/>
                <w:bCs/>
              </w:rPr>
              <w:t xml:space="preserve">Measurement</w:t>
            </w:r>
          </w:p>
        </w:tc>
      </w:tr>
      <w:tr>
        <w:tc>
          <w:tcPr>
            <w:tcW w:type="auto" w:w="100"/>
            <w:vAlign w:val="center"/>
          </w:tcPr>
          <w:p>
            <w:r>
              <w:t xml:space="preserve">SC-01</w:t>
            </w:r>
          </w:p>
        </w:tc>
        <w:tc>
          <w:tcPr>
            <w:tcW w:type="auto" w:w="100"/>
            <w:vAlign w:val="center"/>
          </w:tcPr>
          <w:p>
            <w:r>
              <w:t xml:space="preserve">Flood prediction accuracy (tambon level)</w:t>
            </w:r>
          </w:p>
        </w:tc>
        <w:tc>
          <w:tcPr>
            <w:tcW w:type="auto" w:w="100"/>
            <w:vAlign w:val="center"/>
          </w:tcPr>
          <w:p>
            <w:r>
              <w:t xml:space="preserve">≥70% on historical validation set (2021–2025)</w:t>
            </w:r>
          </w:p>
        </w:tc>
        <w:tc>
          <w:tcPr>
            <w:tcW w:type="auto" w:w="100"/>
            <w:vAlign w:val="center"/>
          </w:tcPr>
          <w:p>
            <w:r>
              <w:t xml:space="preserve">Compare AI predictions vs. actual flood reports [source: Stage 4]</w:t>
            </w:r>
          </w:p>
        </w:tc>
      </w:tr>
      <w:tr>
        <w:tc>
          <w:tcPr>
            <w:tcW w:type="auto" w:w="100"/>
            <w:vAlign w:val="center"/>
          </w:tcPr>
          <w:p>
            <w:r>
              <w:t xml:space="preserve">SC-02</w:t>
            </w:r>
          </w:p>
        </w:tc>
        <w:tc>
          <w:tcPr>
            <w:tcW w:type="auto" w:w="100"/>
            <w:vAlign w:val="center"/>
          </w:tcPr>
          <w:p>
            <w:r>
              <w:t xml:space="preserve">Alert lead time</w:t>
            </w:r>
          </w:p>
        </w:tc>
        <w:tc>
          <w:tcPr>
            <w:tcW w:type="auto" w:w="100"/>
            <w:vAlign w:val="center"/>
          </w:tcPr>
          <w:p>
            <w:r>
              <w:t xml:space="preserve">≥2 hours average before water reaches predicted level</w:t>
            </w:r>
          </w:p>
        </w:tc>
        <w:tc>
          <w:tcPr>
            <w:tcW w:type="auto" w:w="100"/>
            <w:vAlign w:val="center"/>
          </w:tcPr>
          <w:p>
            <w:r>
              <w:t xml:space="preserve">Timestamp: alert issued vs. flood arrival [source: Stage 4]</w:t>
            </w:r>
          </w:p>
        </w:tc>
      </w:tr>
      <w:tr>
        <w:tc>
          <w:tcPr>
            <w:tcW w:type="auto" w:w="100"/>
            <w:vAlign w:val="center"/>
          </w:tcPr>
          <w:p>
            <w:r>
              <w:t xml:space="preserve">SC-03</w:t>
            </w:r>
          </w:p>
        </w:tc>
        <w:tc>
          <w:tcPr>
            <w:tcW w:type="auto" w:w="100"/>
            <w:vAlign w:val="center"/>
          </w:tcPr>
          <w:p>
            <w:r>
              <w:t xml:space="preserve">Routing safety</w:t>
            </w:r>
          </w:p>
        </w:tc>
        <w:tc>
          <w:tcPr>
            <w:tcW w:type="auto" w:w="100"/>
            <w:vAlign w:val="center"/>
          </w:tcPr>
          <w:p>
            <w:r>
              <w:t xml:space="preserve">0 incidents of routed vehicles exceeding clearance</w:t>
            </w:r>
          </w:p>
        </w:tc>
        <w:tc>
          <w:tcPr>
            <w:tcW w:type="auto" w:w="100"/>
            <w:vAlign w:val="center"/>
          </w:tcPr>
          <w:p>
            <w:r>
              <w:t xml:space="preserve">In-app reporting + post-event survey [source: Stage 4]</w:t>
            </w:r>
          </w:p>
        </w:tc>
      </w:tr>
      <w:tr>
        <w:tc>
          <w:tcPr>
            <w:tcW w:type="auto" w:w="100"/>
            <w:vAlign w:val="center"/>
          </w:tcPr>
          <w:p>
            <w:r>
              <w:t xml:space="preserve">SC-04</w:t>
            </w:r>
          </w:p>
        </w:tc>
        <w:tc>
          <w:tcPr>
            <w:tcW w:type="auto" w:w="100"/>
            <w:vAlign w:val="center"/>
          </w:tcPr>
          <w:p>
            <w:r>
              <w:t xml:space="preserve">Household enrollment</w:t>
            </w:r>
          </w:p>
        </w:tc>
        <w:tc>
          <w:tcPr>
            <w:tcW w:type="auto" w:w="100"/>
            <w:vAlign w:val="center"/>
          </w:tcPr>
          <w:p>
            <w:r>
              <w:t xml:space="preserve">≥500 registered resident households</w:t>
            </w:r>
          </w:p>
        </w:tc>
        <w:tc>
          <w:tcPr>
            <w:tcW w:type="auto" w:w="100"/>
            <w:vAlign w:val="center"/>
          </w:tcPr>
          <w:p>
            <w:r>
              <w:t xml:space="preserve">Registration database [source: Stage 4]</w:t>
            </w:r>
          </w:p>
        </w:tc>
      </w:tr>
      <w:tr>
        <w:tc>
          <w:tcPr>
            <w:tcW w:type="auto" w:w="100"/>
            <w:vAlign w:val="center"/>
          </w:tcPr>
          <w:p>
            <w:r>
              <w:t xml:space="preserve">SC-05</w:t>
            </w:r>
          </w:p>
        </w:tc>
        <w:tc>
          <w:tcPr>
            <w:tcW w:type="auto" w:w="100"/>
            <w:vAlign w:val="center"/>
          </w:tcPr>
          <w:p>
            <w:r>
              <w:t xml:space="preserve">Merchant enrollment</w:t>
            </w:r>
          </w:p>
        </w:tc>
        <w:tc>
          <w:tcPr>
            <w:tcW w:type="auto" w:w="100"/>
            <w:vAlign w:val="center"/>
          </w:tcPr>
          <w:p>
            <w:r>
              <w:t xml:space="preserve">≥50 Micro-Relief Station merchants</w:t>
            </w:r>
          </w:p>
        </w:tc>
        <w:tc>
          <w:tcPr>
            <w:tcW w:type="auto" w:w="100"/>
            <w:vAlign w:val="center"/>
          </w:tcPr>
          <w:p>
            <w:r>
              <w:t xml:space="preserve">Merchant registration database [source: Stage 4]</w:t>
            </w:r>
          </w:p>
        </w:tc>
      </w:tr>
      <w:tr>
        <w:tc>
          <w:tcPr>
            <w:tcW w:type="auto" w:w="100"/>
            <w:vAlign w:val="center"/>
          </w:tcPr>
          <w:p>
            <w:r>
              <w:t xml:space="preserve">SC-06</w:t>
            </w:r>
          </w:p>
        </w:tc>
        <w:tc>
          <w:tcPr>
            <w:tcW w:type="auto" w:w="100"/>
            <w:vAlign w:val="center"/>
          </w:tcPr>
          <w:p>
            <w:r>
              <w:t xml:space="preserve">E-Voucher transaction success rate</w:t>
            </w:r>
          </w:p>
        </w:tc>
        <w:tc>
          <w:tcPr>
            <w:tcW w:type="auto" w:w="100"/>
            <w:vAlign w:val="center"/>
          </w:tcPr>
          <w:p>
            <w:r>
              <w:t xml:space="preserve">≥95% of initiated redemptions complete</w:t>
            </w:r>
          </w:p>
        </w:tc>
        <w:tc>
          <w:tcPr>
            <w:tcW w:type="auto" w:w="100"/>
            <w:vAlign w:val="center"/>
          </w:tcPr>
          <w:p>
            <w:r>
              <w:t xml:space="preserve">Krungthai API transaction log [source: Stage 4]</w:t>
            </w:r>
          </w:p>
        </w:tc>
      </w:tr>
      <w:tr>
        <w:tc>
          <w:tcPr>
            <w:tcW w:type="auto" w:w="100"/>
            <w:vAlign w:val="center"/>
          </w:tcPr>
          <w:p>
            <w:r>
              <w:t xml:space="preserve">SC-07</w:t>
            </w:r>
          </w:p>
        </w:tc>
        <w:tc>
          <w:tcPr>
            <w:tcW w:type="auto" w:w="100"/>
            <w:vAlign w:val="center"/>
          </w:tcPr>
          <w:p>
            <w:r>
              <w:t xml:space="preserve">Disbursement-to-redemption speed</w:t>
            </w:r>
          </w:p>
        </w:tc>
        <w:tc>
          <w:tcPr>
            <w:tcW w:type="auto" w:w="100"/>
            <w:vAlign w:val="center"/>
          </w:tcPr>
          <w:p>
            <w:r>
              <w:t xml:space="preserve">≤30 minutes from fund injection to first redemption</w:t>
            </w:r>
          </w:p>
        </w:tc>
        <w:tc>
          <w:tcPr>
            <w:tcW w:type="auto" w:w="100"/>
            <w:vAlign w:val="center"/>
          </w:tcPr>
          <w:p>
            <w:r>
              <w:t xml:space="preserve">Timestamp comparison [source: Stage 4]</w:t>
            </w:r>
          </w:p>
        </w:tc>
      </w:tr>
      <w:tr>
        <w:tc>
          <w:tcPr>
            <w:tcW w:type="auto" w:w="100"/>
            <w:vAlign w:val="center"/>
          </w:tcPr>
          <w:p>
            <w:r>
              <w:t xml:space="preserve">SC-08</w:t>
            </w:r>
          </w:p>
        </w:tc>
        <w:tc>
          <w:tcPr>
            <w:tcW w:type="auto" w:w="100"/>
            <w:vAlign w:val="center"/>
          </w:tcPr>
          <w:p>
            <w:r>
              <w:t xml:space="preserve">Non-flood season retention</w:t>
            </w:r>
          </w:p>
        </w:tc>
        <w:tc>
          <w:tcPr>
            <w:tcW w:type="auto" w:w="100"/>
            <w:vAlign w:val="center"/>
          </w:tcPr>
          <w:p>
            <w:r>
              <w:t xml:space="preserve">≥30% MAU retained from flood-season peak</w:t>
            </w:r>
          </w:p>
        </w:tc>
        <w:tc>
          <w:tcPr>
            <w:tcW w:type="auto" w:w="100"/>
            <w:vAlign w:val="center"/>
          </w:tcPr>
          <w:p>
            <w:r>
              <w:t xml:space="preserve">Monthly active user analytics [source: Stage 4]</w:t>
            </w:r>
          </w:p>
        </w:tc>
      </w:tr>
      <w:tr>
        <w:tc>
          <w:tcPr>
            <w:tcW w:type="auto" w:w="100"/>
            <w:vAlign w:val="center"/>
          </w:tcPr>
          <w:p>
            <w:r>
              <w:t xml:space="preserve">SC-09</w:t>
            </w:r>
          </w:p>
        </w:tc>
        <w:tc>
          <w:tcPr>
            <w:tcW w:type="auto" w:w="100"/>
            <w:vAlign w:val="center"/>
          </w:tcPr>
          <w:p>
            <w:r>
              <w:t xml:space="preserve">SME revenue impact</w:t>
            </w:r>
          </w:p>
        </w:tc>
        <w:tc>
          <w:tcPr>
            <w:tcW w:type="auto" w:w="100"/>
            <w:vAlign w:val="center"/>
          </w:tcPr>
          <w:p>
            <w:r>
              <w:t xml:space="preserve">≥20% increase in monthly transaction volume</w:t>
            </w:r>
          </w:p>
        </w:tc>
        <w:tc>
          <w:tcPr>
            <w:tcW w:type="auto" w:w="100"/>
            <w:vAlign w:val="center"/>
          </w:tcPr>
          <w:p>
            <w:r>
              <w:t xml:space="preserve">PromptPay data: 3 months pre vs. post enrollment [source: Stage 4]</w:t>
            </w:r>
          </w:p>
        </w:tc>
      </w:tr>
      <w:tr>
        <w:tc>
          <w:tcPr>
            <w:tcW w:type="auto" w:w="100"/>
            <w:vAlign w:val="center"/>
          </w:tcPr>
          <w:p>
            <w:r>
              <w:t xml:space="preserve">SC-10</w:t>
            </w:r>
          </w:p>
        </w:tc>
        <w:tc>
          <w:tcPr>
            <w:tcW w:type="auto" w:w="100"/>
            <w:vAlign w:val="center"/>
          </w:tcPr>
          <w:p>
            <w:r>
              <w:t xml:space="preserve">Offline alert delivery</w:t>
            </w:r>
          </w:p>
        </w:tc>
        <w:tc>
          <w:tcPr>
            <w:tcW w:type="auto" w:w="100"/>
            <w:vAlign w:val="center"/>
          </w:tcPr>
          <w:p>
            <w:r>
              <w:t xml:space="preserve">≥80% of registered users reached within 15 min</w:t>
            </w:r>
          </w:p>
        </w:tc>
        <w:tc>
          <w:tcPr>
            <w:tcW w:type="auto" w:w="100"/>
            <w:vAlign w:val="center"/>
          </w:tcPr>
          <w:p>
            <w:r>
              <w:t xml:space="preserve">Cross-channel delivery confirmation [source: Stage 4]</w:t>
            </w:r>
          </w:p>
        </w:tc>
      </w:tr>
      <w:tr>
        <w:tc>
          <w:tcPr>
            <w:tcW w:type="auto" w:w="100"/>
            <w:vAlign w:val="center"/>
          </w:tcPr>
          <w:p>
            <w:r>
              <w:t xml:space="preserve">SC-11</w:t>
            </w:r>
          </w:p>
        </w:tc>
        <w:tc>
          <w:tcPr>
            <w:tcW w:type="auto" w:w="100"/>
            <w:vAlign w:val="center"/>
          </w:tcPr>
          <w:p>
            <w:r>
              <w:t xml:space="preserve">Government data integration</w:t>
            </w:r>
          </w:p>
        </w:tc>
        <w:tc>
          <w:tcPr>
            <w:tcW w:type="auto" w:w="100"/>
            <w:vAlign w:val="center"/>
          </w:tcPr>
          <w:p>
            <w:r>
              <w:t xml:space="preserve">≥2 agencies with formal data agreements</w:t>
            </w:r>
          </w:p>
        </w:tc>
        <w:tc>
          <w:tcPr>
            <w:tcW w:type="auto" w:w="100"/>
            <w:vAlign w:val="center"/>
          </w:tcPr>
          <w:p>
            <w:r>
              <w:t xml:space="preserve">Signed MOUs / active APIs [source: Stage 4]</w:t>
            </w:r>
          </w:p>
        </w:tc>
      </w:tr>
      <w:tr>
        <w:tc>
          <w:tcPr>
            <w:tcW w:type="auto" w:w="100"/>
            <w:vAlign w:val="center"/>
          </w:tcPr>
          <w:p>
            <w:r>
              <w:t xml:space="preserve">SC-12</w:t>
            </w:r>
          </w:p>
        </w:tc>
        <w:tc>
          <w:tcPr>
            <w:tcW w:type="auto" w:w="100"/>
            <w:vAlign w:val="center"/>
          </w:tcPr>
          <w:p>
            <w:r>
              <w:t xml:space="preserve">Platform uptime during floods</w:t>
            </w:r>
          </w:p>
        </w:tc>
        <w:tc>
          <w:tcPr>
            <w:tcW w:type="auto" w:w="100"/>
            <w:vAlign w:val="center"/>
          </w:tcPr>
          <w:p>
            <w:r>
              <w:t xml:space="preserve">≥99.5% API availability</w:t>
            </w:r>
          </w:p>
        </w:tc>
        <w:tc>
          <w:tcPr>
            <w:tcW w:type="auto" w:w="100"/>
            <w:vAlign w:val="center"/>
          </w:tcPr>
          <w:p>
            <w:r>
              <w:t xml:space="preserve">AWS CloudWatch monitoring [source: Stage 4]</w:t>
            </w:r>
          </w:p>
        </w:tc>
      </w:tr>
    </w:tbl>
    <w:p>
      <w:pPr>
        <w:pBdr>
          <w:top w:val="single" w:sz="6"/>
        </w:pBdr>
      </w:pPr>
    </w:p>
    <w:p>
      <w:pPr>
        <w:pStyle w:val="Heading1"/>
      </w:pPr>
      <w:bookmarkStart w:name="11-team-composition" w:id="1"/>
      <w:r>
        <w:t xml:space="preserve">11. Team Composition</w:t>
      </w:r>
      <w:bookmarkEnd w:id="1"/>
    </w:p>
    <w:p>
      <w:r>
        <w:rPr>
          <w:b/>
          <w:bCs/>
        </w:rPr>
        <w:t xml:space="preserve">Core Team (11 members, full-time):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Role</w:t>
            </w:r>
          </w:p>
        </w:tc>
        <w:tc>
          <w:tcPr>
            <w:tcW w:type="auto" w:w="100"/>
            <w:shd w:fill="b79c2f" w:val="solid"/>
            <w:vAlign w:val="center"/>
          </w:tcPr>
          <w:p>
            <w:pPr>
              <w:jc w:val="center"/>
            </w:pPr>
            <w:r>
              <w:rPr>
                <w:b/>
                <w:bCs/>
              </w:rPr>
              <w:t xml:space="preserve">Count</w:t>
            </w:r>
          </w:p>
        </w:tc>
        <w:tc>
          <w:tcPr>
            <w:tcW w:type="auto" w:w="100"/>
            <w:shd w:fill="b79c2f" w:val="solid"/>
            <w:vAlign w:val="center"/>
          </w:tcPr>
          <w:p>
            <w:pPr>
              <w:jc w:val="center"/>
            </w:pPr>
            <w:r>
              <w:rPr>
                <w:b/>
                <w:bCs/>
              </w:rPr>
              <w:t xml:space="preserve">Key Responsibilities</w:t>
            </w:r>
          </w:p>
        </w:tc>
      </w:tr>
      <w:tr>
        <w:tc>
          <w:tcPr>
            <w:tcW w:type="auto" w:w="100"/>
            <w:vAlign w:val="center"/>
          </w:tcPr>
          <w:p>
            <w:r>
              <w:t xml:space="preserve">1</w:t>
            </w:r>
          </w:p>
        </w:tc>
        <w:tc>
          <w:tcPr>
            <w:tcW w:type="auto" w:w="100"/>
            <w:vAlign w:val="center"/>
          </w:tcPr>
          <w:p>
            <w:r>
              <w:t xml:space="preserve">Product Lead / Project Owner</w:t>
            </w:r>
          </w:p>
        </w:tc>
        <w:tc>
          <w:tcPr>
            <w:tcW w:type="auto" w:w="100"/>
            <w:vAlign w:val="center"/>
          </w:tcPr>
          <w:p>
            <w:r>
              <w:t xml:space="preserve">1</w:t>
            </w:r>
          </w:p>
        </w:tc>
        <w:tc>
          <w:tcPr>
            <w:tcW w:type="auto" w:w="100"/>
            <w:vAlign w:val="center"/>
          </w:tcPr>
          <w:p>
            <w:r>
              <w:t xml:space="preserve">Vision, roadmap, government liaison, Sprint planning, approval gates [source: Stage 5]</w:t>
            </w:r>
          </w:p>
        </w:tc>
      </w:tr>
      <w:tr>
        <w:tc>
          <w:tcPr>
            <w:tcW w:type="auto" w:w="100"/>
            <w:vAlign w:val="center"/>
          </w:tcPr>
          <w:p>
            <w:r>
              <w:t xml:space="preserve">2</w:t>
            </w:r>
          </w:p>
        </w:tc>
        <w:tc>
          <w:tcPr>
            <w:tcW w:type="auto" w:w="100"/>
            <w:vAlign w:val="center"/>
          </w:tcPr>
          <w:p>
            <w:r>
              <w:t xml:space="preserve">AI/ML Engineer</w:t>
            </w:r>
          </w:p>
        </w:tc>
        <w:tc>
          <w:tcPr>
            <w:tcW w:type="auto" w:w="100"/>
            <w:vAlign w:val="center"/>
          </w:tcPr>
          <w:p>
            <w:r>
              <w:t xml:space="preserve">2</w:t>
            </w:r>
          </w:p>
        </w:tc>
        <w:tc>
          <w:tcPr>
            <w:tcW w:type="auto" w:w="100"/>
            <w:vAlign w:val="center"/>
          </w:tcPr>
          <w:p>
            <w:r>
              <w:t xml:space="preserve">Flood prediction models (LSTM/Transformer), data fusion, AI restocking engine [source: Stage 5]</w:t>
            </w:r>
          </w:p>
        </w:tc>
      </w:tr>
      <w:tr>
        <w:tc>
          <w:tcPr>
            <w:tcW w:type="auto" w:w="100"/>
            <w:vAlign w:val="center"/>
          </w:tcPr>
          <w:p>
            <w:r>
              <w:t xml:space="preserve">3</w:t>
            </w:r>
          </w:p>
        </w:tc>
        <w:tc>
          <w:tcPr>
            <w:tcW w:type="auto" w:w="100"/>
            <w:vAlign w:val="center"/>
          </w:tcPr>
          <w:p>
            <w:r>
              <w:t xml:space="preserve">GIS / Geospatial Engineer</w:t>
            </w:r>
          </w:p>
        </w:tc>
        <w:tc>
          <w:tcPr>
            <w:tcW w:type="auto" w:w="100"/>
            <w:vAlign w:val="center"/>
          </w:tcPr>
          <w:p>
            <w:r>
              <w:t xml:space="preserve">1</w:t>
            </w:r>
          </w:p>
        </w:tc>
        <w:tc>
          <w:tcPr>
            <w:tcW w:type="auto" w:w="100"/>
            <w:vAlign w:val="center"/>
          </w:tcPr>
          <w:p>
            <w:r>
              <w:t xml:space="preserve">Google Maps integration, D2C overlay layers, DEM processing, isolation zone algorithm [source: Stage 5]</w:t>
            </w:r>
          </w:p>
        </w:tc>
      </w:tr>
      <w:tr>
        <w:tc>
          <w:tcPr>
            <w:tcW w:type="auto" w:w="100"/>
            <w:vAlign w:val="center"/>
          </w:tcPr>
          <w:p>
            <w:r>
              <w:t xml:space="preserve">4</w:t>
            </w:r>
          </w:p>
        </w:tc>
        <w:tc>
          <w:tcPr>
            <w:tcW w:type="auto" w:w="100"/>
            <w:vAlign w:val="center"/>
          </w:tcPr>
          <w:p>
            <w:r>
              <w:t xml:space="preserve">Full-Stack Developer (Frontend-heavy)</w:t>
            </w:r>
          </w:p>
        </w:tc>
        <w:tc>
          <w:tcPr>
            <w:tcW w:type="auto" w:w="100"/>
            <w:vAlign w:val="center"/>
          </w:tcPr>
          <w:p>
            <w:r>
              <w:t xml:space="preserve">2</w:t>
            </w:r>
          </w:p>
        </w:tc>
        <w:tc>
          <w:tcPr>
            <w:tcW w:type="auto" w:w="100"/>
            <w:vAlign w:val="center"/>
          </w:tcPr>
          <w:p>
            <w:r>
              <w:t xml:space="preserve">PWA (React/Next.js), Soft UI implementation, role-based dashboards, offline-first service worker [source: Stage 5]</w:t>
            </w:r>
          </w:p>
        </w:tc>
      </w:tr>
      <w:tr>
        <w:tc>
          <w:tcPr>
            <w:tcW w:type="auto" w:w="100"/>
            <w:vAlign w:val="center"/>
          </w:tcPr>
          <w:p>
            <w:r>
              <w:t xml:space="preserve">5</w:t>
            </w:r>
          </w:p>
        </w:tc>
        <w:tc>
          <w:tcPr>
            <w:tcW w:type="auto" w:w="100"/>
            <w:vAlign w:val="center"/>
          </w:tcPr>
          <w:p>
            <w:r>
              <w:t xml:space="preserve">Backend / API Engineer</w:t>
            </w:r>
          </w:p>
        </w:tc>
        <w:tc>
          <w:tcPr>
            <w:tcW w:type="auto" w:w="100"/>
            <w:vAlign w:val="center"/>
          </w:tcPr>
          <w:p>
            <w:r>
              <w:t xml:space="preserve">1</w:t>
            </w:r>
          </w:p>
        </w:tc>
        <w:tc>
          <w:tcPr>
            <w:tcW w:type="auto" w:w="100"/>
            <w:vAlign w:val="center"/>
          </w:tcPr>
          <w:p>
            <w:r>
              <w:t xml:space="preserve">REST APIs, real-time data ingestion, WebSocket alerts, multi-role auth [source: Stage 5]</w:t>
            </w:r>
          </w:p>
        </w:tc>
      </w:tr>
      <w:tr>
        <w:tc>
          <w:tcPr>
            <w:tcW w:type="auto" w:w="100"/>
            <w:vAlign w:val="center"/>
          </w:tcPr>
          <w:p>
            <w:r>
              <w:t xml:space="preserve">6</w:t>
            </w:r>
          </w:p>
        </w:tc>
        <w:tc>
          <w:tcPr>
            <w:tcW w:type="auto" w:w="100"/>
            <w:vAlign w:val="center"/>
          </w:tcPr>
          <w:p>
            <w:r>
              <w:t xml:space="preserve">Fintech Integration Engineer</w:t>
            </w:r>
          </w:p>
        </w:tc>
        <w:tc>
          <w:tcPr>
            <w:tcW w:type="auto" w:w="100"/>
            <w:vAlign w:val="center"/>
          </w:tcPr>
          <w:p>
            <w:r>
              <w:t xml:space="preserve">1</w:t>
            </w:r>
          </w:p>
        </w:tc>
        <w:tc>
          <w:tcPr>
            <w:tcW w:type="auto" w:w="100"/>
            <w:vAlign w:val="center"/>
          </w:tcPr>
          <w:p>
            <w:r>
              <w:t xml:space="preserve">Krungthai API, PromptPay QR, E-Voucher lifecycle, transaction audit trail [source: Stage 5]</w:t>
            </w:r>
          </w:p>
        </w:tc>
      </w:tr>
      <w:tr>
        <w:tc>
          <w:tcPr>
            <w:tcW w:type="auto" w:w="100"/>
            <w:vAlign w:val="center"/>
          </w:tcPr>
          <w:p>
            <w:r>
              <w:t xml:space="preserve">7</w:t>
            </w:r>
          </w:p>
        </w:tc>
        <w:tc>
          <w:tcPr>
            <w:tcW w:type="auto" w:w="100"/>
            <w:vAlign w:val="center"/>
          </w:tcPr>
          <w:p>
            <w:r>
              <w:t xml:space="preserve">UI/UX Designer</w:t>
            </w:r>
          </w:p>
        </w:tc>
        <w:tc>
          <w:tcPr>
            <w:tcW w:type="auto" w:w="100"/>
            <w:vAlign w:val="center"/>
          </w:tcPr>
          <w:p>
            <w:r>
              <w:t xml:space="preserve">1</w:t>
            </w:r>
          </w:p>
        </w:tc>
        <w:tc>
          <w:tcPr>
            <w:tcW w:type="auto" w:w="100"/>
            <w:vAlign w:val="center"/>
          </w:tcPr>
          <w:p>
            <w:r>
              <w:t xml:space="preserve">Design system ownership, wireframes, crisis UX research, accessibility [source: Stage 5]</w:t>
            </w:r>
          </w:p>
        </w:tc>
      </w:tr>
      <w:tr>
        <w:tc>
          <w:tcPr>
            <w:tcW w:type="auto" w:w="100"/>
            <w:vAlign w:val="center"/>
          </w:tcPr>
          <w:p>
            <w:r>
              <w:t xml:space="preserve">8</w:t>
            </w:r>
          </w:p>
        </w:tc>
        <w:tc>
          <w:tcPr>
            <w:tcW w:type="auto" w:w="100"/>
            <w:vAlign w:val="center"/>
          </w:tcPr>
          <w:p>
            <w:r>
              <w:t xml:space="preserve">DevOps / Cloud Engineer</w:t>
            </w:r>
          </w:p>
        </w:tc>
        <w:tc>
          <w:tcPr>
            <w:tcW w:type="auto" w:w="100"/>
            <w:vAlign w:val="center"/>
          </w:tcPr>
          <w:p>
            <w:r>
              <w:t xml:space="preserve">1</w:t>
            </w:r>
          </w:p>
        </w:tc>
        <w:tc>
          <w:tcPr>
            <w:tcW w:type="auto" w:w="100"/>
            <w:vAlign w:val="center"/>
          </w:tcPr>
          <w:p>
            <w:r>
              <w:t xml:space="preserve">AWS infrastructure, CI/CD, monitoring, auto-scaling, cost optimization [source: Stage 5]</w:t>
            </w:r>
          </w:p>
        </w:tc>
      </w:tr>
      <w:tr>
        <w:tc>
          <w:tcPr>
            <w:tcW w:type="auto" w:w="100"/>
            <w:vAlign w:val="center"/>
          </w:tcPr>
          <w:p>
            <w:r>
              <w:t xml:space="preserve">9</w:t>
            </w:r>
          </w:p>
        </w:tc>
        <w:tc>
          <w:tcPr>
            <w:tcW w:type="auto" w:w="100"/>
            <w:vAlign w:val="center"/>
          </w:tcPr>
          <w:p>
            <w:r>
              <w:t xml:space="preserve">QA Engineer</w:t>
            </w:r>
          </w:p>
        </w:tc>
        <w:tc>
          <w:tcPr>
            <w:tcW w:type="auto" w:w="100"/>
            <w:vAlign w:val="center"/>
          </w:tcPr>
          <w:p>
            <w:r>
              <w:t xml:space="preserve">1</w:t>
            </w:r>
          </w:p>
        </w:tc>
        <w:tc>
          <w:tcPr>
            <w:tcW w:type="auto" w:w="100"/>
            <w:vAlign w:val="center"/>
          </w:tcPr>
          <w:p>
            <w:r>
              <w:t xml:space="preserve">Cross-device Android testing, flood scenario simulation, E-Voucher E2E testing [source: Stage 5]</w:t>
            </w:r>
          </w:p>
        </w:tc>
      </w:tr>
    </w:tbl>
    <w:p>
      <w:r>
        <w:rPr>
          <w:b/>
          <w:bCs/>
        </w:rPr>
        <w:t xml:space="preserve">Extended Team (4 members, part-time/contracted):</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Role</w:t>
            </w:r>
          </w:p>
        </w:tc>
        <w:tc>
          <w:tcPr>
            <w:tcW w:type="auto" w:w="100"/>
            <w:shd w:fill="b79c2f" w:val="solid"/>
            <w:vAlign w:val="center"/>
          </w:tcPr>
          <w:p>
            <w:pPr>
              <w:jc w:val="center"/>
            </w:pPr>
            <w:r>
              <w:rPr>
                <w:b/>
                <w:bCs/>
              </w:rPr>
              <w:t xml:space="preserve">Allocation</w:t>
            </w:r>
          </w:p>
        </w:tc>
        <w:tc>
          <w:tcPr>
            <w:tcW w:type="auto" w:w="100"/>
            <w:shd w:fill="b79c2f" w:val="solid"/>
            <w:vAlign w:val="center"/>
          </w:tcPr>
          <w:p>
            <w:pPr>
              <w:jc w:val="center"/>
            </w:pPr>
            <w:r>
              <w:rPr>
                <w:b/>
                <w:bCs/>
              </w:rPr>
              <w:t xml:space="preserve">Key Responsibilities</w:t>
            </w:r>
          </w:p>
        </w:tc>
      </w:tr>
      <w:tr>
        <w:tc>
          <w:tcPr>
            <w:tcW w:type="auto" w:w="100"/>
            <w:vAlign w:val="center"/>
          </w:tcPr>
          <w:p>
            <w:r>
              <w:t xml:space="preserve">10</w:t>
            </w:r>
          </w:p>
        </w:tc>
        <w:tc>
          <w:tcPr>
            <w:tcW w:type="auto" w:w="100"/>
            <w:vAlign w:val="center"/>
          </w:tcPr>
          <w:p>
            <w:r>
              <w:t xml:space="preserve">Field Operations Lead</w:t>
            </w:r>
          </w:p>
        </w:tc>
        <w:tc>
          <w:tcPr>
            <w:tcW w:type="auto" w:w="100"/>
            <w:vAlign w:val="center"/>
          </w:tcPr>
          <w:p>
            <w:r>
              <w:t xml:space="preserve">50% → 100% at pilot launch</w:t>
            </w:r>
          </w:p>
        </w:tc>
        <w:tc>
          <w:tcPr>
            <w:tcW w:type="auto" w:w="100"/>
            <w:vAlign w:val="center"/>
          </w:tcPr>
          <w:p>
            <w:r>
              <w:t xml:space="preserve">Merchant onboarding (≥50 SMEs), resident registration (≥500 households) [source: Stage 5]</w:t>
            </w:r>
          </w:p>
        </w:tc>
      </w:tr>
      <w:tr>
        <w:tc>
          <w:tcPr>
            <w:tcW w:type="auto" w:w="100"/>
            <w:vAlign w:val="center"/>
          </w:tcPr>
          <w:p>
            <w:r>
              <w:t xml:space="preserve">11</w:t>
            </w:r>
          </w:p>
        </w:tc>
        <w:tc>
          <w:tcPr>
            <w:tcW w:type="auto" w:w="100"/>
            <w:vAlign w:val="center"/>
          </w:tcPr>
          <w:p>
            <w:r>
              <w:t xml:space="preserve">Legal / Compliance Advisor</w:t>
            </w:r>
          </w:p>
        </w:tc>
        <w:tc>
          <w:tcPr>
            <w:tcW w:type="auto" w:w="100"/>
            <w:vAlign w:val="center"/>
          </w:tcPr>
          <w:p>
            <w:r>
              <w:t xml:space="preserve">20% (retainer)</w:t>
            </w:r>
          </w:p>
        </w:tc>
        <w:tc>
          <w:tcPr>
            <w:tcW w:type="auto" w:w="100"/>
            <w:vAlign w:val="center"/>
          </w:tcPr>
          <w:p>
            <w:r>
              <w:t xml:space="preserve">BOT guidance, PDPA compliance, MOU drafting, Krungthai contract review [source: Stage 5]</w:t>
            </w:r>
          </w:p>
        </w:tc>
      </w:tr>
      <w:tr>
        <w:tc>
          <w:tcPr>
            <w:tcW w:type="auto" w:w="100"/>
            <w:vAlign w:val="center"/>
          </w:tcPr>
          <w:p>
            <w:r>
              <w:t xml:space="preserve">12</w:t>
            </w:r>
          </w:p>
        </w:tc>
        <w:tc>
          <w:tcPr>
            <w:tcW w:type="auto" w:w="100"/>
            <w:vAlign w:val="center"/>
          </w:tcPr>
          <w:p>
            <w:r>
              <w:t xml:space="preserve">Hydrology / Flood Domain Expert</w:t>
            </w:r>
          </w:p>
        </w:tc>
        <w:tc>
          <w:tcPr>
            <w:tcW w:type="auto" w:w="100"/>
            <w:vAlign w:val="center"/>
          </w:tcPr>
          <w:p>
            <w:r>
              <w:t xml:space="preserve">30% (consultant)</w:t>
            </w:r>
          </w:p>
        </w:tc>
        <w:tc>
          <w:tcPr>
            <w:tcW w:type="auto" w:w="100"/>
            <w:vAlign w:val="center"/>
          </w:tcPr>
          <w:p>
            <w:r>
              <w:t xml:space="preserve">AI model validation, DEM quality assessment, prediction threshold calibration [source: Stage 5]</w:t>
            </w:r>
          </w:p>
        </w:tc>
      </w:tr>
      <w:tr>
        <w:tc>
          <w:tcPr>
            <w:tcW w:type="auto" w:w="100"/>
            <w:vAlign w:val="center"/>
          </w:tcPr>
          <w:p>
            <w:r>
              <w:t xml:space="preserve">13</w:t>
            </w:r>
          </w:p>
        </w:tc>
        <w:tc>
          <w:tcPr>
            <w:tcW w:type="auto" w:w="100"/>
            <w:vAlign w:val="center"/>
          </w:tcPr>
          <w:p>
            <w:r>
              <w:t xml:space="preserve">Community Engagement Coordinator</w:t>
            </w:r>
          </w:p>
        </w:tc>
        <w:tc>
          <w:tcPr>
            <w:tcW w:type="auto" w:w="100"/>
            <w:vAlign w:val="center"/>
          </w:tcPr>
          <w:p>
            <w:r>
              <w:t xml:space="preserve">50% → 100% at pilot launch</w:t>
            </w:r>
          </w:p>
        </w:tc>
        <w:tc>
          <w:tcPr>
            <w:tcW w:type="auto" w:w="100"/>
            <w:vAlign w:val="center"/>
          </w:tcPr>
          <w:p>
            <w:r>
              <w:t xml:space="preserve">อปท. relationships, อสม. activation, community feedback collection [source: Stage 5]</w:t>
            </w:r>
          </w:p>
        </w:tc>
      </w:tr>
    </w:tbl>
    <w:p>
      <w:r>
        <w:rPr>
          <w:b/>
          <w:bCs/>
        </w:rPr>
        <w:t xml:space="preserve">Total: 15 people</w:t>
      </w:r>
      <w:r>
        <w:t xml:space="preserve"> (11 core + 4 extended) [source: Stage 5]</w:t>
      </w:r>
    </w:p>
    <w:p>
      <w:r>
        <w:rPr>
          <w:b/>
          <w:bCs/>
        </w:rPr>
        <w:t xml:space="preserve">Key gaps identified:</w:t>
      </w:r>
      <w:r>
        <w:t xml:space="preserve"> Hydrology domain expertise (High severity), fintech regulatory navigation (High), community trust/cultural competence (Medium), GIS specialist scarcity (Medium), single-point-of-failure on GIS/Fintech/DevOps roles (Medium) [source: Stage 5]</w:t>
      </w:r>
    </w:p>
    <w:p>
      <w:pPr>
        <w:pBdr>
          <w:top w:val="single" w:sz="6"/>
        </w:pBdr>
      </w:pPr>
    </w:p>
    <w:p>
      <w:pPr>
        <w:pStyle w:val="Heading1"/>
      </w:pPr>
      <w:bookmarkStart w:name="12-timeline" w:id="1"/>
      <w:r>
        <w:t xml:space="preserve">12. Timeline</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Phase</w:t>
            </w:r>
          </w:p>
        </w:tc>
        <w:tc>
          <w:tcPr>
            <w:tcW w:type="auto" w:w="100"/>
            <w:shd w:fill="b79c2f" w:val="solid"/>
            <w:vAlign w:val="center"/>
          </w:tcPr>
          <w:p>
            <w:pPr>
              <w:jc w:val="center"/>
            </w:pPr>
            <w:r>
              <w:rPr>
                <w:b/>
                <w:bCs/>
              </w:rPr>
              <w:t xml:space="preserve">Period</w:t>
            </w:r>
          </w:p>
        </w:tc>
        <w:tc>
          <w:tcPr>
            <w:tcW w:type="auto" w:w="100"/>
            <w:shd w:fill="b79c2f" w:val="solid"/>
            <w:vAlign w:val="center"/>
          </w:tcPr>
          <w:p>
            <w:pPr>
              <w:jc w:val="center"/>
            </w:pPr>
            <w:r>
              <w:rPr>
                <w:b/>
                <w:bCs/>
              </w:rPr>
              <w:t xml:space="preserve">Key Milestones</w:t>
            </w:r>
          </w:p>
        </w:tc>
      </w:tr>
      <w:tr>
        <w:tc>
          <w:tcPr>
            <w:tcW w:type="auto" w:w="100"/>
            <w:vAlign w:val="center"/>
          </w:tcPr>
          <w:p>
            <w:r>
              <w:rPr>
                <w:b/>
                <w:bCs/>
              </w:rPr>
              <w:t xml:space="preserve">Phase 0: Foundation</w:t>
            </w:r>
          </w:p>
        </w:tc>
        <w:tc>
          <w:tcPr>
            <w:tcW w:type="auto" w:w="100"/>
            <w:vAlign w:val="center"/>
          </w:tcPr>
          <w:p>
            <w:r>
              <w:t xml:space="preserve">Months 1–3</w:t>
            </w:r>
          </w:p>
        </w:tc>
        <w:tc>
          <w:tcPr>
            <w:tcW w:type="auto" w:w="100"/>
            <w:vAlign w:val="center"/>
          </w:tcPr>
          <w:p>
            <w:r>
              <w:t xml:space="preserve">Agency MOUs initiated (TMD/HII); Krungthai sandbox access; DEM acquisition via university partnership; core team onboarded [source: Stage 3 + Stage 5]</w:t>
            </w:r>
          </w:p>
        </w:tc>
      </w:tr>
      <w:tr>
        <w:tc>
          <w:tcPr>
            <w:tcW w:type="auto" w:w="100"/>
            <w:vAlign w:val="center"/>
          </w:tcPr>
          <w:p>
            <w:r>
              <w:rPr>
                <w:b/>
                <w:bCs/>
              </w:rPr>
              <w:t xml:space="preserve">Phase 1: Build</w:t>
            </w:r>
          </w:p>
        </w:tc>
        <w:tc>
          <w:tcPr>
            <w:tcW w:type="auto" w:w="100"/>
            <w:vAlign w:val="center"/>
          </w:tcPr>
          <w:p>
            <w:r>
              <w:t xml:space="preserve">Months 4–8</w:t>
            </w:r>
          </w:p>
        </w:tc>
        <w:tc>
          <w:tcPr>
            <w:tcW w:type="auto" w:w="100"/>
            <w:vAlign w:val="center"/>
          </w:tcPr>
          <w:p>
            <w:r>
              <w:t xml:space="preserve">P0 features developed; API integrations tested; prediction model trained on historical data; internal beta [source: Stage 3 + Stage 5]</w:t>
            </w:r>
          </w:p>
        </w:tc>
      </w:tr>
      <w:tr>
        <w:tc>
          <w:tcPr>
            <w:tcW w:type="auto" w:w="100"/>
            <w:vAlign w:val="center"/>
          </w:tcPr>
          <w:p>
            <w:r>
              <w:rPr>
                <w:b/>
                <w:bCs/>
              </w:rPr>
              <w:t xml:space="preserve">Phase 2: Pilot Launch</w:t>
            </w:r>
          </w:p>
        </w:tc>
        <w:tc>
          <w:tcPr>
            <w:tcW w:type="auto" w:w="100"/>
            <w:vAlign w:val="center"/>
          </w:tcPr>
          <w:p>
            <w:r>
              <w:t xml:space="preserve">Months 9–10</w:t>
            </w:r>
          </w:p>
        </w:tc>
        <w:tc>
          <w:tcPr>
            <w:tcW w:type="auto" w:w="100"/>
            <w:vAlign w:val="center"/>
          </w:tcPr>
          <w:p>
            <w:r>
              <w:t xml:space="preserve">Nakhon Pathom deployment; ≥500 households + ≥50 merchants onboarded; real-world flood testing (monsoon season) [source: Stage 3 + Stage 5]</w:t>
            </w:r>
          </w:p>
        </w:tc>
      </w:tr>
      <w:tr>
        <w:tc>
          <w:tcPr>
            <w:tcW w:type="auto" w:w="100"/>
            <w:vAlign w:val="center"/>
          </w:tcPr>
          <w:p>
            <w:r>
              <w:rPr>
                <w:b/>
                <w:bCs/>
              </w:rPr>
              <w:t xml:space="preserve">Phase 3: Iterate &amp; Scale</w:t>
            </w:r>
          </w:p>
        </w:tc>
        <w:tc>
          <w:tcPr>
            <w:tcW w:type="auto" w:w="100"/>
            <w:vAlign w:val="center"/>
          </w:tcPr>
          <w:p>
            <w:r>
              <w:t xml:space="preserve">Months 11–12</w:t>
            </w:r>
          </w:p>
        </w:tc>
        <w:tc>
          <w:tcPr>
            <w:tcW w:type="auto" w:w="100"/>
            <w:vAlign w:val="center"/>
          </w:tcPr>
          <w:p>
            <w:r>
              <w:t xml:space="preserve">P1 features added; อปท. welfare mode launched; performance optimization; pilot evaluation [source: Stage 3 + Stage 5]</w:t>
            </w:r>
          </w:p>
        </w:tc>
      </w:tr>
    </w:tbl>
    <w:p>
      <w:r>
        <w:rPr>
          <w:b/>
          <w:bCs/>
        </w:rPr>
        <w:t xml:space="preserve">Phase 1 entry gate:</w:t>
      </w:r>
      <w:r>
        <w:t xml:space="preserve"> ≥1 government data MOU signed, Krungthai sandbox access granted, DEM data confirmed, ≥8 of 11 core positions filled, cloud infrastructure provisioned [source: Stage 7]</w:t>
      </w:r>
    </w:p>
    <w:p>
      <w:r>
        <w:rPr>
          <w:b/>
          <w:bCs/>
        </w:rPr>
        <w:t xml:space="preserve">Timeline risks:</w:t>
      </w:r>
      <w:r>
        <w:t xml:space="preserve"> Government MOU negotiation (3–6 months) is the critical path item. Thailand's monsoon season (May–October) constrains live flood testing windows. [source: Stage 3 feasibility]</w:t>
      </w:r>
    </w:p>
    <w:p>
      <w:pPr>
        <w:pBdr>
          <w:top w:val="single" w:sz="6"/>
        </w:pBdr>
      </w:pPr>
    </w:p>
    <w:p>
      <w:pPr>
        <w:pStyle w:val="Heading1"/>
      </w:pPr>
      <w:bookmarkStart w:name="13-key-risks-&amp;-mitigations" w:id="1"/>
      <w:r>
        <w:t xml:space="preserve">13. Key Risks &amp; Mitigations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Risk</w:t>
            </w:r>
          </w:p>
        </w:tc>
        <w:tc>
          <w:tcPr>
            <w:tcW w:type="auto" w:w="100"/>
            <w:shd w:fill="b79c2f" w:val="solid"/>
            <w:vAlign w:val="center"/>
          </w:tcPr>
          <w:p>
            <w:pPr>
              <w:jc w:val="center"/>
            </w:pPr>
            <w:r>
              <w:rPr>
                <w:b/>
                <w:bCs/>
              </w:rPr>
              <w:t xml:space="preserve">Probability</w:t>
            </w:r>
          </w:p>
        </w:tc>
        <w:tc>
          <w:tcPr>
            <w:tcW w:type="auto" w:w="100"/>
            <w:shd w:fill="b79c2f" w:val="solid"/>
            <w:vAlign w:val="center"/>
          </w:tcPr>
          <w:p>
            <w:pPr>
              <w:jc w:val="center"/>
            </w:pPr>
            <w:r>
              <w:rPr>
                <w:b/>
                <w:bCs/>
              </w:rPr>
              <w:t xml:space="preserve">Impact</w:t>
            </w:r>
          </w:p>
        </w:tc>
        <w:tc>
          <w:tcPr>
            <w:tcW w:type="auto" w:w="100"/>
            <w:shd w:fill="b79c2f" w:val="solid"/>
            <w:vAlign w:val="center"/>
          </w:tcPr>
          <w:p>
            <w:pPr>
              <w:jc w:val="center"/>
            </w:pPr>
            <w:r>
              <w:rPr>
                <w:b/>
                <w:bCs/>
              </w:rPr>
              <w:t xml:space="preserve">Mitigation</w:t>
            </w:r>
          </w:p>
        </w:tc>
      </w:tr>
      <w:tr>
        <w:tc>
          <w:tcPr>
            <w:tcW w:type="auto" w:w="100"/>
            <w:vAlign w:val="center"/>
          </w:tcPr>
          <w:p>
            <w:r>
              <w:t xml:space="preserve">R1</w:t>
            </w:r>
          </w:p>
        </w:tc>
        <w:tc>
          <w:tcPr>
            <w:tcW w:type="auto" w:w="100"/>
            <w:vAlign w:val="center"/>
          </w:tcPr>
          <w:p>
            <w:r>
              <w:t xml:space="preserve">Government agencies refuse or delay API access (TMD, HII, RID, GISTDA)</w:t>
            </w:r>
          </w:p>
        </w:tc>
        <w:tc>
          <w:tcPr>
            <w:tcW w:type="auto" w:w="100"/>
            <w:vAlign w:val="center"/>
          </w:tcPr>
          <w:p>
            <w:r>
              <w:t xml:space="preserve">High</w:t>
            </w:r>
          </w:p>
        </w:tc>
        <w:tc>
          <w:tcPr>
            <w:tcW w:type="auto" w:w="100"/>
            <w:vAlign w:val="center"/>
          </w:tcPr>
          <w:p>
            <w:r>
              <w:t xml:space="preserve">Critical</w:t>
            </w:r>
          </w:p>
        </w:tc>
        <w:tc>
          <w:tcPr>
            <w:tcW w:type="auto" w:w="100"/>
            <w:vAlign w:val="center"/>
          </w:tcPr>
          <w:p>
            <w:r>
              <w:t xml:space="preserve">Engage via DEPA/NSTDA as intermediary; use publicly scraped ThaiWater data as interim fallback [source: Stage 3]</w:t>
            </w:r>
          </w:p>
        </w:tc>
      </w:tr>
      <w:tr>
        <w:tc>
          <w:tcPr>
            <w:tcW w:type="auto" w:w="100"/>
            <w:vAlign w:val="center"/>
          </w:tcPr>
          <w:p>
            <w:r>
              <w:t xml:space="preserve">R2</w:t>
            </w:r>
          </w:p>
        </w:tc>
        <w:tc>
          <w:tcPr>
            <w:tcW w:type="auto" w:w="100"/>
            <w:vAlign w:val="center"/>
          </w:tcPr>
          <w:p>
            <w:r>
              <w:t xml:space="preserve">Krungthai Bank declines partnership or imposes prohibitive terms</w:t>
            </w:r>
          </w:p>
        </w:tc>
        <w:tc>
          <w:tcPr>
            <w:tcW w:type="auto" w:w="100"/>
            <w:vAlign w:val="center"/>
          </w:tcPr>
          <w:p>
            <w:r>
              <w:t xml:space="preserve">Medium</w:t>
            </w:r>
          </w:p>
        </w:tc>
        <w:tc>
          <w:tcPr>
            <w:tcW w:type="auto" w:w="100"/>
            <w:vAlign w:val="center"/>
          </w:tcPr>
          <w:p>
            <w:r>
              <w:t xml:space="preserve">Critical</w:t>
            </w:r>
          </w:p>
        </w:tc>
        <w:tc>
          <w:tcPr>
            <w:tcW w:type="auto" w:w="100"/>
            <w:vAlign w:val="center"/>
          </w:tcPr>
          <w:p>
            <w:r>
              <w:t xml:space="preserve">Prepare alternative pipeline: Government Savings Bank, Bank for Agriculture (both government banks with welfare mandates) [source: Stage 3]</w:t>
            </w:r>
          </w:p>
        </w:tc>
      </w:tr>
      <w:tr>
        <w:tc>
          <w:tcPr>
            <w:tcW w:type="auto" w:w="100"/>
            <w:vAlign w:val="center"/>
          </w:tcPr>
          <w:p>
            <w:r>
              <w:t xml:space="preserve">R3</w:t>
            </w:r>
          </w:p>
        </w:tc>
        <w:tc>
          <w:tcPr>
            <w:tcW w:type="auto" w:w="100"/>
            <w:vAlign w:val="center"/>
          </w:tcPr>
          <w:p>
            <w:r>
              <w:t xml:space="preserve">Flood prediction model accuracy insufficient for street-level warnings</w:t>
            </w:r>
          </w:p>
        </w:tc>
        <w:tc>
          <w:tcPr>
            <w:tcW w:type="auto" w:w="100"/>
            <w:vAlign w:val="center"/>
          </w:tcPr>
          <w:p>
            <w:r>
              <w:t xml:space="preserve">Medium</w:t>
            </w:r>
          </w:p>
        </w:tc>
        <w:tc>
          <w:tcPr>
            <w:tcW w:type="auto" w:w="100"/>
            <w:vAlign w:val="center"/>
          </w:tcPr>
          <w:p>
            <w:r>
              <w:t xml:space="preserve">High</w:t>
            </w:r>
          </w:p>
        </w:tc>
        <w:tc>
          <w:tcPr>
            <w:tcW w:type="auto" w:w="100"/>
            <w:vAlign w:val="center"/>
          </w:tcPr>
          <w:p>
            <w:r>
              <w:t xml:space="preserve">Start at neighborhood-level (tambon) warnings; iterate toward higher resolution [source: Stage 3]</w:t>
            </w:r>
          </w:p>
        </w:tc>
      </w:tr>
      <w:tr>
        <w:tc>
          <w:tcPr>
            <w:tcW w:type="auto" w:w="100"/>
            <w:vAlign w:val="center"/>
          </w:tcPr>
          <w:p>
            <w:r>
              <w:t xml:space="preserve">R4</w:t>
            </w:r>
          </w:p>
        </w:tc>
        <w:tc>
          <w:tcPr>
            <w:tcW w:type="auto" w:w="100"/>
            <w:vAlign w:val="center"/>
          </w:tcPr>
          <w:p>
            <w:r>
              <w:t xml:space="preserve">Network infrastructure fails during major flood event</w:t>
            </w:r>
          </w:p>
        </w:tc>
        <w:tc>
          <w:tcPr>
            <w:tcW w:type="auto" w:w="100"/>
            <w:vAlign w:val="center"/>
          </w:tcPr>
          <w:p>
            <w:r>
              <w:t xml:space="preserve">High</w:t>
            </w:r>
          </w:p>
        </w:tc>
        <w:tc>
          <w:tcPr>
            <w:tcW w:type="auto" w:w="100"/>
            <w:vAlign w:val="center"/>
          </w:tcPr>
          <w:p>
            <w:r>
              <w:t xml:space="preserve">High</w:t>
            </w:r>
          </w:p>
        </w:tc>
        <w:tc>
          <w:tcPr>
            <w:tcW w:type="auto" w:w="100"/>
            <w:vAlign w:val="center"/>
          </w:tcPr>
          <w:p>
            <w:r>
              <w:t xml:space="preserve">4-layer offline-first architecture; pre-positioned printed QR voucher cards at Micro-Relief Stations [source: Stage 3]</w:t>
            </w:r>
          </w:p>
        </w:tc>
      </w:tr>
      <w:tr>
        <w:tc>
          <w:tcPr>
            <w:tcW w:type="auto" w:w="100"/>
            <w:vAlign w:val="center"/>
          </w:tcPr>
          <w:p>
            <w:r>
              <w:t xml:space="preserve">R5</w:t>
            </w:r>
          </w:p>
        </w:tc>
        <w:tc>
          <w:tcPr>
            <w:tcW w:type="auto" w:w="100"/>
            <w:vAlign w:val="center"/>
          </w:tcPr>
          <w:p>
            <w:r>
              <w:t xml:space="preserve">Low user adoption due to digital literacy barriers (41.90% rely on community leaders)</w:t>
            </w:r>
          </w:p>
        </w:tc>
        <w:tc>
          <w:tcPr>
            <w:tcW w:type="auto" w:w="100"/>
            <w:vAlign w:val="center"/>
          </w:tcPr>
          <w:p>
            <w:r>
              <w:t xml:space="preserve">Medium</w:t>
            </w:r>
          </w:p>
        </w:tc>
        <w:tc>
          <w:tcPr>
            <w:tcW w:type="auto" w:w="100"/>
            <w:vAlign w:val="center"/>
          </w:tcPr>
          <w:p>
            <w:r>
              <w:t xml:space="preserve">High</w:t>
            </w:r>
          </w:p>
        </w:tc>
        <w:tc>
          <w:tcPr>
            <w:tcW w:type="auto" w:w="100"/>
            <w:vAlign w:val="center"/>
          </w:tcPr>
          <w:p>
            <w:r>
              <w:t xml:space="preserve">Dual-channel strategy: digital app + อสม. community relay; year-round อปท. welfare builds familiarity [source: Stage 3 + Stage 2 market research]</w:t>
            </w:r>
          </w:p>
        </w:tc>
      </w:tr>
      <w:tr>
        <w:tc>
          <w:tcPr>
            <w:tcW w:type="auto" w:w="100"/>
            <w:vAlign w:val="center"/>
          </w:tcPr>
          <w:p>
            <w:r>
              <w:t xml:space="preserve">R6</w:t>
            </w:r>
          </w:p>
        </w:tc>
        <w:tc>
          <w:tcPr>
            <w:tcW w:type="auto" w:w="100"/>
            <w:vAlign w:val="center"/>
          </w:tcPr>
          <w:p>
            <w:r>
              <w:t xml:space="preserve">BOT tightens e-money or payment facilitating regulations</w:t>
            </w:r>
          </w:p>
        </w:tc>
        <w:tc>
          <w:tcPr>
            <w:tcW w:type="auto" w:w="100"/>
            <w:vAlign w:val="center"/>
          </w:tcPr>
          <w:p>
            <w:r>
              <w:t xml:space="preserve">Low</w:t>
            </w:r>
          </w:p>
        </w:tc>
        <w:tc>
          <w:tcPr>
            <w:tcW w:type="auto" w:w="100"/>
            <w:vAlign w:val="center"/>
          </w:tcPr>
          <w:p>
            <w:r>
              <w:t xml:space="preserve">Critical</w:t>
            </w:r>
          </w:p>
        </w:tc>
        <w:tc>
          <w:tcPr>
            <w:tcW w:type="auto" w:w="100"/>
            <w:vAlign w:val="center"/>
          </w:tcPr>
          <w:p>
            <w:r>
              <w:t xml:space="preserve">Banking partnership insulates from direct regulatory exposure; maintain compliance monitoring [source: Stage 3]</w:t>
            </w:r>
          </w:p>
        </w:tc>
      </w:tr>
      <w:tr>
        <w:tc>
          <w:tcPr>
            <w:tcW w:type="auto" w:w="100"/>
            <w:vAlign w:val="center"/>
          </w:tcPr>
          <w:p>
            <w:r>
              <w:t xml:space="preserve">R7</w:t>
            </w:r>
          </w:p>
        </w:tc>
        <w:tc>
          <w:tcPr>
            <w:tcW w:type="auto" w:w="100"/>
            <w:vAlign w:val="center"/>
          </w:tcPr>
          <w:p>
            <w:r>
              <w:t xml:space="preserve">Seasonal engagement drop between flood seasons</w:t>
            </w:r>
          </w:p>
        </w:tc>
        <w:tc>
          <w:tcPr>
            <w:tcW w:type="auto" w:w="100"/>
            <w:vAlign w:val="center"/>
          </w:tcPr>
          <w:p>
            <w:r>
              <w:t xml:space="preserve">Medium</w:t>
            </w:r>
          </w:p>
        </w:tc>
        <w:tc>
          <w:tcPr>
            <w:tcW w:type="auto" w:w="100"/>
            <w:vAlign w:val="center"/>
          </w:tcPr>
          <w:p>
            <w:r>
              <w:t xml:space="preserve">Medium</w:t>
            </w:r>
          </w:p>
        </w:tc>
        <w:tc>
          <w:tcPr>
            <w:tcW w:type="auto" w:w="100"/>
            <w:vAlign w:val="center"/>
          </w:tcPr>
          <w:p>
            <w:r>
              <w:t xml:space="preserve">Year-round อปท. welfare voucher distribution maintains continuous usage [source: Stage 3 + Stage 2 market research]</w:t>
            </w:r>
          </w:p>
        </w:tc>
      </w:tr>
    </w:tbl>
    <w:p>
      <w:pPr>
        <w:pBdr>
          <w:top w:val="single" w:sz="6"/>
        </w:pBdr>
      </w:pPr>
    </w:p>
    <w:p>
      <w:pPr>
        <w:pStyle w:val="Heading1"/>
      </w:pPr>
      <w:bookmarkStart w:name="14-open-assumptions" w:id="1"/>
      <w:r>
        <w:t xml:space="preserve">14. Open Assumptions</w:t>
      </w:r>
      <w:bookmarkEnd w:id="1"/>
    </w:p>
    <w:p>
      <w:r>
        <w:t xml:space="preserve">All assumptions have been resolved. None remain at </w:t>
      </w:r>
      <w:r>
        <w:rPr>
          <w:rStyle w:val="code"/>
          <w:rFonts w:ascii="Consolas" w:cs="Consolas" w:eastAsia="Consolas" w:hAnsi="Consolas"/>
        </w:rPr>
        <w:t xml:space="preserve">[status: unconfirmed]</w:t>
      </w:r>
      <w:r>
        <w:t xml:space="preserve">.</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Assumption</w:t>
            </w:r>
          </w:p>
        </w:tc>
        <w:tc>
          <w:tcPr>
            <w:tcW w:type="auto" w:w="100"/>
            <w:shd w:fill="b79c2f" w:val="solid"/>
            <w:vAlign w:val="center"/>
          </w:tcPr>
          <w:p>
            <w:pPr>
              <w:jc w:val="center"/>
            </w:pPr>
            <w:r>
              <w:rPr>
                <w:b/>
                <w:bCs/>
              </w:rPr>
              <w:t xml:space="preserve">Resolution</w:t>
            </w:r>
          </w:p>
        </w:tc>
        <w:tc>
          <w:tcPr>
            <w:tcW w:type="auto" w:w="100"/>
            <w:shd w:fill="b79c2f" w:val="solid"/>
            <w:vAlign w:val="center"/>
          </w:tcPr>
          <w:p>
            <w:pPr>
              <w:jc w:val="center"/>
            </w:pPr>
            <w:r>
              <w:rPr>
                <w:b/>
                <w:bCs/>
              </w:rPr>
              <w:t xml:space="preserve">Validation Plan</w:t>
            </w:r>
          </w:p>
        </w:tc>
      </w:tr>
      <w:tr>
        <w:tc>
          <w:tcPr>
            <w:tcW w:type="auto" w:w="100"/>
            <w:vAlign w:val="center"/>
          </w:tcPr>
          <w:p>
            <w:r>
              <w:t xml:space="preserve">A1</w:t>
            </w:r>
          </w:p>
        </w:tc>
        <w:tc>
          <w:tcPr>
            <w:tcW w:type="auto" w:w="100"/>
            <w:vAlign w:val="center"/>
          </w:tcPr>
          <w:p>
            <w:r>
              <w:t xml:space="preserve">Krungthai Open API supports voucher workflow</w:t>
            </w:r>
          </w:p>
        </w:tc>
        <w:tc>
          <w:tcPr>
            <w:tcW w:type="auto" w:w="100"/>
            <w:vAlign w:val="center"/>
          </w:tcPr>
          <w:p>
            <w:r>
              <w:t xml:space="preserve">CONFIRMED — Paotang/Khon La Khrueng proves capability</w:t>
            </w:r>
          </w:p>
        </w:tc>
        <w:tc>
          <w:tcPr>
            <w:tcW w:type="auto" w:w="100"/>
            <w:vAlign w:val="center"/>
          </w:tcPr>
          <w:p>
            <w:r>
              <w:t xml:space="preserve">Sandbox testing Phase 0 [source: participant]</w:t>
            </w:r>
          </w:p>
        </w:tc>
      </w:tr>
      <w:tr>
        <w:tc>
          <w:tcPr>
            <w:tcW w:type="auto" w:w="100"/>
            <w:vAlign w:val="center"/>
          </w:tcPr>
          <w:p>
            <w:r>
              <w:t xml:space="preserve">A2</w:t>
            </w:r>
          </w:p>
        </w:tc>
        <w:tc>
          <w:tcPr>
            <w:tcW w:type="auto" w:w="100"/>
            <w:vAlign w:val="center"/>
          </w:tcPr>
          <w:p>
            <w:r>
              <w:t xml:space="preserve">Government data ≤15 min intervals</w:t>
            </w:r>
          </w:p>
        </w:tc>
        <w:tc>
          <w:tcPr>
            <w:tcW w:type="auto" w:w="100"/>
            <w:vAlign w:val="center"/>
          </w:tcPr>
          <w:p>
            <w:r>
              <w:t xml:space="preserve">ACCEPTED WITH RATIONALE — time-series interpolation fallback</w:t>
            </w:r>
          </w:p>
        </w:tc>
        <w:tc>
          <w:tcPr>
            <w:tcW w:type="auto" w:w="100"/>
            <w:vAlign w:val="center"/>
          </w:tcPr>
          <w:p>
            <w:r>
              <w:t xml:space="preserve">API capability assessment per agency [source: participant]</w:t>
            </w:r>
          </w:p>
        </w:tc>
      </w:tr>
      <w:tr>
        <w:tc>
          <w:tcPr>
            <w:tcW w:type="auto" w:w="100"/>
            <w:vAlign w:val="center"/>
          </w:tcPr>
          <w:p>
            <w:r>
              <w:t xml:space="preserve">A3</w:t>
            </w:r>
          </w:p>
        </w:tc>
        <w:tc>
          <w:tcPr>
            <w:tcW w:type="auto" w:w="100"/>
            <w:vAlign w:val="center"/>
          </w:tcPr>
          <w:p>
            <w:r>
              <w:t xml:space="preserve">GISTDA DEM available for Nakhon Pathom</w:t>
            </w:r>
          </w:p>
        </w:tc>
        <w:tc>
          <w:tcPr>
            <w:tcW w:type="auto" w:w="100"/>
            <w:vAlign w:val="center"/>
          </w:tcPr>
          <w:p>
            <w:r>
              <w:t xml:space="preserve">CONFIRMED — university research partnership access route</w:t>
            </w:r>
          </w:p>
        </w:tc>
        <w:tc>
          <w:tcPr>
            <w:tcW w:type="auto" w:w="100"/>
            <w:vAlign w:val="center"/>
          </w:tcPr>
          <w:p>
            <w:r>
              <w:t xml:space="preserve">GISTDA inquiry via academic channel [source: participant]</w:t>
            </w:r>
          </w:p>
        </w:tc>
      </w:tr>
      <w:tr>
        <w:tc>
          <w:tcPr>
            <w:tcW w:type="auto" w:w="100"/>
            <w:vAlign w:val="center"/>
          </w:tcPr>
          <w:p>
            <w:r>
              <w:t xml:space="preserve">A4</w:t>
            </w:r>
          </w:p>
        </w:tc>
        <w:tc>
          <w:tcPr>
            <w:tcW w:type="auto" w:w="100"/>
            <w:vAlign w:val="center"/>
          </w:tcPr>
          <w:p>
            <w:r>
              <w:t xml:space="preserve">≥50 SMEs will register</w:t>
            </w:r>
          </w:p>
        </w:tc>
        <w:tc>
          <w:tcPr>
            <w:tcW w:type="auto" w:w="100"/>
            <w:vAlign w:val="center"/>
          </w:tcPr>
          <w:p>
            <w:r>
              <w:t xml:space="preserve">CONFIRMED — grassroots engagement + year-round welfare incentive</w:t>
            </w:r>
          </w:p>
        </w:tc>
        <w:tc>
          <w:tcPr>
            <w:tcW w:type="auto" w:w="100"/>
            <w:vAlign w:val="center"/>
          </w:tcPr>
          <w:p>
            <w:r>
              <w:t xml:space="preserve">Field survey Phase 0 [source: participant]</w:t>
            </w:r>
          </w:p>
        </w:tc>
      </w:tr>
      <w:tr>
        <w:tc>
          <w:tcPr>
            <w:tcW w:type="auto" w:w="100"/>
            <w:vAlign w:val="center"/>
          </w:tcPr>
          <w:p>
            <w:r>
              <w:t xml:space="preserve">A5</w:t>
            </w:r>
          </w:p>
        </w:tc>
        <w:tc>
          <w:tcPr>
            <w:tcW w:type="auto" w:w="100"/>
            <w:vAlign w:val="center"/>
          </w:tcPr>
          <w:p>
            <w:r>
              <w:t xml:space="preserve">อปท. legally able to route welfare via platform</w:t>
            </w:r>
          </w:p>
        </w:tc>
        <w:tc>
          <w:tcPr>
            <w:tcW w:type="auto" w:w="100"/>
            <w:vAlign w:val="center"/>
          </w:tcPr>
          <w:p>
            <w:r>
              <w:t xml:space="preserve">ACCEPTED WITH RATIONALE — Smart City sandbox framework</w:t>
            </w:r>
          </w:p>
        </w:tc>
        <w:tc>
          <w:tcPr>
            <w:tcW w:type="auto" w:w="100"/>
            <w:vAlign w:val="center"/>
          </w:tcPr>
          <w:p>
            <w:r>
              <w:t xml:space="preserve">Legal review + pilot อปท. engagement [source: participant]</w:t>
            </w:r>
          </w:p>
        </w:tc>
      </w:tr>
      <w:tr>
        <w:tc>
          <w:tcPr>
            <w:tcW w:type="auto" w:w="100"/>
            <w:vAlign w:val="center"/>
          </w:tcPr>
          <w:p>
            <w:r>
              <w:t xml:space="preserve">A6</w:t>
            </w:r>
          </w:p>
        </w:tc>
        <w:tc>
          <w:tcPr>
            <w:tcW w:type="auto" w:w="100"/>
            <w:vAlign w:val="center"/>
          </w:tcPr>
          <w:p>
            <w:r>
              <w:t xml:space="preserve">อสม. network available for coordination</w:t>
            </w:r>
          </w:p>
        </w:tc>
        <w:tc>
          <w:tcPr>
            <w:tcW w:type="auto" w:w="100"/>
            <w:vAlign w:val="center"/>
          </w:tcPr>
          <w:p>
            <w:r>
              <w:t xml:space="preserve">CONFIRMED — COVID-19 pandemic precedent</w:t>
            </w:r>
          </w:p>
        </w:tc>
        <w:tc>
          <w:tcPr>
            <w:tcW w:type="auto" w:w="100"/>
            <w:vAlign w:val="center"/>
          </w:tcPr>
          <w:p>
            <w:r>
              <w:t xml:space="preserve">Provincial Health Office engagement [source: participant]</w:t>
            </w:r>
          </w:p>
        </w:tc>
      </w:tr>
      <w:tr>
        <w:tc>
          <w:tcPr>
            <w:tcW w:type="auto" w:w="100"/>
            <w:vAlign w:val="center"/>
          </w:tcPr>
          <w:p>
            <w:r>
              <w:t xml:space="preserve">A7</w:t>
            </w:r>
          </w:p>
        </w:tc>
        <w:tc>
          <w:tcPr>
            <w:tcW w:type="auto" w:w="100"/>
            <w:vAlign w:val="center"/>
          </w:tcPr>
          <w:p>
            <w:r>
              <w:t xml:space="preserve">Pre-computed routing adequate</w:t>
            </w:r>
          </w:p>
        </w:tc>
        <w:tc>
          <w:tcPr>
            <w:tcW w:type="auto" w:w="100"/>
            <w:vAlign w:val="center"/>
          </w:tcPr>
          <w:p>
            <w:r>
              <w:t xml:space="preserve">CONFIRMED — standard practice for sub-second navigation</w:t>
            </w:r>
          </w:p>
        </w:tc>
        <w:tc>
          <w:tcPr>
            <w:tcW w:type="auto" w:w="100"/>
            <w:vAlign w:val="center"/>
          </w:tcPr>
          <w:p>
            <w:r>
              <w:t xml:space="preserve">Technical benchmarking Phase 1 [source: participant]</w:t>
            </w:r>
          </w:p>
        </w:tc>
      </w:tr>
      <w:tr>
        <w:tc>
          <w:tcPr>
            <w:tcW w:type="auto" w:w="100"/>
            <w:vAlign w:val="center"/>
          </w:tcPr>
          <w:p>
            <w:r>
              <w:t xml:space="preserve">A8</w:t>
            </w:r>
          </w:p>
        </w:tc>
        <w:tc>
          <w:tcPr>
            <w:tcW w:type="auto" w:w="100"/>
            <w:vAlign w:val="center"/>
          </w:tcPr>
          <w:p>
            <w:r>
              <w:t xml:space="preserve">Cloud costs within ฿600K–฿1.2M/year</w:t>
            </w:r>
          </w:p>
        </w:tc>
        <w:tc>
          <w:tcPr>
            <w:tcW w:type="auto" w:w="100"/>
            <w:vAlign w:val="center"/>
          </w:tcPr>
          <w:p>
            <w:r>
              <w:t xml:space="preserve">CONFIRMED — aligns with DEPA/NIA grant ranges</w:t>
            </w:r>
          </w:p>
        </w:tc>
        <w:tc>
          <w:tcPr>
            <w:tcW w:type="auto" w:w="100"/>
            <w:vAlign w:val="center"/>
          </w:tcPr>
          <w:p>
            <w:r>
              <w:t xml:space="preserve">AWS cost estimation [source: participant]</w:t>
            </w:r>
          </w:p>
        </w:tc>
      </w:tr>
      <w:tr>
        <w:tc>
          <w:tcPr>
            <w:tcW w:type="auto" w:w="100"/>
            <w:vAlign w:val="center"/>
          </w:tcPr>
          <w:p>
            <w:r>
              <w:t xml:space="preserve">A9</w:t>
            </w:r>
          </w:p>
        </w:tc>
        <w:tc>
          <w:tcPr>
            <w:tcW w:type="auto" w:w="100"/>
            <w:vAlign w:val="center"/>
          </w:tcPr>
          <w:p>
            <w:r>
              <w:t xml:space="preserve">Google Maps API pricing viable</w:t>
            </w:r>
          </w:p>
        </w:tc>
        <w:tc>
          <w:tcPr>
            <w:tcW w:type="auto" w:w="100"/>
            <w:vAlign w:val="center"/>
          </w:tcPr>
          <w:p>
            <w:r>
              <w:t xml:space="preserve">ACCEPTED WITH RATIONALE — Google for Startups credits + PWA tile caching</w:t>
            </w:r>
          </w:p>
        </w:tc>
        <w:tc>
          <w:tcPr>
            <w:tcW w:type="auto" w:w="100"/>
            <w:vAlign w:val="center"/>
          </w:tcPr>
          <w:p>
            <w:r>
              <w:t xml:space="preserve">Pricing calculator + credits application [source: participant]</w:t>
            </w:r>
          </w:p>
        </w:tc>
      </w:tr>
      <w:tr>
        <w:tc>
          <w:tcPr>
            <w:tcW w:type="auto" w:w="100"/>
            <w:vAlign w:val="center"/>
          </w:tcPr>
          <w:p>
            <w:r>
              <w:t xml:space="preserve">A10</w:t>
            </w:r>
          </w:p>
        </w:tc>
        <w:tc>
          <w:tcPr>
            <w:tcW w:type="auto" w:w="100"/>
            <w:vAlign w:val="center"/>
          </w:tcPr>
          <w:p>
            <w:r>
              <w:t xml:space="preserve">PWA sufficient on Thai Android devices</w:t>
            </w:r>
          </w:p>
        </w:tc>
        <w:tc>
          <w:tcPr>
            <w:tcW w:type="auto" w:w="100"/>
            <w:vAlign w:val="center"/>
          </w:tcPr>
          <w:p>
            <w:r>
              <w:t xml:space="preserve">CONFIRMED — bypasses App Store, minimal storage</w:t>
            </w:r>
          </w:p>
        </w:tc>
        <w:tc>
          <w:tcPr>
            <w:tcW w:type="auto" w:w="100"/>
            <w:vAlign w:val="center"/>
          </w:tcPr>
          <w:p>
            <w:r>
              <w:t xml:space="preserve">Device testing on Samsung A-series, OPPO, Vivo [source: participant]</w:t>
            </w:r>
          </w:p>
        </w:tc>
      </w:tr>
      <w:tr>
        <w:tc>
          <w:tcPr>
            <w:tcW w:type="auto" w:w="100"/>
            <w:vAlign w:val="center"/>
          </w:tcPr>
          <w:p>
            <w:r>
              <w:t xml:space="preserve">A11</w:t>
            </w:r>
          </w:p>
        </w:tc>
        <w:tc>
          <w:tcPr>
            <w:tcW w:type="auto" w:w="100"/>
            <w:vAlign w:val="center"/>
          </w:tcPr>
          <w:p>
            <w:r>
              <w:t xml:space="preserve">Kanit font renders cross-device</w:t>
            </w:r>
          </w:p>
        </w:tc>
        <w:tc>
          <w:tcPr>
            <w:tcW w:type="auto" w:w="100"/>
            <w:vAlign w:val="center"/>
          </w:tcPr>
          <w:p>
            <w:r>
              <w:t xml:space="preserve">CONFIRMED — low risk, Google Font</w:t>
            </w:r>
          </w:p>
        </w:tc>
        <w:tc>
          <w:tcPr>
            <w:tcW w:type="auto" w:w="100"/>
            <w:vAlign w:val="center"/>
          </w:tcPr>
          <w:p>
            <w:r>
              <w:t xml:space="preserve">Cross-browser testing [source: participant]</w:t>
            </w:r>
          </w:p>
        </w:tc>
      </w:tr>
    </w:tbl>
    <w:p>
      <w:pPr>
        <w:pBdr>
          <w:top w:val="single" w:sz="6"/>
        </w:pBdr>
      </w:pPr>
    </w:p>
    <w:p>
      <w:pPr>
        <w:pStyle w:val="Heading1"/>
      </w:pPr>
      <w:bookmarkStart w:name="15-decision-log" w:id="1"/>
      <w:r>
        <w:t xml:space="preserve">15. Decision Log</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Decision</w:t>
            </w:r>
          </w:p>
        </w:tc>
        <w:tc>
          <w:tcPr>
            <w:tcW w:type="auto" w:w="100"/>
            <w:shd w:fill="b79c2f" w:val="solid"/>
            <w:vAlign w:val="center"/>
          </w:tcPr>
          <w:p>
            <w:pPr>
              <w:jc w:val="center"/>
            </w:pPr>
            <w:r>
              <w:rPr>
                <w:b/>
                <w:bCs/>
              </w:rPr>
              <w:t xml:space="preserve">Rationale</w:t>
            </w:r>
          </w:p>
        </w:tc>
        <w:tc>
          <w:tcPr>
            <w:tcW w:type="auto" w:w="100"/>
            <w:shd w:fill="b79c2f" w:val="solid"/>
            <w:vAlign w:val="center"/>
          </w:tcPr>
          <w:p>
            <w:pPr>
              <w:jc w:val="center"/>
            </w:pPr>
            <w:r>
              <w:rPr>
                <w:b/>
                <w:bCs/>
              </w:rPr>
              <w:t xml:space="preserve">Stage</w:t>
            </w:r>
          </w:p>
        </w:tc>
        <w:tc>
          <w:tcPr>
            <w:tcW w:type="auto" w:w="100"/>
            <w:shd w:fill="b79c2f" w:val="solid"/>
            <w:vAlign w:val="center"/>
          </w:tcPr>
          <w:p>
            <w:pPr>
              <w:jc w:val="center"/>
            </w:pPr>
            <w:r>
              <w:rPr>
                <w:b/>
                <w:bCs/>
              </w:rPr>
              <w:t xml:space="preserve">Source</w:t>
            </w:r>
          </w:p>
        </w:tc>
      </w:tr>
      <w:tr>
        <w:tc>
          <w:tcPr>
            <w:tcW w:type="auto" w:w="100"/>
            <w:vAlign w:val="center"/>
          </w:tcPr>
          <w:p>
            <w:r>
              <w:t xml:space="preserve">D-01</w:t>
            </w:r>
          </w:p>
        </w:tc>
        <w:tc>
          <w:tcPr>
            <w:tcW w:type="auto" w:w="100"/>
            <w:vAlign w:val="center"/>
          </w:tcPr>
          <w:p>
            <w:r>
              <w:t xml:space="preserve">Pillar: 🌪️ Resilience Communities</w:t>
            </w:r>
          </w:p>
        </w:tc>
        <w:tc>
          <w:tcPr>
            <w:tcW w:type="auto" w:w="100"/>
            <w:vAlign w:val="center"/>
          </w:tcPr>
          <w:p>
            <w:r>
              <w:t xml:space="preserve">Participant's domain of concern — fragmented disaster management</w:t>
            </w:r>
          </w:p>
        </w:tc>
        <w:tc>
          <w:tcPr>
            <w:tcW w:type="auto" w:w="100"/>
            <w:vAlign w:val="center"/>
          </w:tcPr>
          <w:p>
            <w:r>
              <w:t xml:space="preserve">Step 0</w:t>
            </w:r>
          </w:p>
        </w:tc>
        <w:tc>
          <w:tcPr>
            <w:tcW w:type="auto" w:w="100"/>
            <w:vAlign w:val="center"/>
          </w:tcPr>
          <w:p>
            <w:r>
              <w:t xml:space="preserve">[source: participant]</w:t>
            </w:r>
          </w:p>
        </w:tc>
      </w:tr>
      <w:tr>
        <w:tc>
          <w:tcPr>
            <w:tcW w:type="auto" w:w="100"/>
            <w:vAlign w:val="center"/>
          </w:tcPr>
          <w:p>
            <w:r>
              <w:t xml:space="preserve">D-02</w:t>
            </w:r>
          </w:p>
        </w:tc>
        <w:tc>
          <w:tcPr>
            <w:tcW w:type="auto" w:w="100"/>
            <w:vAlign w:val="center"/>
          </w:tcPr>
          <w:p>
            <w:r>
              <w:t xml:space="preserve">Pilot: Nakhon Pathom &amp; Bangkok perimeter</w:t>
            </w:r>
          </w:p>
        </w:tc>
        <w:tc>
          <w:tcPr>
            <w:tcW w:type="auto" w:w="100"/>
            <w:vAlign w:val="center"/>
          </w:tcPr>
          <w:p>
            <w:r>
              <w:t xml:space="preserve">Tha Chin basin flood relevance; semi-urban SME ecosystem; Bangkok proximity</w:t>
            </w:r>
          </w:p>
        </w:tc>
        <w:tc>
          <w:tcPr>
            <w:tcW w:type="auto" w:w="100"/>
            <w:vAlign w:val="center"/>
          </w:tcPr>
          <w:p>
            <w:r>
              <w:t xml:space="preserve">Step 0</w:t>
            </w:r>
          </w:p>
        </w:tc>
        <w:tc>
          <w:tcPr>
            <w:tcW w:type="auto" w:w="100"/>
            <w:vAlign w:val="center"/>
          </w:tcPr>
          <w:p>
            <w:r>
              <w:t xml:space="preserve">[source: participant]</w:t>
            </w:r>
          </w:p>
        </w:tc>
      </w:tr>
      <w:tr>
        <w:tc>
          <w:tcPr>
            <w:tcW w:type="auto" w:w="100"/>
            <w:vAlign w:val="center"/>
          </w:tcPr>
          <w:p>
            <w:r>
              <w:t xml:space="preserve">D-03</w:t>
            </w:r>
          </w:p>
        </w:tc>
        <w:tc>
          <w:tcPr>
            <w:tcW w:type="auto" w:w="100"/>
            <w:vAlign w:val="center"/>
          </w:tcPr>
          <w:p>
            <w:r>
              <w:t xml:space="preserve">Three-track integration (Warning → Routing → Commerce)</w:t>
            </w:r>
          </w:p>
        </w:tc>
        <w:tc>
          <w:tcPr>
            <w:tcW w:type="auto" w:w="100"/>
            <w:vAlign w:val="center"/>
          </w:tcPr>
          <w:p>
            <w:r>
              <w:t xml:space="preserve">Integration is the white space; no existing platform combines all three</w:t>
            </w:r>
          </w:p>
        </w:tc>
        <w:tc>
          <w:tcPr>
            <w:tcW w:type="auto" w:w="100"/>
            <w:vAlign w:val="center"/>
          </w:tcPr>
          <w:p>
            <w:r>
              <w:t xml:space="preserve">Stage 1</w:t>
            </w:r>
          </w:p>
        </w:tc>
        <w:tc>
          <w:tcPr>
            <w:tcW w:type="auto" w:w="100"/>
            <w:vAlign w:val="center"/>
          </w:tcPr>
          <w:p>
            <w:r>
              <w:t xml:space="preserve">[source: participant]</w:t>
            </w:r>
          </w:p>
        </w:tc>
      </w:tr>
      <w:tr>
        <w:tc>
          <w:tcPr>
            <w:tcW w:type="auto" w:w="100"/>
            <w:vAlign w:val="center"/>
          </w:tcPr>
          <w:p>
            <w:r>
              <w:t xml:space="preserve">D-04</w:t>
            </w:r>
          </w:p>
        </w:tc>
        <w:tc>
          <w:tcPr>
            <w:tcW w:type="auto" w:w="100"/>
            <w:vAlign w:val="center"/>
          </w:tcPr>
          <w:p>
            <w:r>
              <w:t xml:space="preserve">Greenfield consumer-facing PWA</w:t>
            </w:r>
          </w:p>
        </w:tc>
        <w:tc>
          <w:tcPr>
            <w:tcW w:type="auto" w:w="100"/>
            <w:vAlign w:val="center"/>
          </w:tcPr>
          <w:p>
            <w:r>
              <w:t xml:space="preserve">New platform with public user base</w:t>
            </w:r>
          </w:p>
        </w:tc>
        <w:tc>
          <w:tcPr>
            <w:tcW w:type="auto" w:w="100"/>
            <w:vAlign w:val="center"/>
          </w:tcPr>
          <w:p>
            <w:r>
              <w:t xml:space="preserve">Stage 1</w:t>
            </w:r>
          </w:p>
        </w:tc>
        <w:tc>
          <w:tcPr>
            <w:tcW w:type="auto" w:w="100"/>
            <w:vAlign w:val="center"/>
          </w:tcPr>
          <w:p>
            <w:r>
              <w:t xml:space="preserve">[source: workflow]</w:t>
            </w:r>
          </w:p>
        </w:tc>
      </w:tr>
      <w:tr>
        <w:tc>
          <w:tcPr>
            <w:tcW w:type="auto" w:w="100"/>
            <w:vAlign w:val="center"/>
          </w:tcPr>
          <w:p>
            <w:r>
              <w:t xml:space="preserve">D-05</w:t>
            </w:r>
          </w:p>
        </w:tc>
        <w:tc>
          <w:tcPr>
            <w:tcW w:type="auto" w:w="100"/>
            <w:vAlign w:val="center"/>
          </w:tcPr>
          <w:p>
            <w:r>
              <w:t xml:space="preserve">All stages included (no skips)</w:t>
            </w:r>
          </w:p>
        </w:tc>
        <w:tc>
          <w:tcPr>
            <w:tcW w:type="auto" w:w="100"/>
            <w:vAlign w:val="center"/>
          </w:tcPr>
          <w:p>
            <w:r>
              <w:t xml:space="preserve">Greenfield consumer-facing requires full workflow</w:t>
            </w:r>
          </w:p>
        </w:tc>
        <w:tc>
          <w:tcPr>
            <w:tcW w:type="auto" w:w="100"/>
            <w:vAlign w:val="center"/>
          </w:tcPr>
          <w:p>
            <w:r>
              <w:t xml:space="preserve">Stage 1</w:t>
            </w:r>
          </w:p>
        </w:tc>
        <w:tc>
          <w:tcPr>
            <w:tcW w:type="auto" w:w="100"/>
            <w:vAlign w:val="center"/>
          </w:tcPr>
          <w:p>
            <w:r>
              <w:t xml:space="preserve">[source: workflow]</w:t>
            </w:r>
          </w:p>
        </w:tc>
      </w:tr>
      <w:tr>
        <w:tc>
          <w:tcPr>
            <w:tcW w:type="auto" w:w="100"/>
            <w:vAlign w:val="center"/>
          </w:tcPr>
          <w:p>
            <w:r>
              <w:t xml:space="preserve">D-06</w:t>
            </w:r>
          </w:p>
        </w:tc>
        <w:tc>
          <w:tcPr>
            <w:tcW w:type="auto" w:w="100"/>
            <w:vAlign w:val="center"/>
          </w:tcPr>
          <w:p>
            <w:r>
              <w:t xml:space="preserve">Deep Research for market analysis</w:t>
            </w:r>
          </w:p>
        </w:tc>
        <w:tc>
          <w:tcPr>
            <w:tcW w:type="auto" w:w="100"/>
            <w:vAlign w:val="center"/>
          </w:tcPr>
          <w:p>
            <w:r>
              <w:t xml:space="preserve">Complex multi-dimensional analysis across Thai government, humanitarian, fintech domains</w:t>
            </w:r>
          </w:p>
        </w:tc>
        <w:tc>
          <w:tcPr>
            <w:tcW w:type="auto" w:w="100"/>
            <w:vAlign w:val="center"/>
          </w:tcPr>
          <w:p>
            <w:r>
              <w:t xml:space="preserve">Stage 2</w:t>
            </w:r>
          </w:p>
        </w:tc>
        <w:tc>
          <w:tcPr>
            <w:tcW w:type="auto" w:w="100"/>
            <w:vAlign w:val="center"/>
          </w:tcPr>
          <w:p>
            <w:r>
              <w:t xml:space="preserve">[source: participant + workflow]</w:t>
            </w:r>
          </w:p>
        </w:tc>
      </w:tr>
      <w:tr>
        <w:tc>
          <w:tcPr>
            <w:tcW w:type="auto" w:w="100"/>
            <w:vAlign w:val="center"/>
          </w:tcPr>
          <w:p>
            <w:r>
              <w:t xml:space="preserve">D-07</w:t>
            </w:r>
          </w:p>
        </w:tc>
        <w:tc>
          <w:tcPr>
            <w:tcW w:type="auto" w:w="100"/>
            <w:vAlign w:val="center"/>
          </w:tcPr>
          <w:p>
            <w:r>
              <w:t xml:space="preserve">Krungthai banking partnership over direct BOT licensing</w:t>
            </w:r>
          </w:p>
        </w:tc>
        <w:tc>
          <w:tcPr>
            <w:tcW w:type="auto" w:w="100"/>
            <w:vAlign w:val="center"/>
          </w:tcPr>
          <w:p>
            <w:r>
              <w:t xml:space="preserve">Eliminates 6–12 month licensing; Paotang architecture proves viability</w:t>
            </w:r>
          </w:p>
        </w:tc>
        <w:tc>
          <w:tcPr>
            <w:tcW w:type="auto" w:w="100"/>
            <w:vAlign w:val="center"/>
          </w:tcPr>
          <w:p>
            <w:r>
              <w:t xml:space="preserve">Stage 3</w:t>
            </w:r>
          </w:p>
        </w:tc>
        <w:tc>
          <w:tcPr>
            <w:tcW w:type="auto" w:w="100"/>
            <w:vAlign w:val="center"/>
          </w:tcPr>
          <w:p>
            <w:r>
              <w:t xml:space="preserve">[source: compliance agent + web research]</w:t>
            </w:r>
          </w:p>
        </w:tc>
      </w:tr>
      <w:tr>
        <w:tc>
          <w:tcPr>
            <w:tcW w:type="auto" w:w="100"/>
            <w:vAlign w:val="center"/>
          </w:tcPr>
          <w:p>
            <w:r>
              <w:t xml:space="preserve">D-08</w:t>
            </w:r>
          </w:p>
        </w:tc>
        <w:tc>
          <w:tcPr>
            <w:tcW w:type="auto" w:w="100"/>
            <w:vAlign w:val="center"/>
          </w:tcPr>
          <w:p>
            <w:r>
              <w:t xml:space="preserve">4-layer offline-first architecture</w:t>
            </w:r>
          </w:p>
        </w:tc>
        <w:tc>
          <w:tcPr>
            <w:tcW w:type="auto" w:w="100"/>
            <w:vAlign w:val="center"/>
          </w:tcPr>
          <w:p>
            <w:r>
              <w:t xml:space="preserve">PWA cache → SMS → IoT edge → mesh/loudspeaker; graceful degradation</w:t>
            </w:r>
          </w:p>
        </w:tc>
        <w:tc>
          <w:tcPr>
            <w:tcW w:type="auto" w:w="100"/>
            <w:vAlign w:val="center"/>
          </w:tcPr>
          <w:p>
            <w:r>
              <w:t xml:space="preserve">Stage 3</w:t>
            </w:r>
          </w:p>
        </w:tc>
        <w:tc>
          <w:tcPr>
            <w:tcW w:type="auto" w:w="100"/>
            <w:vAlign w:val="center"/>
          </w:tcPr>
          <w:p>
            <w:r>
              <w:t xml:space="preserve">[source: platform agent]</w:t>
            </w:r>
          </w:p>
        </w:tc>
      </w:tr>
      <w:tr>
        <w:tc>
          <w:tcPr>
            <w:tcW w:type="auto" w:w="100"/>
            <w:vAlign w:val="center"/>
          </w:tcPr>
          <w:p>
            <w:r>
              <w:t xml:space="preserve">D-09</w:t>
            </w:r>
          </w:p>
        </w:tc>
        <w:tc>
          <w:tcPr>
            <w:tcW w:type="auto" w:w="100"/>
            <w:vAlign w:val="center"/>
          </w:tcPr>
          <w:p>
            <w:r>
              <w:t xml:space="preserve">อสม. community relay for non-digital users</w:t>
            </w:r>
          </w:p>
        </w:tc>
        <w:tc>
          <w:tcPr>
            <w:tcW w:type="auto" w:w="100"/>
            <w:vAlign w:val="center"/>
          </w:tcPr>
          <w:p>
            <w:r>
              <w:t xml:space="preserve">COVID-19 precedent validates; addresses 41.90% community-leader reliance</w:t>
            </w:r>
          </w:p>
        </w:tc>
        <w:tc>
          <w:tcPr>
            <w:tcW w:type="auto" w:w="100"/>
            <w:vAlign w:val="center"/>
          </w:tcPr>
          <w:p>
            <w:r>
              <w:t xml:space="preserve">Stage 3</w:t>
            </w:r>
          </w:p>
        </w:tc>
        <w:tc>
          <w:tcPr>
            <w:tcW w:type="auto" w:w="100"/>
            <w:vAlign w:val="center"/>
          </w:tcPr>
          <w:p>
            <w:r>
              <w:t xml:space="preserve">[source: participant + Stage 2 market research]</w:t>
            </w:r>
          </w:p>
        </w:tc>
      </w:tr>
      <w:tr>
        <w:tc>
          <w:tcPr>
            <w:tcW w:type="auto" w:w="100"/>
            <w:vAlign w:val="center"/>
          </w:tcPr>
          <w:p>
            <w:r>
              <w:t xml:space="preserve">D-10</w:t>
            </w:r>
          </w:p>
        </w:tc>
        <w:tc>
          <w:tcPr>
            <w:tcW w:type="auto" w:w="100"/>
            <w:vAlign w:val="center"/>
          </w:tcPr>
          <w:p>
            <w:r>
              <w:t xml:space="preserve">PromptPay QR as exclusive payment rail</w:t>
            </w:r>
          </w:p>
        </w:tc>
        <w:tc>
          <w:tcPr>
            <w:tcW w:type="auto" w:w="100"/>
            <w:vAlign w:val="center"/>
          </w:tcPr>
          <w:p>
            <w:r>
              <w:t xml:space="preserve">74M daily transactions; near-universal merchant QR</w:t>
            </w:r>
          </w:p>
        </w:tc>
        <w:tc>
          <w:tcPr>
            <w:tcW w:type="auto" w:w="100"/>
            <w:vAlign w:val="center"/>
          </w:tcPr>
          <w:p>
            <w:r>
              <w:t xml:space="preserve">Stage 4</w:t>
            </w:r>
          </w:p>
        </w:tc>
        <w:tc>
          <w:tcPr>
            <w:tcW w:type="auto" w:w="100"/>
            <w:vAlign w:val="center"/>
          </w:tcPr>
          <w:p>
            <w:r>
              <w:t xml:space="preserve">[source: participant + Stage 2 market research]</w:t>
            </w:r>
          </w:p>
        </w:tc>
      </w:tr>
      <w:tr>
        <w:tc>
          <w:tcPr>
            <w:tcW w:type="auto" w:w="100"/>
            <w:vAlign w:val="center"/>
          </w:tcPr>
          <w:p>
            <w:r>
              <w:t xml:space="preserve">D-11</w:t>
            </w:r>
          </w:p>
        </w:tc>
        <w:tc>
          <w:tcPr>
            <w:tcW w:type="auto" w:w="100"/>
            <w:vAlign w:val="center"/>
          </w:tcPr>
          <w:p>
            <w:r>
              <w:t xml:space="preserve">Software-first (no own sensor network)</w:t>
            </w:r>
          </w:p>
        </w:tc>
        <w:tc>
          <w:tcPr>
            <w:tcW w:type="auto" w:w="100"/>
            <w:vAlign w:val="center"/>
          </w:tcPr>
          <w:p>
            <w:r>
              <w:t xml:space="preserve">Consume TMD/HII/RID/GISTDA existing 4,000+ stations</w:t>
            </w:r>
          </w:p>
        </w:tc>
        <w:tc>
          <w:tcPr>
            <w:tcW w:type="auto" w:w="100"/>
            <w:vAlign w:val="center"/>
          </w:tcPr>
          <w:p>
            <w:r>
              <w:t xml:space="preserve">Stage 4</w:t>
            </w:r>
          </w:p>
        </w:tc>
        <w:tc>
          <w:tcPr>
            <w:tcW w:type="auto" w:w="100"/>
            <w:vAlign w:val="center"/>
          </w:tcPr>
          <w:p>
            <w:r>
              <w:t xml:space="preserve">[source: participant]</w:t>
            </w:r>
          </w:p>
        </w:tc>
      </w:tr>
      <w:tr>
        <w:tc>
          <w:tcPr>
            <w:tcW w:type="auto" w:w="100"/>
            <w:vAlign w:val="center"/>
          </w:tcPr>
          <w:p>
            <w:r>
              <w:t xml:space="preserve">D-12</w:t>
            </w:r>
          </w:p>
        </w:tc>
        <w:tc>
          <w:tcPr>
            <w:tcW w:type="auto" w:w="100"/>
            <w:vAlign w:val="center"/>
          </w:tcPr>
          <w:p>
            <w:r>
              <w:t xml:space="preserve">Soft UI + Clean White + Solid Blue + Kanit + icon-only</w:t>
            </w:r>
          </w:p>
        </w:tc>
        <w:tc>
          <w:tcPr>
            <w:tcW w:type="auto" w:w="100"/>
            <w:vAlign w:val="center"/>
          </w:tcPr>
          <w:p>
            <w:r>
              <w:t xml:space="preserve">Apple OS aesthetic; Thai typography; trust via blue</w:t>
            </w:r>
          </w:p>
        </w:tc>
        <w:tc>
          <w:tcPr>
            <w:tcW w:type="auto" w:w="100"/>
            <w:vAlign w:val="center"/>
          </w:tcPr>
          <w:p>
            <w:r>
              <w:t xml:space="preserve">Stage 4</w:t>
            </w:r>
          </w:p>
        </w:tc>
        <w:tc>
          <w:tcPr>
            <w:tcW w:type="auto" w:w="100"/>
            <w:vAlign w:val="center"/>
          </w:tcPr>
          <w:p>
            <w:r>
              <w:t xml:space="preserve">[source: participant SRS]</w:t>
            </w:r>
          </w:p>
        </w:tc>
      </w:tr>
      <w:tr>
        <w:tc>
          <w:tcPr>
            <w:tcW w:type="auto" w:w="100"/>
            <w:vAlign w:val="center"/>
          </w:tcPr>
          <w:p>
            <w:r>
              <w:t xml:space="preserve">D-13</w:t>
            </w:r>
          </w:p>
        </w:tc>
        <w:tc>
          <w:tcPr>
            <w:tcW w:type="auto" w:w="100"/>
            <w:vAlign w:val="center"/>
          </w:tcPr>
          <w:p>
            <w:r>
              <w:t xml:space="preserve">Dashboard/Homepage entry point (not forced map)</w:t>
            </w:r>
          </w:p>
        </w:tc>
        <w:tc>
          <w:tcPr>
            <w:tcW w:type="auto" w:w="100"/>
            <w:vAlign w:val="center"/>
          </w:tcPr>
          <w:p>
            <w:r>
              <w:t xml:space="preserve">Reduces cognitive load; shows summary first</w:t>
            </w:r>
          </w:p>
        </w:tc>
        <w:tc>
          <w:tcPr>
            <w:tcW w:type="auto" w:w="100"/>
            <w:vAlign w:val="center"/>
          </w:tcPr>
          <w:p>
            <w:r>
              <w:t xml:space="preserve">Stage 4</w:t>
            </w:r>
          </w:p>
        </w:tc>
        <w:tc>
          <w:tcPr>
            <w:tcW w:type="auto" w:w="100"/>
            <w:vAlign w:val="center"/>
          </w:tcPr>
          <w:p>
            <w:r>
              <w:t xml:space="preserve">[source: participant SRS]</w:t>
            </w:r>
          </w:p>
        </w:tc>
      </w:tr>
      <w:tr>
        <w:tc>
          <w:tcPr>
            <w:tcW w:type="auto" w:w="100"/>
            <w:vAlign w:val="center"/>
          </w:tcPr>
          <w:p>
            <w:r>
              <w:t xml:space="preserve">D-14</w:t>
            </w:r>
          </w:p>
        </w:tc>
        <w:tc>
          <w:tcPr>
            <w:tcW w:type="auto" w:w="100"/>
            <w:vAlign w:val="center"/>
          </w:tcPr>
          <w:p>
            <w:r>
              <w:t xml:space="preserve">12 P0 features as MVP scope</w:t>
            </w:r>
          </w:p>
        </w:tc>
        <w:tc>
          <w:tcPr>
            <w:tcW w:type="auto" w:w="100"/>
            <w:vAlign w:val="center"/>
          </w:tcPr>
          <w:p>
            <w:r>
              <w:t xml:space="preserve">Complete pipeline; anything less breaks integration value</w:t>
            </w:r>
          </w:p>
        </w:tc>
        <w:tc>
          <w:tcPr>
            <w:tcW w:type="auto" w:w="100"/>
            <w:vAlign w:val="center"/>
          </w:tcPr>
          <w:p>
            <w:r>
              <w:t xml:space="preserve">Stage 4</w:t>
            </w:r>
          </w:p>
        </w:tc>
        <w:tc>
          <w:tcPr>
            <w:tcW w:type="auto" w:w="100"/>
            <w:vAlign w:val="center"/>
          </w:tcPr>
          <w:p>
            <w:r>
              <w:t xml:space="preserve">[source: Stage 4 scope]</w:t>
            </w:r>
          </w:p>
        </w:tc>
      </w:tr>
      <w:tr>
        <w:tc>
          <w:tcPr>
            <w:tcW w:type="auto" w:w="100"/>
            <w:vAlign w:val="center"/>
          </w:tcPr>
          <w:p>
            <w:r>
              <w:t xml:space="preserve">D-15</w:t>
            </w:r>
          </w:p>
        </w:tc>
        <w:tc>
          <w:tcPr>
            <w:tcW w:type="auto" w:w="100"/>
            <w:vAlign w:val="center"/>
          </w:tcPr>
          <w:p>
            <w:r>
              <w:t xml:space="preserve">15-person team (11 core + 4 extended)</w:t>
            </w:r>
          </w:p>
        </w:tc>
        <w:tc>
          <w:tcPr>
            <w:tcW w:type="auto" w:w="100"/>
            <w:vAlign w:val="center"/>
          </w:tcPr>
          <w:p>
            <w:r>
              <w:t xml:space="preserve">Spans all P0 skill requirements</w:t>
            </w:r>
          </w:p>
        </w:tc>
        <w:tc>
          <w:tcPr>
            <w:tcW w:type="auto" w:w="100"/>
            <w:vAlign w:val="center"/>
          </w:tcPr>
          <w:p>
            <w:r>
              <w:t xml:space="preserve">Stage 5</w:t>
            </w:r>
          </w:p>
        </w:tc>
        <w:tc>
          <w:tcPr>
            <w:tcW w:type="auto" w:w="100"/>
            <w:vAlign w:val="center"/>
          </w:tcPr>
          <w:p>
            <w:r>
              <w:t xml:space="preserve">[source: Stage 5 team formation]</w:t>
            </w:r>
          </w:p>
        </w:tc>
      </w:tr>
      <w:tr>
        <w:tc>
          <w:tcPr>
            <w:tcW w:type="auto" w:w="100"/>
            <w:vAlign w:val="center"/>
          </w:tcPr>
          <w:p>
            <w:r>
              <w:t xml:space="preserve">D-16</w:t>
            </w:r>
          </w:p>
        </w:tc>
        <w:tc>
          <w:tcPr>
            <w:tcW w:type="auto" w:w="100"/>
            <w:vAlign w:val="center"/>
          </w:tcPr>
          <w:p>
            <w:r>
              <w:t xml:space="preserve">Phase 0 starts with API agreements + Krungthai sandbox</w:t>
            </w:r>
          </w:p>
        </w:tc>
        <w:tc>
          <w:tcPr>
            <w:tcW w:type="auto" w:w="100"/>
            <w:vAlign w:val="center"/>
          </w:tcPr>
          <w:p>
            <w:r>
              <w:t xml:space="preserve">Government MOU is critical path (3–6 months)</w:t>
            </w:r>
          </w:p>
        </w:tc>
        <w:tc>
          <w:tcPr>
            <w:tcW w:type="auto" w:w="100"/>
            <w:vAlign w:val="center"/>
          </w:tcPr>
          <w:p>
            <w:r>
              <w:t xml:space="preserve">Stage 5</w:t>
            </w:r>
          </w:p>
        </w:tc>
        <w:tc>
          <w:tcPr>
            <w:tcW w:type="auto" w:w="100"/>
            <w:vAlign w:val="center"/>
          </w:tcPr>
          <w:p>
            <w:r>
              <w:t xml:space="preserve">[source: Stage 3 dependencies]</w:t>
            </w:r>
          </w:p>
        </w:tc>
      </w:tr>
      <w:tr>
        <w:tc>
          <w:tcPr>
            <w:tcW w:type="auto" w:w="100"/>
            <w:vAlign w:val="center"/>
          </w:tcPr>
          <w:p>
            <w:r>
              <w:t xml:space="preserve">D-17</w:t>
            </w:r>
          </w:p>
        </w:tc>
        <w:tc>
          <w:tcPr>
            <w:tcW w:type="auto" w:w="100"/>
            <w:vAlign w:val="center"/>
          </w:tcPr>
          <w:p>
            <w:r>
              <w:t xml:space="preserve">PWA over native app for MVP</w:t>
            </w:r>
          </w:p>
        </w:tc>
        <w:tc>
          <w:tcPr>
            <w:tcW w:type="auto" w:w="100"/>
            <w:vAlign w:val="center"/>
          </w:tcPr>
          <w:p>
            <w:r>
              <w:t xml:space="preserve">Bypasses App Store delays; minimal storage; emergency deployment</w:t>
            </w:r>
          </w:p>
        </w:tc>
        <w:tc>
          <w:tcPr>
            <w:tcW w:type="auto" w:w="100"/>
            <w:vAlign w:val="center"/>
          </w:tcPr>
          <w:p>
            <w:r>
              <w:t xml:space="preserve">Stage 4/7</w:t>
            </w:r>
          </w:p>
        </w:tc>
        <w:tc>
          <w:tcPr>
            <w:tcW w:type="auto" w:w="100"/>
            <w:vAlign w:val="center"/>
          </w:tcPr>
          <w:p>
            <w:r>
              <w:t xml:space="preserve">[source: participant]</w:t>
            </w:r>
          </w:p>
        </w:tc>
      </w:tr>
      <w:tr>
        <w:tc>
          <w:tcPr>
            <w:tcW w:type="auto" w:w="100"/>
            <w:vAlign w:val="center"/>
          </w:tcPr>
          <w:p>
            <w:r>
              <w:t xml:space="preserve">D-18</w:t>
            </w:r>
          </w:p>
        </w:tc>
        <w:tc>
          <w:tcPr>
            <w:tcW w:type="auto" w:w="100"/>
            <w:vAlign w:val="center"/>
          </w:tcPr>
          <w:p>
            <w:r>
              <w:t xml:space="preserve">Smart City sandbox for อปท. welfare pilot</w:t>
            </w:r>
          </w:p>
        </w:tc>
        <w:tc>
          <w:tcPr>
            <w:tcW w:type="auto" w:w="100"/>
            <w:vAlign w:val="center"/>
          </w:tcPr>
          <w:p>
            <w:r>
              <w:t xml:space="preserve">Legal framework for digital welfare testing</w:t>
            </w:r>
          </w:p>
        </w:tc>
        <w:tc>
          <w:tcPr>
            <w:tcW w:type="auto" w:w="100"/>
            <w:vAlign w:val="center"/>
          </w:tcPr>
          <w:p>
            <w:r>
              <w:t xml:space="preserve">Stage 7</w:t>
            </w:r>
          </w:p>
        </w:tc>
        <w:tc>
          <w:tcPr>
            <w:tcW w:type="auto" w:w="100"/>
            <w:vAlign w:val="center"/>
          </w:tcPr>
          <w:p>
            <w:r>
              <w:t xml:space="preserve">[source: participant]</w:t>
            </w:r>
          </w:p>
        </w:tc>
      </w:tr>
      <w:tr>
        <w:tc>
          <w:tcPr>
            <w:tcW w:type="auto" w:w="100"/>
            <w:vAlign w:val="center"/>
          </w:tcPr>
          <w:p>
            <w:r>
              <w:t xml:space="preserve">D-19</w:t>
            </w:r>
          </w:p>
        </w:tc>
        <w:tc>
          <w:tcPr>
            <w:tcW w:type="auto" w:w="100"/>
            <w:vAlign w:val="center"/>
          </w:tcPr>
          <w:p>
            <w:r>
              <w:t xml:space="preserve">Time-series interpolation fallback for degraded data</w:t>
            </w:r>
          </w:p>
        </w:tc>
        <w:tc>
          <w:tcPr>
            <w:tcW w:type="auto" w:w="100"/>
            <w:vAlign w:val="center"/>
          </w:tcPr>
          <w:p>
            <w:r>
              <w:t xml:space="preserve">Maintains predictions if API frequency drops</w:t>
            </w:r>
          </w:p>
        </w:tc>
        <w:tc>
          <w:tcPr>
            <w:tcW w:type="auto" w:w="100"/>
            <w:vAlign w:val="center"/>
          </w:tcPr>
          <w:p>
            <w:r>
              <w:t xml:space="preserve">Stage 7</w:t>
            </w:r>
          </w:p>
        </w:tc>
        <w:tc>
          <w:tcPr>
            <w:tcW w:type="auto" w:w="100"/>
            <w:vAlign w:val="center"/>
          </w:tcPr>
          <w:p>
            <w:r>
              <w:t xml:space="preserve">[source: participant]</w:t>
            </w:r>
          </w:p>
        </w:tc>
      </w:tr>
      <w:tr>
        <w:tc>
          <w:tcPr>
            <w:tcW w:type="auto" w:w="100"/>
            <w:vAlign w:val="center"/>
          </w:tcPr>
          <w:p>
            <w:r>
              <w:t xml:space="preserve">D-20</w:t>
            </w:r>
          </w:p>
        </w:tc>
        <w:tc>
          <w:tcPr>
            <w:tcW w:type="auto" w:w="100"/>
            <w:vAlign w:val="center"/>
          </w:tcPr>
          <w:p>
            <w:r>
              <w:t xml:space="preserve">University partnership for GISTDA DEM access</w:t>
            </w:r>
          </w:p>
        </w:tc>
        <w:tc>
          <w:tcPr>
            <w:tcW w:type="auto" w:w="100"/>
            <w:vAlign w:val="center"/>
          </w:tcPr>
          <w:p>
            <w:r>
              <w:t xml:space="preserve">Academic route reduces/eliminates DEM cost</w:t>
            </w:r>
          </w:p>
        </w:tc>
        <w:tc>
          <w:tcPr>
            <w:tcW w:type="auto" w:w="100"/>
            <w:vAlign w:val="center"/>
          </w:tcPr>
          <w:p>
            <w:r>
              <w:t xml:space="preserve">Stage 7</w:t>
            </w:r>
          </w:p>
        </w:tc>
        <w:tc>
          <w:tcPr>
            <w:tcW w:type="auto" w:w="100"/>
            <w:vAlign w:val="center"/>
          </w:tcPr>
          <w:p>
            <w:r>
              <w:t xml:space="preserve">[source: participant]</w:t>
            </w:r>
          </w:p>
        </w:tc>
      </w:tr>
      <w:tr>
        <w:tc>
          <w:tcPr>
            <w:tcW w:type="auto" w:w="100"/>
            <w:vAlign w:val="center"/>
          </w:tcPr>
          <w:p>
            <w:r>
              <w:t xml:space="preserve">D-21</w:t>
            </w:r>
          </w:p>
        </w:tc>
        <w:tc>
          <w:tcPr>
            <w:tcW w:type="auto" w:w="100"/>
            <w:vAlign w:val="center"/>
          </w:tcPr>
          <w:p>
            <w:r>
              <w:t xml:space="preserve">Google for Startups credits + tile caching</w:t>
            </w:r>
          </w:p>
        </w:tc>
        <w:tc>
          <w:tcPr>
            <w:tcW w:type="auto" w:w="100"/>
            <w:vAlign w:val="center"/>
          </w:tcPr>
          <w:p>
            <w:r>
              <w:t xml:space="preserve">Dual cost mitigation for Maps API</w:t>
            </w:r>
          </w:p>
        </w:tc>
        <w:tc>
          <w:tcPr>
            <w:tcW w:type="auto" w:w="100"/>
            <w:vAlign w:val="center"/>
          </w:tcPr>
          <w:p>
            <w:r>
              <w:t xml:space="preserve">Stage 7</w:t>
            </w:r>
          </w:p>
        </w:tc>
        <w:tc>
          <w:tcPr>
            <w:tcW w:type="auto" w:w="100"/>
            <w:vAlign w:val="center"/>
          </w:tcPr>
          <w:p>
            <w:r>
              <w:t xml:space="preserve">[source: participant]</w:t>
            </w:r>
          </w:p>
        </w:tc>
      </w:tr>
    </w:tbl>
    <w:p>
      <w:r>
        <w:rPr>
          <w:b/>
          <w:bCs/>
        </w:rPr>
        <w:t xml:space="preserve">Corrections Log:</w:t>
      </w:r>
      <w:r>
        <w:t xml:space="preserve"> No corrections were required during this workflow run. </w:t>
      </w:r>
      <w:r>
        <w:rPr>
          <w:rStyle w:val="code"/>
          <w:rFonts w:ascii="Consolas" w:cs="Consolas" w:eastAsia="Consolas" w:hAnsi="Consolas"/>
        </w:rPr>
        <w:t xml:space="preserve">[correction: none]</w:t>
      </w:r>
    </w:p>
    <w:p>
      <w:pPr>
        <w:pBdr>
          <w:top w:val="single" w:sz="6"/>
        </w:pBdr>
      </w:pPr>
    </w:p>
    <w:p>
      <w:pPr>
        <w:pStyle w:val="Heading1"/>
      </w:pPr>
      <w:bookmarkStart w:name="16-go-/-no-go" w:id="1"/>
      <w:r>
        <w:t xml:space="preserve">16. Go / No-Go</w:t>
      </w:r>
      <w:bookmarkEnd w:id="1"/>
    </w:p>
    <w:p>
      <w:r>
        <w:rPr>
          <w:b/>
          <w:bCs/>
        </w:rPr>
        <w:t xml:space="preserve">Recommendation: CONDITIONAL GO</w:t>
      </w:r>
      <w:r>
        <w:t xml:space="preserve"> 🟢🟡</w:t>
      </w:r>
    </w:p>
    <w:p>
      <w:r>
        <w:rPr>
          <w:b/>
          <w:bCs/>
        </w:rPr>
        <w:t xml:space="preserve">Confidence Level: 70%</w:t>
      </w:r>
    </w:p>
    <w:p>
      <w:r>
        <w:rPr>
          <w:b/>
          <w:bCs/>
        </w:rPr>
        <w:t xml:space="preserve">Rationale:</w:t>
      </w:r>
    </w:p>
    <w:p>
      <w:r>
        <w:t xml:space="preserve">The D2C Mesh addresses a validated gap (72.31% of floods without warning despite ฿billions in infrastructure) [source: Stage 2 market research], occupies a genuine white space (no integrated warning-to-commerce platform exists) [source: Stage 2 market research], and is uniquely enabled by Thailand's mature PromptPay infrastructure (74M daily transactions, near-universal merchant QR) [source: Stage 2 market research]. All 11 assumptions resolved (9 confirmed, 3 accepted with rationale) [source: Stage 7]. All 4 reviewer checks passed [source: Stage 7].</w:t>
      </w:r>
    </w:p>
    <w:p>
      <w:r>
        <w:rPr>
          <w:b/>
          <w:bCs/>
        </w:rPr>
        <w:t xml:space="preserve">Conditions for maintaining GO:</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gridCol w:w="100"/>
      </w:tblGrid>
      <w:tr>
        <w:trPr>
          <w:tblHeader/>
        </w:trPr>
        <w:tc>
          <w:tcPr>
            <w:tcW w:type="auto" w:w="100"/>
            <w:shd w:fill="b79c2f" w:val="solid"/>
            <w:vAlign w:val="center"/>
          </w:tcPr>
          <w:p>
            <w:pPr>
              <w:jc w:val="center"/>
            </w:pPr>
            <w:r>
              <w:rPr>
                <w:b/>
                <w:bCs/>
              </w:rPr>
              <w:t xml:space="preserve">#</w:t>
            </w:r>
          </w:p>
        </w:tc>
        <w:tc>
          <w:tcPr>
            <w:tcW w:type="auto" w:w="100"/>
            <w:shd w:fill="b79c2f" w:val="solid"/>
            <w:vAlign w:val="center"/>
          </w:tcPr>
          <w:p>
            <w:pPr>
              <w:jc w:val="center"/>
            </w:pPr>
            <w:r>
              <w:rPr>
                <w:b/>
                <w:bCs/>
              </w:rPr>
              <w:t xml:space="preserve">Condition</w:t>
            </w:r>
          </w:p>
        </w:tc>
        <w:tc>
          <w:tcPr>
            <w:tcW w:type="auto" w:w="100"/>
            <w:shd w:fill="b79c2f" w:val="solid"/>
            <w:vAlign w:val="center"/>
          </w:tcPr>
          <w:p>
            <w:pPr>
              <w:jc w:val="center"/>
            </w:pPr>
            <w:r>
              <w:rPr>
                <w:b/>
                <w:bCs/>
              </w:rPr>
              <w:t xml:space="preserve">Deadline</w:t>
            </w:r>
          </w:p>
        </w:tc>
        <w:tc>
          <w:tcPr>
            <w:tcW w:type="auto" w:w="100"/>
            <w:shd w:fill="b79c2f" w:val="solid"/>
            <w:vAlign w:val="center"/>
          </w:tcPr>
          <w:p>
            <w:pPr>
              <w:jc w:val="center"/>
            </w:pPr>
            <w:r>
              <w:rPr>
                <w:b/>
                <w:bCs/>
              </w:rPr>
              <w:t xml:space="preserve">Fallback</w:t>
            </w:r>
          </w:p>
        </w:tc>
      </w:tr>
      <w:tr>
        <w:tc>
          <w:tcPr>
            <w:tcW w:type="auto" w:w="100"/>
            <w:vAlign w:val="center"/>
          </w:tcPr>
          <w:p>
            <w:r>
              <w:t xml:space="preserve">1</w:t>
            </w:r>
          </w:p>
        </w:tc>
        <w:tc>
          <w:tcPr>
            <w:tcW w:type="auto" w:w="100"/>
            <w:vAlign w:val="center"/>
          </w:tcPr>
          <w:p>
            <w:r>
              <w:t xml:space="preserve">Krungthai Bank partnership or alternative government bank</w:t>
            </w:r>
          </w:p>
        </w:tc>
        <w:tc>
          <w:tcPr>
            <w:tcW w:type="auto" w:w="100"/>
            <w:vAlign w:val="center"/>
          </w:tcPr>
          <w:p>
            <w:r>
              <w:t xml:space="preserve">Month 3</w:t>
            </w:r>
          </w:p>
        </w:tc>
        <w:tc>
          <w:tcPr>
            <w:tcW w:type="auto" w:w="100"/>
            <w:vAlign w:val="center"/>
          </w:tcPr>
          <w:p>
            <w:r>
              <w:t xml:space="preserve">Approach GSB or BAAC [source: Stage 7]</w:t>
            </w:r>
          </w:p>
        </w:tc>
      </w:tr>
      <w:tr>
        <w:tc>
          <w:tcPr>
            <w:tcW w:type="auto" w:w="100"/>
            <w:vAlign w:val="center"/>
          </w:tcPr>
          <w:p>
            <w:r>
              <w:t xml:space="preserve">2</w:t>
            </w:r>
          </w:p>
        </w:tc>
        <w:tc>
          <w:tcPr>
            <w:tcW w:type="auto" w:w="100"/>
            <w:vAlign w:val="center"/>
          </w:tcPr>
          <w:p>
            <w:r>
              <w:t xml:space="preserve">≥1 government data MOU (TMD or HII)</w:t>
            </w:r>
          </w:p>
        </w:tc>
        <w:tc>
          <w:tcPr>
            <w:tcW w:type="auto" w:w="100"/>
            <w:vAlign w:val="center"/>
          </w:tcPr>
          <w:p>
            <w:r>
              <w:t xml:space="preserve">Month 4</w:t>
            </w:r>
          </w:p>
        </w:tc>
        <w:tc>
          <w:tcPr>
            <w:tcW w:type="auto" w:w="100"/>
            <w:vAlign w:val="center"/>
          </w:tcPr>
          <w:p>
            <w:r>
              <w:t xml:space="preserve">Crowdsource-only model (Traffy Fondue + community reports) [source: Stage 7]</w:t>
            </w:r>
          </w:p>
        </w:tc>
      </w:tr>
      <w:tr>
        <w:tc>
          <w:tcPr>
            <w:tcW w:type="auto" w:w="100"/>
            <w:vAlign w:val="center"/>
          </w:tcPr>
          <w:p>
            <w:r>
              <w:t xml:space="preserve">3</w:t>
            </w:r>
          </w:p>
        </w:tc>
        <w:tc>
          <w:tcPr>
            <w:tcW w:type="auto" w:w="100"/>
            <w:vAlign w:val="center"/>
          </w:tcPr>
          <w:p>
            <w:r>
              <w:t xml:space="preserve">High-resolution DEM confirmed for Nakhon Pathom</w:t>
            </w:r>
          </w:p>
        </w:tc>
        <w:tc>
          <w:tcPr>
            <w:tcW w:type="auto" w:w="100"/>
            <w:vAlign w:val="center"/>
          </w:tcPr>
          <w:p>
            <w:r>
              <w:t xml:space="preserve">Month 2</w:t>
            </w:r>
          </w:p>
        </w:tc>
        <w:tc>
          <w:tcPr>
            <w:tcW w:type="auto" w:w="100"/>
            <w:vAlign w:val="center"/>
          </w:tcPr>
          <w:p>
            <w:r>
              <w:t xml:space="preserve">Degrade to tambon-level predictions [source: Stage 7]</w:t>
            </w:r>
          </w:p>
        </w:tc>
      </w:tr>
    </w:tbl>
    <w:p>
      <w:pPr>
        <w:pBdr>
          <w:top w:val="single" w:sz="6"/>
        </w:pBdr>
      </w:pPr>
    </w:p>
    <w:p>
      <w:pPr>
        <w:pStyle w:val="Heading1"/>
      </w:pPr>
      <w:bookmarkStart w:name="17-evidence-&amp;-sources" w:id="1"/>
      <w:r>
        <w:t xml:space="preserve">17. Evidence &amp; Sources</w:t>
      </w:r>
      <w:bookmarkEnd w:id="1"/>
    </w:p>
    <w:p>
      <w:r>
        <w:rPr>
          <w:b/>
          <w:bCs/>
        </w:rPr>
        <w:t xml:space="preserve">Stage 2 Market Research (Deep Research) — external citations:</w:t>
      </w:r>
    </w:p>
    <w:p>
      <w:pPr>
        <w:pStyle w:val="ListParagraph"/>
        <w:pStyle w:val="ListParagraph"/>
        <w:numPr>
          <w:ilvl w:val="0"/>
          <w:numId w:val="1"/>
        </w:numPr>
        <w:numPr>
          <w:ilvl w:val="0"/>
          <w:numId w:val="9"/>
        </w:numPr>
      </w:pPr>
      <w:r>
        <w:t xml:space="preserve">Thailand State Audit Office: 72.31% of flood incidents (2021–2024) without prior warning; 46.17% of at-risk villages lack warning stations; 60.66% of warning stations located outside officially designated risk zones; 41.90% receive disaster info via community leaders [source: Stage 2 market research]</w:t>
      </w:r>
    </w:p>
    <w:p>
      <w:pPr>
        <w:pStyle w:val="ListParagraph"/>
        <w:pStyle w:val="ListParagraph"/>
        <w:numPr>
          <w:ilvl w:val="0"/>
          <w:numId w:val="1"/>
        </w:numPr>
        <w:numPr>
          <w:ilvl w:val="0"/>
          <w:numId w:val="9"/>
        </w:numPr>
      </w:pPr>
      <w:r>
        <w:t xml:space="preserve">HII (Hydro-Informatics Institute): 4,000+ telemetry stations nationwide [source: Stage 2 market research]</w:t>
      </w:r>
    </w:p>
    <w:p>
      <w:pPr>
        <w:pStyle w:val="ListParagraph"/>
        <w:pStyle w:val="ListParagraph"/>
        <w:numPr>
          <w:ilvl w:val="0"/>
          <w:numId w:val="1"/>
        </w:numPr>
        <w:numPr>
          <w:ilvl w:val="0"/>
          <w:numId w:val="9"/>
        </w:numPr>
      </w:pPr>
      <w:r>
        <w:t xml:space="preserve">GISTDA: THEOS-2 satellite (50 cm resolution); One Map Water dashboard (Sep 2026) [source: Stage 2 market research]</w:t>
      </w:r>
    </w:p>
    <w:p>
      <w:pPr>
        <w:pStyle w:val="ListParagraph"/>
        <w:pStyle w:val="ListParagraph"/>
        <w:numPr>
          <w:ilvl w:val="0"/>
          <w:numId w:val="1"/>
        </w:numPr>
        <w:numPr>
          <w:ilvl w:val="0"/>
          <w:numId w:val="9"/>
        </w:numPr>
      </w:pPr>
      <w:r>
        <w:t xml:space="preserve">PromptPay: 74 million daily transactions; 83 million registered users [source: Stage 2 market research]</w:t>
      </w:r>
    </w:p>
    <w:p>
      <w:pPr>
        <w:pStyle w:val="ListParagraph"/>
        <w:pStyle w:val="ListParagraph"/>
        <w:numPr>
          <w:ilvl w:val="0"/>
          <w:numId w:val="1"/>
        </w:numPr>
        <w:numPr>
          <w:ilvl w:val="0"/>
          <w:numId w:val="9"/>
        </w:numPr>
      </w:pPr>
      <w:r>
        <w:t xml:space="preserve">Krungthai Bank: Paotang app — 40 million users; Open API portal with App-to-App auth; Khon La Khrueng co-payment model (60% subsidy, 200 baht/day cap, 1,000 baht/month) [source: Stage 2 market research]</w:t>
      </w:r>
    </w:p>
    <w:p>
      <w:pPr>
        <w:pStyle w:val="ListParagraph"/>
        <w:pStyle w:val="ListParagraph"/>
        <w:numPr>
          <w:ilvl w:val="0"/>
          <w:numId w:val="1"/>
        </w:numPr>
        <w:numPr>
          <w:ilvl w:val="0"/>
          <w:numId w:val="9"/>
        </w:numPr>
      </w:pPr>
      <w:r>
        <w:t xml:space="preserve">Thailand's 7,800 อปท. (Local Administrative Organizations): no standardized digital welfare distribution platform [source: Stage 2 market research]</w:t>
      </w:r>
    </w:p>
    <w:p>
      <w:pPr>
        <w:pStyle w:val="ListParagraph"/>
        <w:pStyle w:val="ListParagraph"/>
        <w:numPr>
          <w:ilvl w:val="0"/>
          <w:numId w:val="1"/>
        </w:numPr>
        <w:numPr>
          <w:ilvl w:val="0"/>
          <w:numId w:val="9"/>
        </w:numPr>
      </w:pPr>
      <w:r>
        <w:t xml:space="preserve">Mott MacDonald / UK FCDO: Bangkok real-time stormwater flood forecasting pilot [source: Stage 2 market research]</w:t>
      </w:r>
    </w:p>
    <w:p>
      <w:pPr>
        <w:pStyle w:val="ListParagraph"/>
        <w:pStyle w:val="ListParagraph"/>
        <w:numPr>
          <w:ilvl w:val="0"/>
          <w:numId w:val="1"/>
        </w:numPr>
        <w:numPr>
          <w:ilvl w:val="0"/>
          <w:numId w:val="9"/>
        </w:numPr>
      </w:pPr>
      <w:r>
        <w:t xml:space="preserve">KMITL: AIoT system with YOLOv10 + LSTM for flash-flood detection [source: Stage 2 market research]</w:t>
      </w:r>
    </w:p>
    <w:p>
      <w:pPr>
        <w:pStyle w:val="ListParagraph"/>
        <w:pStyle w:val="ListParagraph"/>
        <w:numPr>
          <w:ilvl w:val="0"/>
          <w:numId w:val="1"/>
        </w:numPr>
        <w:numPr>
          <w:ilvl w:val="0"/>
          <w:numId w:val="9"/>
        </w:numPr>
      </w:pPr>
      <w:r>
        <w:t xml:space="preserve">FloodMapp + Waze (Norfolk, Virginia): GIS flood model overlay on road network routing [source: Stage 2 market research]</w:t>
      </w:r>
    </w:p>
    <w:p>
      <w:pPr>
        <w:pStyle w:val="ListParagraph"/>
        <w:pStyle w:val="ListParagraph"/>
        <w:numPr>
          <w:ilvl w:val="0"/>
          <w:numId w:val="1"/>
        </w:numPr>
        <w:numPr>
          <w:ilvl w:val="0"/>
          <w:numId w:val="9"/>
        </w:numPr>
      </w:pPr>
      <w:r>
        <w:t xml:space="preserve">WFP Building Blocks: Blockchain-based humanitarian voucher system (1M+ refugees) [source: Stage 2 market research]</w:t>
      </w:r>
    </w:p>
    <w:p>
      <w:pPr>
        <w:pStyle w:val="ListParagraph"/>
        <w:pStyle w:val="ListParagraph"/>
        <w:numPr>
          <w:ilvl w:val="0"/>
          <w:numId w:val="1"/>
        </w:numPr>
        <w:numPr>
          <w:ilvl w:val="0"/>
          <w:numId w:val="9"/>
        </w:numPr>
      </w:pPr>
      <w:r>
        <w:t xml:space="preserve">Oxfam UnBlocked Cash / GiveDirectly: Vendor-integrated digital vouchers outperform traditional distribution [source: Stage 2 market research]</w:t>
      </w:r>
    </w:p>
    <w:p>
      <w:pPr>
        <w:pStyle w:val="ListParagraph"/>
        <w:pStyle w:val="ListParagraph"/>
        <w:numPr>
          <w:ilvl w:val="0"/>
          <w:numId w:val="1"/>
        </w:numPr>
        <w:numPr>
          <w:ilvl w:val="0"/>
          <w:numId w:val="9"/>
        </w:numPr>
      </w:pPr>
      <w:r>
        <w:t xml:space="preserve">Hurricane Katrina network impact: 26% subnet unreachability [source: web research]</w:t>
      </w:r>
    </w:p>
    <w:p>
      <w:pPr>
        <w:pStyle w:val="ListParagraph"/>
        <w:pStyle w:val="ListParagraph"/>
        <w:numPr>
          <w:ilvl w:val="0"/>
          <w:numId w:val="1"/>
        </w:numPr>
        <w:numPr>
          <w:ilvl w:val="0"/>
          <w:numId w:val="9"/>
        </w:numPr>
      </w:pPr>
      <w:r>
        <w:t xml:space="preserve">BOT Payment Systems Act B.E. 2560: licensing requirements for payment facilitating services [source: web research]</w:t>
      </w:r>
    </w:p>
    <w:p>
      <w:pPr>
        <w:pStyle w:val="ListParagraph"/>
        <w:pStyle w:val="ListParagraph"/>
        <w:numPr>
          <w:ilvl w:val="0"/>
          <w:numId w:val="1"/>
        </w:numPr>
        <w:numPr>
          <w:ilvl w:val="0"/>
          <w:numId w:val="9"/>
        </w:numPr>
      </w:pPr>
      <w:r>
        <w:t xml:space="preserve">Thailand mobile internet penetration: 76% at end of 2025 [source: web research]</w:t>
      </w:r>
    </w:p>
    <w:p>
      <w:r>
        <w:rPr>
          <w:b/>
          <w:bCs/>
        </w:rPr>
        <w:t xml:space="preserve">Participant-provided information [source: participant]:</w:t>
      </w:r>
    </w:p>
    <w:p>
      <w:pPr>
        <w:pStyle w:val="ListParagraph"/>
        <w:pStyle w:val="ListParagraph"/>
        <w:numPr>
          <w:ilvl w:val="0"/>
          <w:numId w:val="1"/>
        </w:numPr>
        <w:numPr>
          <w:ilvl w:val="0"/>
          <w:numId w:val="10"/>
        </w:numPr>
      </w:pPr>
      <w:r>
        <w:t xml:space="preserve">Problem framing, solution concept, pilot area selection, user roles, SRS feature specifications, UI/UX design system, all assumption resolutions (A1–A11)</w:t>
      </w:r>
    </w:p>
    <w:p>
      <w:r>
        <w:rPr>
          <w:b/>
          <w:bCs/>
        </w:rPr>
        <w:t xml:space="preserve">Assumptions [source: assumption]:</w:t>
      </w:r>
    </w:p>
    <w:p>
      <w:pPr>
        <w:pStyle w:val="ListParagraph"/>
        <w:pStyle w:val="ListParagraph"/>
        <w:numPr>
          <w:ilvl w:val="0"/>
          <w:numId w:val="1"/>
        </w:numPr>
        <w:numPr>
          <w:ilvl w:val="0"/>
          <w:numId w:val="11"/>
        </w:numPr>
      </w:pPr>
      <w:r>
        <w:t xml:space="preserve">Budget estimates (฿4.9M–฿9.5M) based on market-rate estimation, not formal quotes</w:t>
      </w:r>
    </w:p>
    <w:p>
      <w:pPr>
        <w:pStyle w:val="ListParagraph"/>
        <w:pStyle w:val="ListParagraph"/>
        <w:numPr>
          <w:ilvl w:val="0"/>
          <w:numId w:val="1"/>
        </w:numPr>
        <w:numPr>
          <w:ilvl w:val="0"/>
          <w:numId w:val="11"/>
        </w:numPr>
      </w:pPr>
      <w:r>
        <w:t xml:space="preserve">Timeline phases based on comparable project benchmarks, not contracted commitments</w:t>
      </w:r>
    </w:p>
    <w:p>
      <w:pPr>
        <w:pStyle w:val="ListParagraph"/>
        <w:pStyle w:val="ListParagraph"/>
        <w:numPr>
          <w:ilvl w:val="0"/>
          <w:numId w:val="1"/>
        </w:numPr>
        <w:numPr>
          <w:ilvl w:val="0"/>
          <w:numId w:val="11"/>
        </w:numPr>
      </w:pPr>
      <w:r>
        <w:t xml:space="preserve">Cloud cost range (฿600K–฿1.2M/year) based on AWS estimation tools, not production data</w:t>
      </w:r>
    </w:p>
    <w:p>
      <w:pPr>
        <w:pStyle w:val="ListParagraph"/>
        <w:pStyle w:val="ListParagraph"/>
        <w:numPr>
          <w:ilvl w:val="0"/>
          <w:numId w:val="1"/>
        </w:numPr>
        <w:numPr>
          <w:ilvl w:val="0"/>
          <w:numId w:val="11"/>
        </w:numPr>
      </w:pPr>
      <w:r>
        <w:t xml:space="preserve">Government MOU lead times (3–6 months) based on general public-sector engagement timelines</w:t>
      </w:r>
    </w:p>
    <w:p>
      <w:r>
        <w:rPr>
          <w:b/>
          <w:bCs/>
        </w:rPr>
        <w:t xml:space="preserve">Agent inputs:</w:t>
      </w:r>
    </w:p>
    <w:p>
      <w:pPr>
        <w:pStyle w:val="ListParagraph"/>
        <w:pStyle w:val="ListParagraph"/>
        <w:numPr>
          <w:ilvl w:val="0"/>
          <w:numId w:val="1"/>
        </w:numPr>
        <w:numPr>
          <w:ilvl w:val="0"/>
          <w:numId w:val="12"/>
        </w:numPr>
      </w:pPr>
      <w:r>
        <w:t xml:space="preserve">aidlc-compliance-agent: BOT regulatory pathway assessment, Krungthai banking partnership recommendation [source: Stage 3]</w:t>
      </w:r>
    </w:p>
    <w:p>
      <w:pPr>
        <w:pStyle w:val="ListParagraph"/>
        <w:pStyle w:val="ListParagraph"/>
        <w:numPr>
          <w:ilvl w:val="0"/>
          <w:numId w:val="1"/>
        </w:numPr>
        <w:numPr>
          <w:ilvl w:val="0"/>
          <w:numId w:val="12"/>
        </w:numPr>
      </w:pPr>
      <w:r>
        <w:t xml:space="preserve">aidlc-aws-platform-agent: 4-layer offline-first architecture design [source: Stage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5"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 w:numId="2">
    <w:abstractNumId w:val="5"/>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4"/>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2026-10-26T10:46:47.665Z</dcterms:created>
  <dcterms:modified xsi:type="dcterms:W3CDTF">2026-10-26T10:46:47.665Z</dcterms:modified>
</cp:coreProperties>
</file>

<file path=docProps/custom.xml><?xml version="1.0" encoding="utf-8"?>
<Properties xmlns="http://schemas.openxmlformats.org/officeDocument/2006/custom-properties" xmlns:vt="http://schemas.openxmlformats.org/officeDocument/2006/docPropsVTypes"/>
</file>