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2"/>
        </w:rPr>
        <w:t>WEEK 6 FINAL REPORT</w:t>
      </w:r>
    </w:p>
    <w:p>
      <w:pPr>
        <w:pStyle w:val="Title"/>
        <w:jc w:val="center"/>
      </w:pPr>
      <w:r>
        <w:t>Model Evaluation, Reporting &amp; Business Impact Communication</w:t>
      </w:r>
    </w:p>
    <w:p>
      <w:pPr>
        <w:jc w:val="center"/>
      </w:pPr>
      <w:r>
        <w:rPr>
          <w:i/>
          <w:sz w:val="24"/>
        </w:rPr>
        <w:t>Beauty &amp; Personal Care Customer Sentiment Analysis</w:t>
      </w:r>
    </w:p>
    <w:p>
      <w:r>
        <w:t>Reporting note: the current project history confirms exploratory analysis and statistical tests on a 5,000-review pilot dataset. This document provides a complete evaluation framework, report structure, sample result tables, visualization specifications, and business recommendations. Predictive-model performance is not reported as measured unless models have actually been trained and evaluated.</w:t>
      </w:r>
    </w:p>
    <w:p>
      <w:pPr>
        <w:pStyle w:val="Heading1"/>
      </w:pPr>
      <w:r>
        <w:t>1. Executive Summary</w:t>
      </w:r>
    </w:p>
    <w:p>
      <w:r>
        <w:t>This final report outlines how to evaluate and communicate a sentiment-classification system for Beauty &amp; Personal Care customer reviews. The pilot dataset contains 5,000 reviews and uses rating-derived labels: one- and two-star reviews are negative, three-star reviews neutral, and four- and five-star reviews positive. The recorded distribution is 4,242 positive (84.84%), 380 negative (7.60%), and 378 neutral (7.56%). Because the target is imbalanced, overall accuracy alone would not adequately show whether the model identifies less frequent negative and neutral reviews.</w:t>
      </w:r>
    </w:p>
    <w:p>
      <w:r>
        <w:t>The evaluation framework prioritizes macro-F1, per-class precision and recall, confusion matrices, and a majority-class baseline. It also specifies stratified holdout testing, cross-validation, leakage checks, error analysis, and monitoring after deployment. Business recommendations focus on using predictions to organize feedback and prioritize human review, while avoiding unsupported claims about product safety or customer health.</w:t>
      </w:r>
    </w:p>
    <w:p>
      <w:pPr>
        <w:pStyle w:val="Heading1"/>
      </w:pPr>
      <w:r>
        <w:t>2. Business Objective and Scope</w:t>
      </w:r>
    </w:p>
    <w:p>
      <w:r>
        <w:t>The business objective is to help beauty and personal-care teams process large volumes of customer feedback more consistently. A sentiment model may help categorize review text, flag potential dissatisfaction for review, and summarize feedback patterns by product or time period.</w:t>
      </w:r>
    </w:p>
    <w:p>
      <w:pPr>
        <w:pStyle w:val="ListBullet"/>
      </w:pPr>
      <w:r>
        <w:t>Prediction unit: one review.</w:t>
      </w:r>
    </w:p>
    <w:p>
      <w:pPr>
        <w:pStyle w:val="ListBullet"/>
      </w:pPr>
      <w:r>
        <w:t>Target: positive, neutral, or negative rating-derived sentiment.</w:t>
      </w:r>
    </w:p>
    <w:p>
      <w:pPr>
        <w:pStyle w:val="ListBullet"/>
      </w:pPr>
      <w:r>
        <w:t>Pilot scope: 5,000 reviews from a single dataset shard; results should not be generalized to the entire market without further testing.</w:t>
      </w:r>
    </w:p>
    <w:p>
      <w:pPr>
        <w:pStyle w:val="ListBullet"/>
      </w:pPr>
      <w:r>
        <w:t>Label limitation: the labels are generated from star ratings. The model estimates agreement with this label scheme, not an independently human-validated emotional state.</w:t>
      </w:r>
    </w:p>
    <w:p>
      <w:pPr>
        <w:pStyle w:val="ListBullet"/>
      </w:pPr>
      <w:r>
        <w:t>Decision boundary: predictions support analysts and business teams; they do not replace human review or establish medical/product-safety conclusions.</w:t>
      </w:r>
    </w:p>
    <w:p>
      <w:pPr>
        <w:pStyle w:val="Heading1"/>
      </w:pPr>
      <w:r>
        <w:t>3. Evaluation Metrics and Business Meaning</w:t>
      </w:r>
    </w:p>
    <w:tbl>
      <w:tblPr>
        <w:tblStyle w:val="LightShading-Accent1"/>
        <w:tblW w:type="auto" w:w="0"/>
        <w:tblLook w:firstColumn="1" w:firstRow="1" w:lastColumn="0" w:lastRow="0" w:noHBand="0" w:noVBand="1" w:val="04A0"/>
      </w:tblPr>
      <w:tblGrid>
        <w:gridCol w:w="3360"/>
        <w:gridCol w:w="3360"/>
        <w:gridCol w:w="3360"/>
      </w:tblGrid>
      <w:tr>
        <w:tc>
          <w:tcPr>
            <w:tcW w:type="dxa" w:w="3360"/>
            <w:shd w:fill="D9EAF7"/>
          </w:tcPr>
          <w:p>
            <w:pPr>
              <w:spacing w:after="0"/>
            </w:pPr>
            <w:r/>
            <w:r>
              <w:rPr>
                <w:b/>
                <w:sz w:val="17"/>
              </w:rPr>
              <w:t>Metric</w:t>
            </w:r>
          </w:p>
        </w:tc>
        <w:tc>
          <w:tcPr>
            <w:tcW w:type="dxa" w:w="3360"/>
            <w:shd w:fill="D9EAF7"/>
          </w:tcPr>
          <w:p>
            <w:pPr>
              <w:spacing w:after="0"/>
            </w:pPr>
            <w:r/>
            <w:r>
              <w:rPr>
                <w:b/>
                <w:sz w:val="17"/>
              </w:rPr>
              <w:t>What it measures</w:t>
            </w:r>
          </w:p>
        </w:tc>
        <w:tc>
          <w:tcPr>
            <w:tcW w:type="dxa" w:w="3360"/>
            <w:shd w:fill="D9EAF7"/>
          </w:tcPr>
          <w:p>
            <w:pPr>
              <w:spacing w:after="0"/>
            </w:pPr>
            <w:r/>
            <w:r>
              <w:rPr>
                <w:b/>
                <w:sz w:val="17"/>
              </w:rPr>
              <w:t>Business interpretation</w:t>
            </w:r>
          </w:p>
        </w:tc>
      </w:tr>
      <w:tr>
        <w:tc>
          <w:tcPr>
            <w:tcW w:type="dxa" w:w="3360"/>
          </w:tcPr>
          <w:p>
            <w:pPr>
              <w:spacing w:after="0"/>
            </w:pPr>
            <w:r/>
            <w:r>
              <w:rPr>
                <w:b w:val="0"/>
                <w:sz w:val="17"/>
              </w:rPr>
              <w:t>Accuracy</w:t>
            </w:r>
          </w:p>
        </w:tc>
        <w:tc>
          <w:tcPr>
            <w:tcW w:type="dxa" w:w="3360"/>
          </w:tcPr>
          <w:p>
            <w:pPr>
              <w:spacing w:after="0"/>
            </w:pPr>
            <w:r/>
            <w:r>
              <w:rPr>
                <w:b w:val="0"/>
                <w:sz w:val="17"/>
              </w:rPr>
              <w:t>Fraction of all reviews classified correctly.</w:t>
            </w:r>
          </w:p>
        </w:tc>
        <w:tc>
          <w:tcPr>
            <w:tcW w:type="dxa" w:w="3360"/>
          </w:tcPr>
          <w:p>
            <w:pPr>
              <w:spacing w:after="0"/>
            </w:pPr>
            <w:r/>
            <w:r>
              <w:rPr>
                <w:b w:val="0"/>
                <w:sz w:val="17"/>
              </w:rPr>
              <w:t>Easy to explain but can look high when the positive class dominates; never use alone.</w:t>
            </w:r>
          </w:p>
        </w:tc>
      </w:tr>
      <w:tr>
        <w:tc>
          <w:tcPr>
            <w:tcW w:type="dxa" w:w="3360"/>
          </w:tcPr>
          <w:p>
            <w:pPr>
              <w:spacing w:after="0"/>
            </w:pPr>
            <w:r/>
            <w:r>
              <w:rPr>
                <w:b w:val="0"/>
                <w:sz w:val="17"/>
              </w:rPr>
              <w:t>Macro-F1 (primary)</w:t>
            </w:r>
          </w:p>
        </w:tc>
        <w:tc>
          <w:tcPr>
            <w:tcW w:type="dxa" w:w="3360"/>
          </w:tcPr>
          <w:p>
            <w:pPr>
              <w:spacing w:after="0"/>
            </w:pPr>
            <w:r/>
            <w:r>
              <w:rPr>
                <w:b w:val="0"/>
                <w:sz w:val="17"/>
              </w:rPr>
              <w:t>Average F1 across positive, neutral, and negative classes, giving each class equal weight.</w:t>
            </w:r>
          </w:p>
        </w:tc>
        <w:tc>
          <w:tcPr>
            <w:tcW w:type="dxa" w:w="3360"/>
          </w:tcPr>
          <w:p>
            <w:pPr>
              <w:spacing w:after="0"/>
            </w:pPr>
            <w:r/>
            <w:r>
              <w:rPr>
                <w:b w:val="0"/>
                <w:sz w:val="17"/>
              </w:rPr>
              <w:t>Makes performance on minority classes visible.</w:t>
            </w:r>
          </w:p>
        </w:tc>
      </w:tr>
      <w:tr>
        <w:tc>
          <w:tcPr>
            <w:tcW w:type="dxa" w:w="3360"/>
          </w:tcPr>
          <w:p>
            <w:pPr>
              <w:spacing w:after="0"/>
            </w:pPr>
            <w:r/>
            <w:r>
              <w:rPr>
                <w:b w:val="0"/>
                <w:sz w:val="17"/>
              </w:rPr>
              <w:t>Precision by class</w:t>
            </w:r>
          </w:p>
        </w:tc>
        <w:tc>
          <w:tcPr>
            <w:tcW w:type="dxa" w:w="3360"/>
          </w:tcPr>
          <w:p>
            <w:pPr>
              <w:spacing w:after="0"/>
            </w:pPr>
            <w:r/>
            <w:r>
              <w:rPr>
                <w:b w:val="0"/>
                <w:sz w:val="17"/>
              </w:rPr>
              <w:t>Of reviews predicted as a class, how many truly belong to it under the rating-derived labels.</w:t>
            </w:r>
          </w:p>
        </w:tc>
        <w:tc>
          <w:tcPr>
            <w:tcW w:type="dxa" w:w="3360"/>
          </w:tcPr>
          <w:p>
            <w:pPr>
              <w:spacing w:after="0"/>
            </w:pPr>
            <w:r/>
            <w:r>
              <w:rPr>
                <w:b w:val="0"/>
                <w:sz w:val="17"/>
              </w:rPr>
              <w:t>Low negative precision can create too many unnecessary manual-review alerts.</w:t>
            </w:r>
          </w:p>
        </w:tc>
      </w:tr>
      <w:tr>
        <w:tc>
          <w:tcPr>
            <w:tcW w:type="dxa" w:w="3360"/>
          </w:tcPr>
          <w:p>
            <w:pPr>
              <w:spacing w:after="0"/>
            </w:pPr>
            <w:r/>
            <w:r>
              <w:rPr>
                <w:b w:val="0"/>
                <w:sz w:val="17"/>
              </w:rPr>
              <w:t>Recall by class</w:t>
            </w:r>
          </w:p>
        </w:tc>
        <w:tc>
          <w:tcPr>
            <w:tcW w:type="dxa" w:w="3360"/>
          </w:tcPr>
          <w:p>
            <w:pPr>
              <w:spacing w:after="0"/>
            </w:pPr>
            <w:r/>
            <w:r>
              <w:rPr>
                <w:b w:val="0"/>
                <w:sz w:val="17"/>
              </w:rPr>
              <w:t>Of reviews in a class, how many the model identifies.</w:t>
            </w:r>
          </w:p>
        </w:tc>
        <w:tc>
          <w:tcPr>
            <w:tcW w:type="dxa" w:w="3360"/>
          </w:tcPr>
          <w:p>
            <w:pPr>
              <w:spacing w:after="0"/>
            </w:pPr>
            <w:r/>
            <w:r>
              <w:rPr>
                <w:b w:val="0"/>
                <w:sz w:val="17"/>
              </w:rPr>
              <w:t>Low negative recall means some negative-labelled feedback may be missed.</w:t>
            </w:r>
          </w:p>
        </w:tc>
      </w:tr>
      <w:tr>
        <w:tc>
          <w:tcPr>
            <w:tcW w:type="dxa" w:w="3360"/>
          </w:tcPr>
          <w:p>
            <w:pPr>
              <w:spacing w:after="0"/>
            </w:pPr>
            <w:r/>
            <w:r>
              <w:rPr>
                <w:b w:val="0"/>
                <w:sz w:val="17"/>
              </w:rPr>
              <w:t>Weighted-F1</w:t>
            </w:r>
          </w:p>
        </w:tc>
        <w:tc>
          <w:tcPr>
            <w:tcW w:type="dxa" w:w="3360"/>
          </w:tcPr>
          <w:p>
            <w:pPr>
              <w:spacing w:after="0"/>
            </w:pPr>
            <w:r/>
            <w:r>
              <w:rPr>
                <w:b w:val="0"/>
                <w:sz w:val="17"/>
              </w:rPr>
              <w:t>F1 averaged according to class size.</w:t>
            </w:r>
          </w:p>
        </w:tc>
        <w:tc>
          <w:tcPr>
            <w:tcW w:type="dxa" w:w="3360"/>
          </w:tcPr>
          <w:p>
            <w:pPr>
              <w:spacing w:after="0"/>
            </w:pPr>
            <w:r/>
            <w:r>
              <w:rPr>
                <w:b w:val="0"/>
                <w:sz w:val="17"/>
              </w:rPr>
              <w:t>Useful supplementary metric, but the majority class has more influence.</w:t>
            </w:r>
          </w:p>
        </w:tc>
      </w:tr>
      <w:tr>
        <w:tc>
          <w:tcPr>
            <w:tcW w:type="dxa" w:w="3360"/>
          </w:tcPr>
          <w:p>
            <w:pPr>
              <w:spacing w:after="0"/>
            </w:pPr>
            <w:r/>
            <w:r>
              <w:rPr>
                <w:b w:val="0"/>
                <w:sz w:val="17"/>
              </w:rPr>
              <w:t>Confusion matrix</w:t>
            </w:r>
          </w:p>
        </w:tc>
        <w:tc>
          <w:tcPr>
            <w:tcW w:type="dxa" w:w="3360"/>
          </w:tcPr>
          <w:p>
            <w:pPr>
              <w:spacing w:after="0"/>
            </w:pPr>
            <w:r/>
            <w:r>
              <w:rPr>
                <w:b w:val="0"/>
                <w:sz w:val="17"/>
              </w:rPr>
              <w:t>Counts true versus predicted classes.</w:t>
            </w:r>
          </w:p>
        </w:tc>
        <w:tc>
          <w:tcPr>
            <w:tcW w:type="dxa" w:w="3360"/>
          </w:tcPr>
          <w:p>
            <w:pPr>
              <w:spacing w:after="0"/>
            </w:pPr>
            <w:r/>
            <w:r>
              <w:rPr>
                <w:b w:val="0"/>
                <w:sz w:val="17"/>
              </w:rPr>
              <w:t>Shows which categories are confused, especially negative versus neutral.</w:t>
            </w:r>
          </w:p>
        </w:tc>
      </w:tr>
      <w:tr>
        <w:tc>
          <w:tcPr>
            <w:tcW w:type="dxa" w:w="3360"/>
          </w:tcPr>
          <w:p>
            <w:pPr>
              <w:spacing w:after="0"/>
            </w:pPr>
            <w:r/>
            <w:r>
              <w:rPr>
                <w:b w:val="0"/>
                <w:sz w:val="17"/>
              </w:rPr>
              <w:t>ROC-AUC</w:t>
            </w:r>
          </w:p>
        </w:tc>
        <w:tc>
          <w:tcPr>
            <w:tcW w:type="dxa" w:w="3360"/>
          </w:tcPr>
          <w:p>
            <w:pPr>
              <w:spacing w:after="0"/>
            </w:pPr>
            <w:r/>
            <w:r>
              <w:rPr>
                <w:b w:val="0"/>
                <w:sz w:val="17"/>
              </w:rPr>
              <w:t>One-vs-rest ranking metric where appropriate and when scores/probabilities are available.</w:t>
            </w:r>
          </w:p>
        </w:tc>
        <w:tc>
          <w:tcPr>
            <w:tcW w:type="dxa" w:w="3360"/>
          </w:tcPr>
          <w:p>
            <w:pPr>
              <w:spacing w:after="0"/>
            </w:pPr>
            <w:r/>
            <w:r>
              <w:rPr>
                <w:b w:val="0"/>
                <w:sz w:val="17"/>
              </w:rPr>
              <w:t>Supplementary view of class separation; report averaging method and do not substitute it for per-class recall.</w:t>
            </w:r>
          </w:p>
        </w:tc>
      </w:tr>
    </w:tbl>
    <w:p>
      <w:r>
        <w:t>For the current three-class classification task, RMSE is not a primary metric because the target is categorical rather than continuous. RMSE would be relevant to a separate regression task such as forecasting weekly review volume or average rating.</w:t>
      </w:r>
    </w:p>
    <w:p>
      <w:pPr>
        <w:pStyle w:val="Heading1"/>
      </w:pPr>
      <w:r>
        <w:t>4. Validation and Testing Plan</w:t>
      </w:r>
    </w:p>
    <w:p>
      <w:pPr>
        <w:pStyle w:val="ListNumber"/>
      </w:pPr>
      <w:r>
        <w:t>Audit labels and columns. Confirm the target is the rating-derived sentiment label and remove rating, sentiment, sentiment_label, and any direct derivatives of the target from model inputs.</w:t>
      </w:r>
    </w:p>
    <w:p>
      <w:pPr>
        <w:pStyle w:val="ListNumber"/>
      </w:pPr>
      <w:r>
        <w:t>Create a stratified train/test split (for example, 80% training and 20% test) before tuning. Preserve class proportions and keep the test set untouched until final evaluation.</w:t>
      </w:r>
    </w:p>
    <w:p>
      <w:pPr>
        <w:pStyle w:val="ListNumber"/>
      </w:pPr>
      <w:r>
        <w:t>Within training data, use stratified cross-validation to compare TF-IDF + Logistic Regression with TF-IDF + Linear SVC; optionally include a structured-feature Decision Tree.</w:t>
      </w:r>
    </w:p>
    <w:p>
      <w:pPr>
        <w:pStyle w:val="ListNumber"/>
      </w:pPr>
      <w:r>
        <w:t>Fit preprocessing, TF-IDF vocabulary, scaling, and encoding inside scikit-learn Pipelines so information from validation folds does not leak into training.</w:t>
      </w:r>
    </w:p>
    <w:p>
      <w:pPr>
        <w:pStyle w:val="ListNumber"/>
      </w:pPr>
      <w:r>
        <w:t>Compare models using macro-F1, per-class precision/recall, weighted-F1, accuracy, and confusion matrices. Include a majority-class baseline.</w:t>
      </w:r>
    </w:p>
    <w:p>
      <w:pPr>
        <w:pStyle w:val="ListNumber"/>
      </w:pPr>
      <w:r>
        <w:t>Perform error analysis on false negatives and false positives, short reviews, negation, mixed sentiment, and neutral/negative confusion.</w:t>
      </w:r>
    </w:p>
    <w:p>
      <w:pPr>
        <w:pStyle w:val="ListNumber"/>
      </w:pPr>
      <w:r>
        <w:t>Check duplicate and product-group effects. Since many products appear in the sample, consider a parent-product grouped holdout as a robustness check if repeated product patterns could inflate results.</w:t>
      </w:r>
    </w:p>
    <w:p>
      <w:pPr>
        <w:pStyle w:val="ListNumber"/>
      </w:pPr>
      <w:r>
        <w:t>After model selection, evaluate once on the untouched test set. Record random seed, split method, parameters, package versions, and metric results.</w:t>
      </w:r>
    </w:p>
    <w:p>
      <w:pPr>
        <w:pStyle w:val="ListNumber"/>
      </w:pPr>
      <w:r>
        <w:t>Before operational use, run a pilot with human review, track performance over time, and reassess when products, language, or review behavior changes.</w:t>
      </w:r>
    </w:p>
    <w:p>
      <w:pPr>
        <w:pStyle w:val="Heading1"/>
      </w:pPr>
      <w:r>
        <w:t>5. Performance Reporting Table</w:t>
      </w:r>
    </w:p>
    <w:p>
      <w:r>
        <w:t>The table below is a reporting template, not a set of measured model results. Fill it only after the models have been trained and evaluated.</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shd w:fill="D9EAF7"/>
          </w:tcPr>
          <w:p>
            <w:pPr>
              <w:spacing w:after="0"/>
            </w:pPr>
            <w:r/>
            <w:r>
              <w:rPr>
                <w:b/>
                <w:sz w:val="17"/>
              </w:rPr>
              <w:t>Model</w:t>
            </w:r>
          </w:p>
        </w:tc>
        <w:tc>
          <w:tcPr>
            <w:tcW w:type="dxa" w:w="2016"/>
            <w:shd w:fill="D9EAF7"/>
          </w:tcPr>
          <w:p>
            <w:pPr>
              <w:spacing w:after="0"/>
            </w:pPr>
            <w:r/>
            <w:r>
              <w:rPr>
                <w:b/>
                <w:sz w:val="17"/>
              </w:rPr>
              <w:t>Accuracy</w:t>
            </w:r>
          </w:p>
        </w:tc>
        <w:tc>
          <w:tcPr>
            <w:tcW w:type="dxa" w:w="2016"/>
            <w:shd w:fill="D9EAF7"/>
          </w:tcPr>
          <w:p>
            <w:pPr>
              <w:spacing w:after="0"/>
            </w:pPr>
            <w:r/>
            <w:r>
              <w:rPr>
                <w:b/>
                <w:sz w:val="17"/>
              </w:rPr>
              <w:t>Macro-F1</w:t>
            </w:r>
          </w:p>
        </w:tc>
        <w:tc>
          <w:tcPr>
            <w:tcW w:type="dxa" w:w="2016"/>
            <w:shd w:fill="D9EAF7"/>
          </w:tcPr>
          <w:p>
            <w:pPr>
              <w:spacing w:after="0"/>
            </w:pPr>
            <w:r/>
            <w:r>
              <w:rPr>
                <w:b/>
                <w:sz w:val="17"/>
              </w:rPr>
              <w:t>Negative recall</w:t>
            </w:r>
          </w:p>
        </w:tc>
        <w:tc>
          <w:tcPr>
            <w:tcW w:type="dxa" w:w="2016"/>
            <w:shd w:fill="D9EAF7"/>
          </w:tcPr>
          <w:p>
            <w:pPr>
              <w:spacing w:after="0"/>
            </w:pPr>
            <w:r/>
            <w:r>
              <w:rPr>
                <w:b/>
                <w:sz w:val="17"/>
              </w:rPr>
              <w:t>Notes</w:t>
            </w:r>
          </w:p>
        </w:tc>
      </w:tr>
      <w:tr>
        <w:tc>
          <w:tcPr>
            <w:tcW w:type="dxa" w:w="2016"/>
          </w:tcPr>
          <w:p>
            <w:pPr>
              <w:spacing w:after="0"/>
            </w:pPr>
            <w:r/>
            <w:r>
              <w:rPr>
                <w:b w:val="0"/>
                <w:sz w:val="17"/>
              </w:rPr>
              <w:t>Majority-class baseline</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Reference point</w:t>
            </w:r>
          </w:p>
        </w:tc>
      </w:tr>
      <w:tr>
        <w:tc>
          <w:tcPr>
            <w:tcW w:type="dxa" w:w="2016"/>
          </w:tcPr>
          <w:p>
            <w:pPr>
              <w:spacing w:after="0"/>
            </w:pPr>
            <w:r/>
            <w:r>
              <w:rPr>
                <w:b w:val="0"/>
                <w:sz w:val="17"/>
              </w:rPr>
              <w:t>TF-IDF + Logistic Regression</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Interpretable baseline</w:t>
            </w:r>
          </w:p>
        </w:tc>
      </w:tr>
      <w:tr>
        <w:tc>
          <w:tcPr>
            <w:tcW w:type="dxa" w:w="2016"/>
          </w:tcPr>
          <w:p>
            <w:pPr>
              <w:spacing w:after="0"/>
            </w:pPr>
            <w:r/>
            <w:r>
              <w:rPr>
                <w:b w:val="0"/>
                <w:sz w:val="17"/>
              </w:rPr>
              <w:t>TF-IDF + Linear SVC</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Sparse text comparison</w:t>
            </w:r>
          </w:p>
        </w:tc>
      </w:tr>
      <w:tr>
        <w:tc>
          <w:tcPr>
            <w:tcW w:type="dxa" w:w="2016"/>
          </w:tcPr>
          <w:p>
            <w:pPr>
              <w:spacing w:after="0"/>
            </w:pPr>
            <w:r/>
            <w:r>
              <w:rPr>
                <w:b w:val="0"/>
                <w:sz w:val="17"/>
              </w:rPr>
              <w:t>Structured-feature Decision Tree</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To measure</w:t>
            </w:r>
          </w:p>
        </w:tc>
        <w:tc>
          <w:tcPr>
            <w:tcW w:type="dxa" w:w="2016"/>
          </w:tcPr>
          <w:p>
            <w:pPr>
              <w:spacing w:after="0"/>
            </w:pPr>
            <w:r/>
            <w:r>
              <w:rPr>
                <w:b w:val="0"/>
                <w:sz w:val="17"/>
              </w:rPr>
              <w:t>Secondary comparator</w:t>
            </w:r>
          </w:p>
        </w:tc>
      </w:tr>
    </w:tbl>
    <w:p>
      <w:pPr>
        <w:pStyle w:val="Heading1"/>
      </w:pPr>
      <w:r>
        <w:t>6. Visual Communication Plan</w:t>
      </w:r>
    </w:p>
    <w:p>
      <w:pPr>
        <w:pStyle w:val="ListBullet"/>
      </w:pPr>
      <w:r>
        <w:t>Confusion matrix heatmap: rows are true classes and columns are predicted classes; label each cell with counts and optionally row percentages.</w:t>
      </w:r>
    </w:p>
    <w:p>
      <w:pPr>
        <w:pStyle w:val="ListBullet"/>
      </w:pPr>
      <w:r>
        <w:t>Per-class metric bar chart: compare precision, recall, and F1 for negative, neutral, and positive classes; include a clear legend and scale.</w:t>
      </w:r>
    </w:p>
    <w:p>
      <w:pPr>
        <w:pStyle w:val="ListBullet"/>
      </w:pPr>
      <w:r>
        <w:t>Model comparison chart: show macro-F1 and weighted-F1 for each model with cross-validation variation where available.</w:t>
      </w:r>
    </w:p>
    <w:p>
      <w:pPr>
        <w:pStyle w:val="ListBullet"/>
      </w:pPr>
      <w:r>
        <w:t>Class distribution bar chart: communicate the 84.84% positive, 7.60% negative, and 7.56% neutral distribution to explain imbalance.</w:t>
      </w:r>
    </w:p>
    <w:p>
      <w:pPr>
        <w:pStyle w:val="ListBullet"/>
      </w:pPr>
      <w:r>
        <w:t>Evaluation workflow diagram: label audit → stratified split → cross-validation/model selection → final holdout test → error analysis → controlled business pilot → monitoring.</w:t>
      </w:r>
    </w:p>
    <w:p>
      <w:r>
        <w:t>Suggested evaluation flow:</w:t>
      </w:r>
    </w:p>
    <w:p>
      <w:pPr>
        <w:jc w:val="center"/>
      </w:pPr>
      <w:r>
        <w:rPr>
          <w:b/>
          <w:color w:val="1F4E79"/>
        </w:rPr>
        <w:t>Label &amp; leakage audit  →  Train/test split  →  Cross-validation  →  Final test  →  Error review  →  Human-reviewed pilot  →  Monitoring</w:t>
      </w:r>
    </w:p>
    <w:p>
      <w:pPr>
        <w:pStyle w:val="Heading1"/>
      </w:pPr>
      <w:r>
        <w:t>7. Translating Model Outcomes into Business Impact</w:t>
      </w:r>
    </w:p>
    <w:p>
      <w:pPr>
        <w:pStyle w:val="Heading2"/>
      </w:pPr>
      <w:r>
        <w:t>If negative recall is strong</w:t>
      </w:r>
    </w:p>
    <w:p>
      <w:r>
        <w:t>The team may be able to surface a larger share of negative-labelled reviews for human review. Analysts should still sample predictions to ensure the alerts are relevant and not driven by misleading keywords.</w:t>
      </w:r>
    </w:p>
    <w:p>
      <w:pPr>
        <w:pStyle w:val="Heading2"/>
      </w:pPr>
      <w:r>
        <w:t>If negative precision is low</w:t>
      </w:r>
    </w:p>
    <w:p>
      <w:r>
        <w:t>The review queue may include many false alarms. The team can refine the model, use thresholds when appropriate, or narrow the operational workflow to cases where manual review provides clear value.</w:t>
      </w:r>
    </w:p>
    <w:p>
      <w:pPr>
        <w:pStyle w:val="Heading2"/>
      </w:pPr>
      <w:r>
        <w:t>If neutral reviews are frequently confused</w:t>
      </w:r>
    </w:p>
    <w:p>
      <w:r>
        <w:t>Mixed or ambiguous feedback may need more detailed guidance, additional human-labelled examples, or separate categories for common product concerns. Neutral should not automatically be treated as dissatisfaction.</w:t>
      </w:r>
    </w:p>
    <w:p>
      <w:pPr>
        <w:pStyle w:val="Heading2"/>
      </w:pPr>
      <w:r>
        <w:t>Potential business applications</w:t>
      </w:r>
    </w:p>
    <w:p>
      <w:pPr>
        <w:pStyle w:val="ListBullet"/>
      </w:pPr>
      <w:r>
        <w:t>Customer engagement: prioritize selected reviews for timely human response.</w:t>
      </w:r>
    </w:p>
    <w:p>
      <w:pPr>
        <w:pStyle w:val="ListBullet"/>
      </w:pPr>
      <w:r>
        <w:t>Product and brand teams: summarize recurring concerns by product or parent product, then validate themes through manual review.</w:t>
      </w:r>
    </w:p>
    <w:p>
      <w:pPr>
        <w:pStyle w:val="ListBullet"/>
      </w:pPr>
      <w:r>
        <w:t>Marketing: compare feedback themes and sentiment over time before changing campaign messaging; do not infer causation from sentiment alone.</w:t>
      </w:r>
    </w:p>
    <w:p>
      <w:pPr>
        <w:pStyle w:val="ListBullet"/>
      </w:pPr>
      <w:r>
        <w:t>Operations: track review volume and sentiment mix together so a change in percentages is not misread when total review counts change.</w:t>
      </w:r>
    </w:p>
    <w:p>
      <w:pPr>
        <w:pStyle w:val="ListBullet"/>
      </w:pPr>
      <w:r>
        <w:t>Governance: document limitations, keep a human in the loop, and avoid using predictions to make safety, medical, or individual eligibility decisions.</w:t>
      </w:r>
    </w:p>
    <w:p>
      <w:pPr>
        <w:pStyle w:val="Heading1"/>
      </w:pPr>
      <w:r>
        <w:t>8. Risks, Limitations, and Mitigations</w:t>
      </w:r>
    </w:p>
    <w:p>
      <w:pPr>
        <w:pStyle w:val="ListBullet"/>
      </w:pPr>
      <w:r>
        <w:t>Rating-derived labels may not fully represent sentiment expressed in text. Mitigation: clearly state the target definition and, if feasible, evaluate a separate human-annotated sample.</w:t>
      </w:r>
    </w:p>
    <w:p>
      <w:pPr>
        <w:pStyle w:val="ListBullet"/>
      </w:pPr>
      <w:r>
        <w:t>Class imbalance may hide weak negative/neutral performance. Mitigation: macro-F1, per-class recall, stratification, and class-weight comparisons.</w:t>
      </w:r>
    </w:p>
    <w:p>
      <w:pPr>
        <w:pStyle w:val="ListBullet"/>
      </w:pPr>
      <w:r>
        <w:t>Duplicate reviews or repeated products may inflate test performance. Mitigation: duplicate checks and grouped robustness tests.</w:t>
      </w:r>
    </w:p>
    <w:p>
      <w:pPr>
        <w:pStyle w:val="ListBullet"/>
      </w:pPr>
      <w:r>
        <w:t>Data drift can reduce performance after launch. Mitigation: monitor class mix, input patterns, human-review outcomes, and periodic evaluation.</w:t>
      </w:r>
    </w:p>
    <w:p>
      <w:pPr>
        <w:pStyle w:val="ListBullet"/>
      </w:pPr>
      <w:r>
        <w:t>Model predictions can be wrong or biased by product vocabulary. Mitigation: inspect errors across product categories and require human confirmation for consequential actions.</w:t>
      </w:r>
    </w:p>
    <w:p>
      <w:pPr>
        <w:pStyle w:val="ListBullet"/>
      </w:pPr>
      <w:r>
        <w:t>The 5,000-review pilot comes from one dataset shard. Mitigation: test on broader and temporally separated samples before market-wide claims.</w:t>
      </w:r>
    </w:p>
    <w:p>
      <w:pPr>
        <w:pStyle w:val="Heading1"/>
      </w:pPr>
      <w:r>
        <w:t>9. Actionable Recommendations</w:t>
      </w:r>
    </w:p>
    <w:p>
      <w:pPr>
        <w:pStyle w:val="ListNumber"/>
      </w:pPr>
      <w:r>
        <w:t>Start with a controlled evaluation of TF-IDF + Logistic Regression and Linear SVC, using a majority-class baseline and macro-F1 as a key selection metric.</w:t>
      </w:r>
    </w:p>
    <w:p>
      <w:pPr>
        <w:pStyle w:val="ListNumber"/>
      </w:pPr>
      <w:r>
        <w:t>Do not select a model based only on accuracy. Review negative and neutral precision/recall and confusion patterns before deciding how it will be used.</w:t>
      </w:r>
    </w:p>
    <w:p>
      <w:pPr>
        <w:pStyle w:val="ListNumber"/>
      </w:pPr>
      <w:r>
        <w:t>Use the first deployment as a human-reviewed pilot. Route predictions into an analyst queue rather than automatically taking action on reviews or customers.</w:t>
      </w:r>
    </w:p>
    <w:p>
      <w:pPr>
        <w:pStyle w:val="ListNumber"/>
      </w:pPr>
      <w:r>
        <w:t>Create a monthly dashboard that combines review volume, sentiment distribution, model performance, and representative examples validated by analysts.</w:t>
      </w:r>
    </w:p>
    <w:p>
      <w:pPr>
        <w:pStyle w:val="ListNumber"/>
      </w:pPr>
      <w:r>
        <w:t>Before wider deployment, expand evaluation beyond the pilot shard and consider a manually labelled validation sample to assess whether the labels reflect actual text sentiment.</w:t>
      </w:r>
    </w:p>
    <w:p>
      <w:pPr>
        <w:pStyle w:val="ListNumber"/>
      </w:pPr>
      <w:r>
        <w:t>Record model version, data period, evaluation split, metrics, limitations, and follow-up actions so business stakeholders can understand the evidence behind recommendations.</w:t>
      </w:r>
    </w:p>
    <w:p>
      <w:pPr>
        <w:pStyle w:val="Heading1"/>
      </w:pPr>
      <w:r>
        <w:t>10. Proposed 30–35 Hour Work Plan</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pPr>
              <w:spacing w:after="0"/>
            </w:pPr>
            <w:r/>
            <w:r>
              <w:rPr>
                <w:b/>
                <w:sz w:val="17"/>
              </w:rPr>
              <w:t>Activity</w:t>
            </w:r>
          </w:p>
        </w:tc>
        <w:tc>
          <w:tcPr>
            <w:tcW w:type="dxa" w:w="5040"/>
            <w:shd w:fill="D9EAF7"/>
          </w:tcPr>
          <w:p>
            <w:pPr>
              <w:spacing w:after="0"/>
            </w:pPr>
            <w:r/>
            <w:r>
              <w:rPr>
                <w:b/>
                <w:sz w:val="17"/>
              </w:rPr>
              <w:t>Estimated time</w:t>
            </w:r>
          </w:p>
        </w:tc>
      </w:tr>
      <w:tr>
        <w:tc>
          <w:tcPr>
            <w:tcW w:type="dxa" w:w="5040"/>
          </w:tcPr>
          <w:p>
            <w:pPr>
              <w:spacing w:after="0"/>
            </w:pPr>
            <w:r/>
            <w:r>
              <w:rPr>
                <w:b w:val="0"/>
                <w:sz w:val="17"/>
              </w:rPr>
              <w:t>Target/label audit and evaluation design</w:t>
            </w:r>
          </w:p>
        </w:tc>
        <w:tc>
          <w:tcPr>
            <w:tcW w:type="dxa" w:w="5040"/>
          </w:tcPr>
          <w:p>
            <w:pPr>
              <w:spacing w:after="0"/>
            </w:pPr>
            <w:r/>
            <w:r>
              <w:rPr>
                <w:b w:val="0"/>
                <w:sz w:val="17"/>
              </w:rPr>
              <w:t>4 hours</w:t>
            </w:r>
          </w:p>
        </w:tc>
      </w:tr>
      <w:tr>
        <w:tc>
          <w:tcPr>
            <w:tcW w:type="dxa" w:w="5040"/>
          </w:tcPr>
          <w:p>
            <w:pPr>
              <w:spacing w:after="0"/>
            </w:pPr>
            <w:r/>
            <w:r>
              <w:rPr>
                <w:b w:val="0"/>
                <w:sz w:val="17"/>
              </w:rPr>
              <w:t>Validation split and model comparison</w:t>
            </w:r>
          </w:p>
        </w:tc>
        <w:tc>
          <w:tcPr>
            <w:tcW w:type="dxa" w:w="5040"/>
          </w:tcPr>
          <w:p>
            <w:pPr>
              <w:spacing w:after="0"/>
            </w:pPr>
            <w:r/>
            <w:r>
              <w:rPr>
                <w:b w:val="0"/>
                <w:sz w:val="17"/>
              </w:rPr>
              <w:t>7 hours</w:t>
            </w:r>
          </w:p>
        </w:tc>
      </w:tr>
      <w:tr>
        <w:tc>
          <w:tcPr>
            <w:tcW w:type="dxa" w:w="5040"/>
          </w:tcPr>
          <w:p>
            <w:pPr>
              <w:spacing w:after="0"/>
            </w:pPr>
            <w:r/>
            <w:r>
              <w:rPr>
                <w:b w:val="0"/>
                <w:sz w:val="17"/>
              </w:rPr>
              <w:t>Metric calculation and visualizations</w:t>
            </w:r>
          </w:p>
        </w:tc>
        <w:tc>
          <w:tcPr>
            <w:tcW w:type="dxa" w:w="5040"/>
          </w:tcPr>
          <w:p>
            <w:pPr>
              <w:spacing w:after="0"/>
            </w:pPr>
            <w:r/>
            <w:r>
              <w:rPr>
                <w:b w:val="0"/>
                <w:sz w:val="17"/>
              </w:rPr>
              <w:t>6 hours</w:t>
            </w:r>
          </w:p>
        </w:tc>
      </w:tr>
      <w:tr>
        <w:tc>
          <w:tcPr>
            <w:tcW w:type="dxa" w:w="5040"/>
          </w:tcPr>
          <w:p>
            <w:pPr>
              <w:spacing w:after="0"/>
            </w:pPr>
            <w:r/>
            <w:r>
              <w:rPr>
                <w:b w:val="0"/>
                <w:sz w:val="17"/>
              </w:rPr>
              <w:t>Error analysis and robustness checks</w:t>
            </w:r>
          </w:p>
        </w:tc>
        <w:tc>
          <w:tcPr>
            <w:tcW w:type="dxa" w:w="5040"/>
          </w:tcPr>
          <w:p>
            <w:pPr>
              <w:spacing w:after="0"/>
            </w:pPr>
            <w:r/>
            <w:r>
              <w:rPr>
                <w:b w:val="0"/>
                <w:sz w:val="17"/>
              </w:rPr>
              <w:t>5 hours</w:t>
            </w:r>
          </w:p>
        </w:tc>
      </w:tr>
      <w:tr>
        <w:tc>
          <w:tcPr>
            <w:tcW w:type="dxa" w:w="5040"/>
          </w:tcPr>
          <w:p>
            <w:pPr>
              <w:spacing w:after="0"/>
            </w:pPr>
            <w:r/>
            <w:r>
              <w:rPr>
                <w:b w:val="0"/>
                <w:sz w:val="17"/>
              </w:rPr>
              <w:t>Business interpretation and recommendations</w:t>
            </w:r>
          </w:p>
        </w:tc>
        <w:tc>
          <w:tcPr>
            <w:tcW w:type="dxa" w:w="5040"/>
          </w:tcPr>
          <w:p>
            <w:pPr>
              <w:spacing w:after="0"/>
            </w:pPr>
            <w:r/>
            <w:r>
              <w:rPr>
                <w:b w:val="0"/>
                <w:sz w:val="17"/>
              </w:rPr>
              <w:t>5 hours</w:t>
            </w:r>
          </w:p>
        </w:tc>
      </w:tr>
      <w:tr>
        <w:tc>
          <w:tcPr>
            <w:tcW w:type="dxa" w:w="5040"/>
          </w:tcPr>
          <w:p>
            <w:pPr>
              <w:spacing w:after="0"/>
            </w:pPr>
            <w:r/>
            <w:r>
              <w:rPr>
                <w:b w:val="0"/>
                <w:sz w:val="17"/>
              </w:rPr>
              <w:t>Report, tables, limitations, and reproducibility notes</w:t>
            </w:r>
          </w:p>
        </w:tc>
        <w:tc>
          <w:tcPr>
            <w:tcW w:type="dxa" w:w="5040"/>
          </w:tcPr>
          <w:p>
            <w:pPr>
              <w:spacing w:after="0"/>
            </w:pPr>
            <w:r/>
            <w:r>
              <w:rPr>
                <w:b w:val="0"/>
                <w:sz w:val="17"/>
              </w:rPr>
              <w:t>6 hours</w:t>
            </w:r>
          </w:p>
        </w:tc>
      </w:tr>
      <w:tr>
        <w:tc>
          <w:tcPr>
            <w:tcW w:type="dxa" w:w="5040"/>
          </w:tcPr>
          <w:p>
            <w:pPr>
              <w:spacing w:after="0"/>
            </w:pPr>
            <w:r/>
            <w:r>
              <w:rPr>
                <w:b/>
                <w:sz w:val="17"/>
              </w:rPr>
              <w:t>Total planned effort</w:t>
            </w:r>
          </w:p>
        </w:tc>
        <w:tc>
          <w:tcPr>
            <w:tcW w:type="dxa" w:w="5040"/>
          </w:tcPr>
          <w:p>
            <w:pPr>
              <w:spacing w:after="0"/>
            </w:pPr>
            <w:r/>
            <w:r>
              <w:rPr>
                <w:b/>
                <w:sz w:val="17"/>
              </w:rPr>
              <w:t>33 hours</w:t>
            </w:r>
          </w:p>
        </w:tc>
      </w:tr>
    </w:tbl>
    <w:p>
      <w:pPr>
        <w:pStyle w:val="Heading1"/>
      </w:pPr>
      <w:r>
        <w:t>11. Conclusion</w:t>
      </w:r>
    </w:p>
    <w:p>
      <w:r>
        <w:t>A useful sentiment model must be evaluated beyond a single accuracy score. Macro-F1, per-class precision and recall, confusion matrices, robust validation, and error analysis together provide a clearer view of whether negative and neutral feedback can be identified reliably. The pilot dataset supports a structured evaluation plan, but the model's measured performance must be established through actual experiments. Business use should begin with human-reviewed feedback triage, transparent reporting, and broader validation before any market-wide conclusions are drawn.</w:t>
      </w:r>
    </w:p>
    <w:p>
      <w:pPr>
        <w:jc w:val="center"/>
      </w:pPr>
      <w:r>
        <w:rPr>
          <w:i/>
          <w:color w:val="646464"/>
        </w:rPr>
        <w:t>End of Week 6 Report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