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287271"/>
          <w:sz w:val="30"/>
        </w:rPr>
        <w:t>DATA SCIENCE WITH PYTHON</w:t>
        <w:br/>
        <w:t>ANALYST INTERNSHIP</w:t>
      </w:r>
    </w:p>
    <w:p>
      <w:pPr>
        <w:pStyle w:val="Title"/>
        <w:spacing w:before="440"/>
        <w:jc w:val="center"/>
      </w:pPr>
      <w:r>
        <w:t>Week 1 Report</w:t>
      </w:r>
    </w:p>
    <w:p>
      <w:pPr>
        <w:jc w:val="center"/>
      </w:pPr>
      <w:r>
        <w:rPr>
          <w:b/>
          <w:color w:val="17365D"/>
          <w:sz w:val="36"/>
        </w:rPr>
        <w:t>Data Science Orientation &amp; Problem Definition</w:t>
        <w:br/>
        <w:t>in the Beauty &amp; Wellness Industry</w:t>
      </w:r>
    </w:p>
    <w:p>
      <w:pPr>
        <w:spacing w:before="360"/>
        <w:jc w:val="center"/>
      </w:pPr>
      <w:r>
        <w:rPr>
          <w:b/>
          <w:sz w:val="24"/>
        </w:rPr>
        <w:t>Project: Beauty &amp; Personal Care Customer Sentiment Analysis</w:t>
      </w:r>
    </w:p>
    <w:p>
      <w:pPr>
        <w:spacing w:before="720"/>
        <w:jc w:val="center"/>
      </w:pPr>
      <w:r>
        <w:t>Prepared: October 2026</w:t>
        <w:br/>
        <w:t>Internship duration: 6 weeks</w:t>
        <w:br/>
        <w:t>Focus: research-led problem definition and analytical planning</w:t>
      </w:r>
    </w:p>
    <w:p>
      <w:r>
        <w:br w:type="page"/>
      </w:r>
    </w:p>
    <w:p>
      <w:pPr>
        <w:pStyle w:val="Heading1"/>
      </w:pPr>
      <w:r>
        <w:t>Executive Summary</w:t>
      </w:r>
    </w:p>
    <w:p>
      <w:r>
        <w:t>This report defines a data science problem in the beauty and personal-care industry: understanding customer opinions expressed in online product reviews and identifying recurring themes associated with positive, neutral, and negative rating-derived sentiment. Beauty and personal-care products compete in a crowded digital marketplace. Product pages contain large volumes of customer feedback, but manually reviewing this information at scale is time-consuming. A structured text-analysis workflow can help summarize customer concerns and preferences, support product-page improvements, and inform customer-experience decisions.</w:t>
      </w:r>
    </w:p>
    <w:p>
      <w:r>
        <w:t>The project will use publicly available Amazon review data from the McAuley-Lab Amazon-Reviews-2023 collection, focusing on the Beauty and Personal Care review category. The initial target is an English-language sample of approximately 50,000 reviews, subject to data availability, practical download constraints, and quality checks. Rating-derived labels will be defined as 1–2 stars = negative, 3 stars = neutral, and 4–5 stars = positive. These are weak labels: they approximate sentiment using ratings and will not be treated as independently verified human annotations.</w:t>
      </w:r>
    </w:p>
    <w:p>
      <w:r>
        <w:t>The planned workflow includes data-source assessment, data cleaning, exploratory analysis, statistical hypothesis testing, review-theme exploration, and supervised text classification. TF-IDF features will be evaluated with Logistic Regression, Multinomial Naive Bayes, and Linear SVC against a majority-class baseline. Macro-F1 and per-class precision, recall, and F1 will be prioritized because the initial sample is expected to be imbalanced. No model-performance claims are made in this Week 1 report.</w:t>
      </w:r>
    </w:p>
    <w:p>
      <w:pPr>
        <w:pStyle w:val="Heading1"/>
      </w:pPr>
      <w:r>
        <w:t>1. Industry Context and Relevance</w:t>
      </w:r>
    </w:p>
    <w:p>
      <w:r>
        <w:t>Beauty and personal care includes skincare, haircare, cosmetics, fragrance, and everyday personal-care products. Online shopping creates many opportunities for customers to compare ratings and read reviews, but the volume and variation of review text make it difficult to extract consistent insights manually. Customer reviews may describe product texture, fragrance, packaging, price, ease of use, perceived effectiveness, delivery, or expectations that were not met.</w:t>
      </w:r>
    </w:p>
    <w:p>
      <w:r>
        <w:t>Industry research has discussed evolving consumer preferences, value-conscious purchasing, digital discovery, and the importance of product experience in beauty. These trends support the relevance of review analytics as a business problem. They do not establish the results of this project; project conclusions will be based on the selected dataset and will be reported with limitations.</w:t>
      </w:r>
    </w:p>
    <w:p>
      <w:pPr>
        <w:pStyle w:val="Heading2"/>
      </w:pPr>
      <w:r>
        <w:t>1.1 Why review analytics matters</w:t>
      </w:r>
    </w:p>
    <w:p>
      <w:pPr>
        <w:pStyle w:val="ListBullet"/>
        <w:spacing w:after="40"/>
      </w:pPr>
      <w:r>
        <w:t>Customers: review summaries can make common product strengths and complaints easier to discover.</w:t>
      </w:r>
    </w:p>
    <w:p>
      <w:pPr>
        <w:pStyle w:val="ListBullet"/>
        <w:spacing w:after="40"/>
      </w:pPr>
      <w:r>
        <w:t>Brands and retailers: recurring complaints may highlight opportunities to improve product information, packaging communication, or customer support.</w:t>
      </w:r>
    </w:p>
    <w:p>
      <w:pPr>
        <w:pStyle w:val="ListBullet"/>
        <w:spacing w:after="40"/>
      </w:pPr>
      <w:r>
        <w:t>Marketing and merchandising teams: theme prevalence can help prioritize product-page content and customer-experience investigations.</w:t>
      </w:r>
    </w:p>
    <w:p>
      <w:pPr>
        <w:pStyle w:val="ListBullet"/>
        <w:spacing w:after="40"/>
      </w:pPr>
      <w:r>
        <w:t>Data teams: a reproducible text-analysis pipeline can convert unstructured feedback into measurable, auditable summaries.</w:t>
      </w:r>
    </w:p>
    <w:p>
      <w:pPr>
        <w:pStyle w:val="Heading2"/>
      </w:pPr>
      <w:r>
        <w:t>1.2 Research context and source limitations</w:t>
      </w:r>
    </w:p>
    <w:p>
      <w:r>
        <w:t>Public industry reports are used only to motivate the problem. Public summaries may not expose all underlying tables or methods, and market definitions can differ across sources. Review data is also self-selected and platform-specific; it should not be treated as a representative survey of all beauty consumers or as proof of product efficacy.</w:t>
      </w:r>
    </w:p>
    <w:p>
      <w:pPr>
        <w:pStyle w:val="Heading1"/>
      </w:pPr>
      <w:r>
        <w:t>2. Selected Business Problem</w:t>
      </w:r>
    </w:p>
    <w:p>
      <w:pPr>
        <w:pStyle w:val="Heading2"/>
      </w:pPr>
      <w:r>
        <w:t>2.1 Problem statement</w:t>
      </w:r>
    </w:p>
    <w:p>
      <w:r>
        <w:t>Beauty and personal-care retailers receive large volumes of online customer reviews. Because this feedback is unstructured and may contain thousands or millions of records, teams can struggle to identify broad sentiment patterns, recurring review themes, and differences in customer feedback across products. The proposed project will analyze publicly available review text and ratings to classify rating-derived sentiment and explore the review characteristics and themes associated with those labels.</w:t>
      </w:r>
    </w:p>
    <w:p>
      <w:pPr>
        <w:pStyle w:val="Heading2"/>
      </w:pPr>
      <w:r>
        <w:t>2.2 Main business question</w:t>
      </w:r>
    </w:p>
    <w:p>
      <w:r>
        <w:rPr>
          <w:b/>
        </w:rPr>
        <w:t>How can publicly available beauty and personal-care product reviews be analyzed to summarize rating-derived customer sentiment, identify recurring feedback themes, and support evidence-based customer-experience decisions?</w:t>
      </w:r>
    </w:p>
    <w:p>
      <w:pPr>
        <w:pStyle w:val="Heading2"/>
      </w:pPr>
      <w:r>
        <w:t>2.3 Project scope</w:t>
      </w:r>
    </w:p>
    <w:p>
      <w:pPr>
        <w:pStyle w:val="ListBullet"/>
        <w:spacing w:after="40"/>
      </w:pPr>
      <w:r>
        <w:t>Domain: Amazon Beauty and Personal Care review category.</w:t>
      </w:r>
    </w:p>
    <w:p>
      <w:pPr>
        <w:pStyle w:val="ListBullet"/>
        <w:spacing w:after="40"/>
      </w:pPr>
      <w:r>
        <w:t>Language: English-language reviews for the initial analysis.</w:t>
      </w:r>
    </w:p>
    <w:p>
      <w:pPr>
        <w:pStyle w:val="ListBullet"/>
        <w:spacing w:after="40"/>
      </w:pPr>
      <w:r>
        <w:t>Initial target: approximately 50,000 reviews, sampled across available shards where practical.</w:t>
      </w:r>
    </w:p>
    <w:p>
      <w:pPr>
        <w:pStyle w:val="ListBullet"/>
        <w:spacing w:after="40"/>
      </w:pPr>
      <w:r>
        <w:t>Primary records: review rating, title, review text, product identifiers, timestamp, helpful-vote count, and verified-purchase indicator where available.</w:t>
      </w:r>
    </w:p>
    <w:p>
      <w:pPr>
        <w:pStyle w:val="ListBullet"/>
        <w:spacing w:after="40"/>
      </w:pPr>
      <w:r>
        <w:t>Primary outputs: data-quality summary, exploratory visualizations, statistical test results, theme analysis, and comparison of text-classification models.</w:t>
      </w:r>
    </w:p>
    <w:p>
      <w:pPr>
        <w:pStyle w:val="ListBullet"/>
        <w:spacing w:after="40"/>
      </w:pPr>
      <w:r>
        <w:t>Out of scope: medical or dermatological diagnosis, claims of clinical product effectiveness, private customer profiling, causal claims, and deployment of a production sentiment service.</w:t>
      </w:r>
    </w:p>
    <w:p>
      <w:r>
        <w:t>The initial data source provides review records, not necessarily detailed product subcategory metadata. Any research question requiring product subcategories will only be tested if suitable metadata can be obtained and joined reliably. Otherwise, the question will be revised or marked as not testable with the available data.</w:t>
      </w:r>
    </w:p>
    <w:p>
      <w:pPr>
        <w:pStyle w:val="Heading1"/>
      </w:pPr>
      <w:r>
        <w:t>3. Project Objectives</w:t>
      </w:r>
    </w:p>
    <w:p>
      <w:pPr>
        <w:pStyle w:val="ListNumber"/>
        <w:spacing w:after="60"/>
      </w:pPr>
      <w:r>
        <w:t>Identify and document a suitable public review dataset and its access conditions.</w:t>
      </w:r>
    </w:p>
    <w:p>
      <w:pPr>
        <w:pStyle w:val="ListNumber"/>
        <w:spacing w:after="60"/>
      </w:pPr>
      <w:r>
        <w:t>Inspect the schema, rating scale, missing values, duplicate patterns, and review-text quality.</w:t>
      </w:r>
    </w:p>
    <w:p>
      <w:pPr>
        <w:pStyle w:val="ListNumber"/>
        <w:spacing w:after="60"/>
      </w:pPr>
      <w:r>
        <w:t>Create transparent rating-derived sentiment labels and clearly document their limitations.</w:t>
      </w:r>
    </w:p>
    <w:p>
      <w:pPr>
        <w:pStyle w:val="ListNumber"/>
        <w:spacing w:after="60"/>
      </w:pPr>
      <w:r>
        <w:t>Explore sentiment balance, review length, helpful votes, and recurring review themes.</w:t>
      </w:r>
    </w:p>
    <w:p>
      <w:pPr>
        <w:pStyle w:val="ListNumber"/>
        <w:spacing w:after="60"/>
      </w:pPr>
      <w:r>
        <w:t>Test selected associations using appropriate statistical methods and report effect sizes alongside p-values.</w:t>
      </w:r>
    </w:p>
    <w:p>
      <w:pPr>
        <w:pStyle w:val="ListNumber"/>
        <w:spacing w:after="60"/>
      </w:pPr>
      <w:r>
        <w:t>Build baseline and candidate text classifiers without leaking rating information into model features.</w:t>
      </w:r>
    </w:p>
    <w:p>
      <w:pPr>
        <w:pStyle w:val="ListNumber"/>
        <w:spacing w:after="60"/>
      </w:pPr>
      <w:r>
        <w:t>Translate validated findings into practical, appropriately qualified recommendations for beauty and personal-care businesses.</w:t>
      </w:r>
    </w:p>
    <w:p>
      <w:pPr>
        <w:pStyle w:val="Heading1"/>
      </w:pPr>
      <w:r>
        <w:t>4. Research Questions and Hypotheses</w:t>
      </w:r>
    </w:p>
    <w:p>
      <w:r>
        <w:t>The hypotheses below are provisional. They will be tested only when the required fields and sample sizes are available. The null hypothesis (H0) represents no association or no group difference; the alternative hypothesis (H1) represents an association or difference.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b/>
                <w:color w:val="FFFFFF"/>
                <w:sz w:val="16"/>
              </w:rPr>
              <w:t>ID / Research question</w:t>
            </w:r>
          </w:p>
        </w:tc>
        <w:tc>
          <w:tcPr>
            <w:tcW w:type="dxa" w:w="2484"/>
            <w:vAlign w:val="center"/>
            <w:shd w:fill="17365D"/>
          </w:tcPr>
          <w:p>
            <w:pPr>
              <w:spacing w:after="20"/>
            </w:pPr>
            <w:r/>
            <w:r>
              <w:rPr>
                <w:rFonts w:ascii="Aptos" w:hAnsi="Aptos"/>
                <w:b/>
                <w:color w:val="FFFFFF"/>
                <w:sz w:val="16"/>
              </w:rPr>
              <w:t>Hypotheses</w:t>
            </w:r>
          </w:p>
        </w:tc>
        <w:tc>
          <w:tcPr>
            <w:tcW w:type="dxa" w:w="2484"/>
            <w:vAlign w:val="center"/>
            <w:shd w:fill="17365D"/>
          </w:tcPr>
          <w:p>
            <w:pPr>
              <w:spacing w:after="20"/>
            </w:pPr>
            <w:r/>
            <w:r>
              <w:rPr>
                <w:rFonts w:ascii="Aptos" w:hAnsi="Aptos"/>
                <w:b/>
                <w:color w:val="FFFFFF"/>
                <w:sz w:val="16"/>
              </w:rPr>
              <w:t>Planned method</w:t>
            </w:r>
          </w:p>
        </w:tc>
        <w:tc>
          <w:tcPr>
            <w:tcW w:type="dxa" w:w="2484"/>
            <w:vAlign w:val="center"/>
            <w:shd w:fill="17365D"/>
          </w:tcPr>
          <w:p>
            <w:pPr>
              <w:spacing w:after="20"/>
            </w:pPr>
            <w:r/>
            <w:r>
              <w:rPr>
                <w:rFonts w:ascii="Aptos" w:hAnsi="Aptos"/>
                <w:b/>
                <w:color w:val="FFFFFF"/>
                <w:sz w:val="16"/>
              </w:rPr>
              <w:t>Data requirement / note</w:t>
            </w:r>
          </w:p>
        </w:tc>
      </w:tr>
      <w:tr>
        <w:tc>
          <w:tcPr>
            <w:tcW w:type="dxa" w:w="2484"/>
            <w:vAlign w:val="center"/>
          </w:tcPr>
          <w:p>
            <w:pPr>
              <w:spacing w:after="20"/>
            </w:pPr>
            <w:r/>
            <w:r>
              <w:rPr>
                <w:rFonts w:ascii="Aptos" w:hAnsi="Aptos"/>
                <w:b w:val="0"/>
                <w:sz w:val="16"/>
              </w:rPr>
              <w:t>RQ1: Does rating-derived sentiment distribution differ across product subcategories?</w:t>
            </w:r>
          </w:p>
        </w:tc>
        <w:tc>
          <w:tcPr>
            <w:tcW w:type="dxa" w:w="2484"/>
            <w:vAlign w:val="center"/>
          </w:tcPr>
          <w:p>
            <w:pPr>
              <w:spacing w:after="20"/>
            </w:pPr>
            <w:r/>
            <w:r>
              <w:rPr>
                <w:rFonts w:ascii="Aptos" w:hAnsi="Aptos"/>
                <w:b w:val="0"/>
                <w:sz w:val="16"/>
              </w:rPr>
              <w:t>H0: Sentiment label and product subcategory are independent. H1: They are associated.</w:t>
            </w:r>
          </w:p>
        </w:tc>
        <w:tc>
          <w:tcPr>
            <w:tcW w:type="dxa" w:w="2484"/>
            <w:vAlign w:val="center"/>
          </w:tcPr>
          <w:p>
            <w:pPr>
              <w:spacing w:after="20"/>
            </w:pPr>
            <w:r/>
            <w:r>
              <w:rPr>
                <w:rFonts w:ascii="Aptos" w:hAnsi="Aptos"/>
                <w:b w:val="0"/>
                <w:sz w:val="16"/>
              </w:rPr>
              <w:t>Contingency table, chi-square test, Cramér’s V. Requires reliable subcategory metadata.</w:t>
            </w:r>
          </w:p>
        </w:tc>
        <w:tc>
          <w:tcPr>
            <w:tcW w:type="dxa" w:w="2484"/>
            <w:vAlign w:val="center"/>
          </w:tcPr>
          <w:p>
            <w:pPr>
              <w:spacing w:after="20"/>
            </w:pPr>
            <w:r/>
            <w:r>
              <w:rPr>
                <w:rFonts w:ascii="Aptos" w:hAnsi="Aptos"/>
                <w:b w:val="0"/>
                <w:sz w:val="16"/>
              </w:rPr>
              <w:t>Product subcategory metadata must be available and joinable.</w:t>
            </w:r>
          </w:p>
        </w:tc>
      </w:tr>
      <w:tr>
        <w:tc>
          <w:tcPr>
            <w:tcW w:type="dxa" w:w="2484"/>
            <w:vAlign w:val="center"/>
          </w:tcPr>
          <w:p>
            <w:pPr>
              <w:spacing w:after="20"/>
            </w:pPr>
            <w:r/>
            <w:r>
              <w:rPr>
                <w:rFonts w:ascii="Aptos" w:hAnsi="Aptos"/>
                <w:b w:val="0"/>
                <w:sz w:val="16"/>
              </w:rPr>
              <w:t>RQ2: Does review length differ across negative, neutral, and positive rating-derived groups?</w:t>
            </w:r>
          </w:p>
        </w:tc>
        <w:tc>
          <w:tcPr>
            <w:tcW w:type="dxa" w:w="2484"/>
            <w:vAlign w:val="center"/>
          </w:tcPr>
          <w:p>
            <w:pPr>
              <w:spacing w:after="20"/>
            </w:pPr>
            <w:r/>
            <w:r>
              <w:rPr>
                <w:rFonts w:ascii="Aptos" w:hAnsi="Aptos"/>
                <w:b w:val="0"/>
                <w:sz w:val="16"/>
              </w:rPr>
              <w:t>H0: Review-length distributions are the same across groups. H1: At least one group differs.</w:t>
            </w:r>
          </w:p>
        </w:tc>
        <w:tc>
          <w:tcPr>
            <w:tcW w:type="dxa" w:w="2484"/>
            <w:vAlign w:val="center"/>
          </w:tcPr>
          <w:p>
            <w:pPr>
              <w:spacing w:after="20"/>
            </w:pPr>
            <w:r/>
            <w:r>
              <w:rPr>
                <w:rFonts w:ascii="Aptos" w:hAnsi="Aptos"/>
                <w:b w:val="0"/>
                <w:sz w:val="16"/>
              </w:rPr>
              <w:t>Word-count summaries, boxplots, Kruskal–Wallis test, followed by corrected pairwise tests if justified.</w:t>
            </w:r>
          </w:p>
        </w:tc>
        <w:tc>
          <w:tcPr>
            <w:tcW w:type="dxa" w:w="2484"/>
            <w:vAlign w:val="center"/>
          </w:tcPr>
          <w:p>
            <w:pPr>
              <w:spacing w:after="20"/>
            </w:pPr>
            <w:r/>
            <w:r>
              <w:rPr>
                <w:rFonts w:ascii="Aptos" w:hAnsi="Aptos"/>
                <w:b w:val="0"/>
                <w:sz w:val="16"/>
              </w:rPr>
              <w:t>Use the same defined review sample and report limitations.</w:t>
            </w:r>
          </w:p>
        </w:tc>
      </w:tr>
      <w:tr>
        <w:tc>
          <w:tcPr>
            <w:tcW w:type="dxa" w:w="2484"/>
            <w:vAlign w:val="center"/>
          </w:tcPr>
          <w:p>
            <w:pPr>
              <w:spacing w:after="20"/>
            </w:pPr>
            <w:r/>
            <w:r>
              <w:rPr>
                <w:rFonts w:ascii="Aptos" w:hAnsi="Aptos"/>
                <w:b w:val="0"/>
                <w:sz w:val="16"/>
              </w:rPr>
              <w:t>RQ3: Do helpful-vote counts differ across rating-derived sentiment groups?</w:t>
            </w:r>
          </w:p>
        </w:tc>
        <w:tc>
          <w:tcPr>
            <w:tcW w:type="dxa" w:w="2484"/>
            <w:vAlign w:val="center"/>
          </w:tcPr>
          <w:p>
            <w:pPr>
              <w:spacing w:after="20"/>
            </w:pPr>
            <w:r/>
            <w:r>
              <w:rPr>
                <w:rFonts w:ascii="Aptos" w:hAnsi="Aptos"/>
                <w:b w:val="0"/>
                <w:sz w:val="16"/>
              </w:rPr>
              <w:t>H0: Helpful-vote distributions are the same across groups. H1: At least one group differs.</w:t>
            </w:r>
          </w:p>
        </w:tc>
        <w:tc>
          <w:tcPr>
            <w:tcW w:type="dxa" w:w="2484"/>
            <w:vAlign w:val="center"/>
          </w:tcPr>
          <w:p>
            <w:pPr>
              <w:spacing w:after="20"/>
            </w:pPr>
            <w:r/>
            <w:r>
              <w:rPr>
                <w:rFonts w:ascii="Aptos" w:hAnsi="Aptos"/>
                <w:b w:val="0"/>
                <w:sz w:val="16"/>
              </w:rPr>
              <w:t>Median and distribution summaries, Kruskal–Wallis test, effect size, and corrected pairwise tests.</w:t>
            </w:r>
          </w:p>
        </w:tc>
        <w:tc>
          <w:tcPr>
            <w:tcW w:type="dxa" w:w="2484"/>
            <w:vAlign w:val="center"/>
          </w:tcPr>
          <w:p>
            <w:pPr>
              <w:spacing w:after="20"/>
            </w:pPr>
            <w:r/>
            <w:r>
              <w:rPr>
                <w:rFonts w:ascii="Aptos" w:hAnsi="Aptos"/>
                <w:b w:val="0"/>
                <w:sz w:val="16"/>
              </w:rPr>
              <w:t>Use the same defined review sample and report limitations.</w:t>
            </w:r>
          </w:p>
        </w:tc>
      </w:tr>
      <w:tr>
        <w:tc>
          <w:tcPr>
            <w:tcW w:type="dxa" w:w="2484"/>
            <w:vAlign w:val="center"/>
          </w:tcPr>
          <w:p>
            <w:pPr>
              <w:spacing w:after="20"/>
            </w:pPr>
            <w:r/>
            <w:r>
              <w:rPr>
                <w:rFonts w:ascii="Aptos" w:hAnsi="Aptos"/>
                <w:b w:val="0"/>
                <w:sz w:val="16"/>
              </w:rPr>
              <w:t>RQ4: Does the prevalence of identified review themes differ by rating-derived sentiment?</w:t>
            </w:r>
          </w:p>
        </w:tc>
        <w:tc>
          <w:tcPr>
            <w:tcW w:type="dxa" w:w="2484"/>
            <w:vAlign w:val="center"/>
          </w:tcPr>
          <w:p>
            <w:pPr>
              <w:spacing w:after="20"/>
            </w:pPr>
            <w:r/>
            <w:r>
              <w:rPr>
                <w:rFonts w:ascii="Aptos" w:hAnsi="Aptos"/>
                <w:b w:val="0"/>
                <w:sz w:val="16"/>
              </w:rPr>
              <w:t>H0: Theme presence is independent of sentiment. H1: At least one association exists.</w:t>
            </w:r>
          </w:p>
        </w:tc>
        <w:tc>
          <w:tcPr>
            <w:tcW w:type="dxa" w:w="2484"/>
            <w:vAlign w:val="center"/>
          </w:tcPr>
          <w:p>
            <w:pPr>
              <w:spacing w:after="20"/>
            </w:pPr>
            <w:r/>
            <w:r>
              <w:rPr>
                <w:rFonts w:ascii="Aptos" w:hAnsi="Aptos"/>
                <w:b w:val="0"/>
                <w:sz w:val="16"/>
              </w:rPr>
              <w:t>Theme-presence indicators, contingency tables, chi-square tests where assumptions hold, and false-discovery-rate correction across multiple themes.</w:t>
            </w:r>
          </w:p>
        </w:tc>
        <w:tc>
          <w:tcPr>
            <w:tcW w:type="dxa" w:w="2484"/>
            <w:vAlign w:val="center"/>
          </w:tcPr>
          <w:p>
            <w:pPr>
              <w:spacing w:after="20"/>
            </w:pPr>
            <w:r/>
            <w:r>
              <w:rPr>
                <w:rFonts w:ascii="Aptos" w:hAnsi="Aptos"/>
                <w:b w:val="0"/>
                <w:sz w:val="16"/>
              </w:rPr>
              <w:t>Themes will be defined after inspecting the text; automated themes require validation.</w:t>
            </w:r>
          </w:p>
        </w:tc>
      </w:tr>
      <w:tr>
        <w:tc>
          <w:tcPr>
            <w:tcW w:type="dxa" w:w="2484"/>
            <w:vAlign w:val="center"/>
          </w:tcPr>
          <w:p>
            <w:pPr>
              <w:spacing w:after="20"/>
            </w:pPr>
            <w:r/>
            <w:r>
              <w:rPr>
                <w:rFonts w:ascii="Aptos" w:hAnsi="Aptos"/>
                <w:b w:val="0"/>
                <w:sz w:val="16"/>
              </w:rPr>
              <w:t>RQ5: Can review text predict rating-derived sentiment on held-out reviews?</w:t>
            </w:r>
          </w:p>
        </w:tc>
        <w:tc>
          <w:tcPr>
            <w:tcW w:type="dxa" w:w="2484"/>
            <w:vAlign w:val="center"/>
          </w:tcPr>
          <w:p>
            <w:pPr>
              <w:spacing w:after="20"/>
            </w:pPr>
            <w:r/>
            <w:r>
              <w:rPr>
                <w:rFonts w:ascii="Aptos" w:hAnsi="Aptos"/>
                <w:b w:val="0"/>
                <w:sz w:val="16"/>
              </w:rPr>
              <w:t>H0: Candidate text models do not outperform the majority-class baseline on the selected metric. H1: At least one model performs better.</w:t>
            </w:r>
          </w:p>
        </w:tc>
        <w:tc>
          <w:tcPr>
            <w:tcW w:type="dxa" w:w="2484"/>
            <w:vAlign w:val="center"/>
          </w:tcPr>
          <w:p>
            <w:pPr>
              <w:spacing w:after="20"/>
            </w:pPr>
            <w:r/>
            <w:r>
              <w:rPr>
                <w:rFonts w:ascii="Aptos" w:hAnsi="Aptos"/>
                <w:b w:val="0"/>
                <w:sz w:val="16"/>
              </w:rPr>
              <w:t>Stratified or grouped validation as appropriate; macro-F1, per-class precision/recall/F1, balanced accuracy, confusion matrix, and comparison with a majority baseline.</w:t>
            </w:r>
          </w:p>
        </w:tc>
        <w:tc>
          <w:tcPr>
            <w:tcW w:type="dxa" w:w="2484"/>
            <w:vAlign w:val="center"/>
          </w:tcPr>
          <w:p>
            <w:pPr>
              <w:spacing w:after="20"/>
            </w:pPr>
            <w:r/>
            <w:r>
              <w:rPr>
                <w:rFonts w:ascii="Aptos" w:hAnsi="Aptos"/>
                <w:b w:val="0"/>
                <w:sz w:val="16"/>
              </w:rPr>
              <w:t>Do not use rating as a feature because it generates the target label.</w:t>
            </w:r>
          </w:p>
        </w:tc>
      </w:tr>
    </w:tbl>
    <w:p>
      <w:pPr>
        <w:pStyle w:val="Heading1"/>
      </w:pPr>
      <w:r>
        <w:t>5. Variables and Data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287271"/>
          </w:tcPr>
          <w:p>
            <w:pPr>
              <w:spacing w:after="20"/>
            </w:pPr>
            <w:r/>
            <w:r>
              <w:rPr>
                <w:rFonts w:ascii="Aptos" w:hAnsi="Aptos"/>
                <w:b/>
                <w:color w:val="FFFFFF"/>
                <w:sz w:val="16"/>
              </w:rPr>
              <w:t>Variable</w:t>
            </w:r>
          </w:p>
        </w:tc>
        <w:tc>
          <w:tcPr>
            <w:tcW w:type="dxa" w:w="3312"/>
            <w:vAlign w:val="center"/>
            <w:shd w:fill="287271"/>
          </w:tcPr>
          <w:p>
            <w:pPr>
              <w:spacing w:after="20"/>
            </w:pPr>
            <w:r/>
            <w:r>
              <w:rPr>
                <w:rFonts w:ascii="Aptos" w:hAnsi="Aptos"/>
                <w:b/>
                <w:color w:val="FFFFFF"/>
                <w:sz w:val="16"/>
              </w:rPr>
              <w:t>Description</w:t>
            </w:r>
          </w:p>
        </w:tc>
        <w:tc>
          <w:tcPr>
            <w:tcW w:type="dxa" w:w="3312"/>
            <w:vAlign w:val="center"/>
            <w:shd w:fill="287271"/>
          </w:tcPr>
          <w:p>
            <w:pPr>
              <w:spacing w:after="20"/>
            </w:pPr>
            <w:r/>
            <w:r>
              <w:rPr>
                <w:rFonts w:ascii="Aptos" w:hAnsi="Aptos"/>
                <w:b/>
                <w:color w:val="FFFFFF"/>
                <w:sz w:val="16"/>
              </w:rPr>
              <w:t>Purpose / caution</w:t>
            </w:r>
          </w:p>
        </w:tc>
      </w:tr>
      <w:tr>
        <w:tc>
          <w:tcPr>
            <w:tcW w:type="dxa" w:w="3312"/>
            <w:vAlign w:val="center"/>
          </w:tcPr>
          <w:p>
            <w:pPr>
              <w:spacing w:after="20"/>
            </w:pPr>
            <w:r/>
            <w:r>
              <w:rPr>
                <w:rFonts w:ascii="Aptos" w:hAnsi="Aptos"/>
                <w:b w:val="0"/>
                <w:sz w:val="16"/>
              </w:rPr>
              <w:t>rating</w:t>
            </w:r>
          </w:p>
        </w:tc>
        <w:tc>
          <w:tcPr>
            <w:tcW w:type="dxa" w:w="3312"/>
            <w:vAlign w:val="center"/>
          </w:tcPr>
          <w:p>
            <w:pPr>
              <w:spacing w:after="20"/>
            </w:pPr>
            <w:r/>
            <w:r>
              <w:rPr>
                <w:rFonts w:ascii="Aptos" w:hAnsi="Aptos"/>
                <w:b w:val="0"/>
                <w:sz w:val="16"/>
              </w:rPr>
              <w:t>Numeric rating, expected 1–5</w:t>
            </w:r>
          </w:p>
        </w:tc>
        <w:tc>
          <w:tcPr>
            <w:tcW w:type="dxa" w:w="3312"/>
            <w:vAlign w:val="center"/>
          </w:tcPr>
          <w:p>
            <w:pPr>
              <w:spacing w:after="20"/>
            </w:pPr>
            <w:r/>
            <w:r>
              <w:rPr>
                <w:rFonts w:ascii="Aptos" w:hAnsi="Aptos"/>
                <w:b w:val="0"/>
                <w:sz w:val="16"/>
              </w:rPr>
              <w:t>Used to create weak sentiment labels; excluded from text-model input.</w:t>
            </w:r>
          </w:p>
        </w:tc>
      </w:tr>
      <w:tr>
        <w:tc>
          <w:tcPr>
            <w:tcW w:type="dxa" w:w="3312"/>
            <w:vAlign w:val="center"/>
          </w:tcPr>
          <w:p>
            <w:pPr>
              <w:spacing w:after="20"/>
            </w:pPr>
            <w:r/>
            <w:r>
              <w:rPr>
                <w:rFonts w:ascii="Aptos" w:hAnsi="Aptos"/>
                <w:b w:val="0"/>
                <w:sz w:val="16"/>
              </w:rPr>
              <w:t>title</w:t>
            </w:r>
          </w:p>
        </w:tc>
        <w:tc>
          <w:tcPr>
            <w:tcW w:type="dxa" w:w="3312"/>
            <w:vAlign w:val="center"/>
          </w:tcPr>
          <w:p>
            <w:pPr>
              <w:spacing w:after="20"/>
            </w:pPr>
            <w:r/>
            <w:r>
              <w:rPr>
                <w:rFonts w:ascii="Aptos" w:hAnsi="Aptos"/>
                <w:b w:val="0"/>
                <w:sz w:val="16"/>
              </w:rPr>
              <w:t>Review title</w:t>
            </w:r>
          </w:p>
        </w:tc>
        <w:tc>
          <w:tcPr>
            <w:tcW w:type="dxa" w:w="3312"/>
            <w:vAlign w:val="center"/>
          </w:tcPr>
          <w:p>
            <w:pPr>
              <w:spacing w:after="20"/>
            </w:pPr>
            <w:r/>
            <w:r>
              <w:rPr>
                <w:rFonts w:ascii="Aptos" w:hAnsi="Aptos"/>
                <w:b w:val="0"/>
                <w:sz w:val="16"/>
              </w:rPr>
              <w:t>Can be combined with review text for text analysis.</w:t>
            </w:r>
          </w:p>
        </w:tc>
      </w:tr>
      <w:tr>
        <w:tc>
          <w:tcPr>
            <w:tcW w:type="dxa" w:w="3312"/>
            <w:vAlign w:val="center"/>
          </w:tcPr>
          <w:p>
            <w:pPr>
              <w:spacing w:after="20"/>
            </w:pPr>
            <w:r/>
            <w:r>
              <w:rPr>
                <w:rFonts w:ascii="Aptos" w:hAnsi="Aptos"/>
                <w:b w:val="0"/>
                <w:sz w:val="16"/>
              </w:rPr>
              <w:t>text</w:t>
            </w:r>
          </w:p>
        </w:tc>
        <w:tc>
          <w:tcPr>
            <w:tcW w:type="dxa" w:w="3312"/>
            <w:vAlign w:val="center"/>
          </w:tcPr>
          <w:p>
            <w:pPr>
              <w:spacing w:after="20"/>
            </w:pPr>
            <w:r/>
            <w:r>
              <w:rPr>
                <w:rFonts w:ascii="Aptos" w:hAnsi="Aptos"/>
                <w:b w:val="0"/>
                <w:sz w:val="16"/>
              </w:rPr>
              <w:t>Review body</w:t>
            </w:r>
          </w:p>
        </w:tc>
        <w:tc>
          <w:tcPr>
            <w:tcW w:type="dxa" w:w="3312"/>
            <w:vAlign w:val="center"/>
          </w:tcPr>
          <w:p>
            <w:pPr>
              <w:spacing w:after="20"/>
            </w:pPr>
            <w:r/>
            <w:r>
              <w:rPr>
                <w:rFonts w:ascii="Aptos" w:hAnsi="Aptos"/>
                <w:b w:val="0"/>
                <w:sz w:val="16"/>
              </w:rPr>
              <w:t>Main text source for cleaning, themes, and classification.</w:t>
            </w:r>
          </w:p>
        </w:tc>
      </w:tr>
      <w:tr>
        <w:tc>
          <w:tcPr>
            <w:tcW w:type="dxa" w:w="3312"/>
            <w:vAlign w:val="center"/>
          </w:tcPr>
          <w:p>
            <w:pPr>
              <w:spacing w:after="20"/>
            </w:pPr>
            <w:r/>
            <w:r>
              <w:rPr>
                <w:rFonts w:ascii="Aptos" w:hAnsi="Aptos"/>
                <w:b w:val="0"/>
                <w:sz w:val="16"/>
              </w:rPr>
              <w:t>asin / parent_asin</w:t>
            </w:r>
          </w:p>
        </w:tc>
        <w:tc>
          <w:tcPr>
            <w:tcW w:type="dxa" w:w="3312"/>
            <w:vAlign w:val="center"/>
          </w:tcPr>
          <w:p>
            <w:pPr>
              <w:spacing w:after="20"/>
            </w:pPr>
            <w:r/>
            <w:r>
              <w:rPr>
                <w:rFonts w:ascii="Aptos" w:hAnsi="Aptos"/>
                <w:b w:val="0"/>
                <w:sz w:val="16"/>
              </w:rPr>
              <w:t>Product identifiers</w:t>
            </w:r>
          </w:p>
        </w:tc>
        <w:tc>
          <w:tcPr>
            <w:tcW w:type="dxa" w:w="3312"/>
            <w:vAlign w:val="center"/>
          </w:tcPr>
          <w:p>
            <w:pPr>
              <w:spacing w:after="20"/>
            </w:pPr>
            <w:r/>
            <w:r>
              <w:rPr>
                <w:rFonts w:ascii="Aptos" w:hAnsi="Aptos"/>
                <w:b w:val="0"/>
                <w:sz w:val="16"/>
              </w:rPr>
              <w:t>Deduplication, product grouping, and potential grouped train/test split.</w:t>
            </w:r>
          </w:p>
        </w:tc>
      </w:tr>
      <w:tr>
        <w:tc>
          <w:tcPr>
            <w:tcW w:type="dxa" w:w="3312"/>
            <w:vAlign w:val="center"/>
          </w:tcPr>
          <w:p>
            <w:pPr>
              <w:spacing w:after="20"/>
            </w:pPr>
            <w:r/>
            <w:r>
              <w:rPr>
                <w:rFonts w:ascii="Aptos" w:hAnsi="Aptos"/>
                <w:b w:val="0"/>
                <w:sz w:val="16"/>
              </w:rPr>
              <w:t>timestamp</w:t>
            </w:r>
          </w:p>
        </w:tc>
        <w:tc>
          <w:tcPr>
            <w:tcW w:type="dxa" w:w="3312"/>
            <w:vAlign w:val="center"/>
          </w:tcPr>
          <w:p>
            <w:pPr>
              <w:spacing w:after="20"/>
            </w:pPr>
            <w:r/>
            <w:r>
              <w:rPr>
                <w:rFonts w:ascii="Aptos" w:hAnsi="Aptos"/>
                <w:b w:val="0"/>
                <w:sz w:val="16"/>
              </w:rPr>
              <w:t>Review timestamp</w:t>
            </w:r>
          </w:p>
        </w:tc>
        <w:tc>
          <w:tcPr>
            <w:tcW w:type="dxa" w:w="3312"/>
            <w:vAlign w:val="center"/>
          </w:tcPr>
          <w:p>
            <w:pPr>
              <w:spacing w:after="20"/>
            </w:pPr>
            <w:r/>
            <w:r>
              <w:rPr>
                <w:rFonts w:ascii="Aptos" w:hAnsi="Aptos"/>
                <w:b w:val="0"/>
                <w:sz w:val="16"/>
              </w:rPr>
              <w:t>Temporal profiling if sufficiently complete and consistently formatted.</w:t>
            </w:r>
          </w:p>
        </w:tc>
      </w:tr>
      <w:tr>
        <w:tc>
          <w:tcPr>
            <w:tcW w:type="dxa" w:w="3312"/>
            <w:vAlign w:val="center"/>
          </w:tcPr>
          <w:p>
            <w:pPr>
              <w:spacing w:after="20"/>
            </w:pPr>
            <w:r/>
            <w:r>
              <w:rPr>
                <w:rFonts w:ascii="Aptos" w:hAnsi="Aptos"/>
                <w:b w:val="0"/>
                <w:sz w:val="16"/>
              </w:rPr>
              <w:t>helpful_vote</w:t>
            </w:r>
          </w:p>
        </w:tc>
        <w:tc>
          <w:tcPr>
            <w:tcW w:type="dxa" w:w="3312"/>
            <w:vAlign w:val="center"/>
          </w:tcPr>
          <w:p>
            <w:pPr>
              <w:spacing w:after="20"/>
            </w:pPr>
            <w:r/>
            <w:r>
              <w:rPr>
                <w:rFonts w:ascii="Aptos" w:hAnsi="Aptos"/>
                <w:b w:val="0"/>
                <w:sz w:val="16"/>
              </w:rPr>
              <w:t>Count of helpful votes</w:t>
            </w:r>
          </w:p>
        </w:tc>
        <w:tc>
          <w:tcPr>
            <w:tcW w:type="dxa" w:w="3312"/>
            <w:vAlign w:val="center"/>
          </w:tcPr>
          <w:p>
            <w:pPr>
              <w:spacing w:after="20"/>
            </w:pPr>
            <w:r/>
            <w:r>
              <w:rPr>
                <w:rFonts w:ascii="Aptos" w:hAnsi="Aptos"/>
                <w:b w:val="0"/>
                <w:sz w:val="16"/>
              </w:rPr>
              <w:t>Exploratory comparison; likely skewed and zero-inflated.</w:t>
            </w:r>
          </w:p>
        </w:tc>
      </w:tr>
      <w:tr>
        <w:tc>
          <w:tcPr>
            <w:tcW w:type="dxa" w:w="3312"/>
            <w:vAlign w:val="center"/>
          </w:tcPr>
          <w:p>
            <w:pPr>
              <w:spacing w:after="20"/>
            </w:pPr>
            <w:r/>
            <w:r>
              <w:rPr>
                <w:rFonts w:ascii="Aptos" w:hAnsi="Aptos"/>
                <w:b w:val="0"/>
                <w:sz w:val="16"/>
              </w:rPr>
              <w:t>verified_purchase</w:t>
            </w:r>
          </w:p>
        </w:tc>
        <w:tc>
          <w:tcPr>
            <w:tcW w:type="dxa" w:w="3312"/>
            <w:vAlign w:val="center"/>
          </w:tcPr>
          <w:p>
            <w:pPr>
              <w:spacing w:after="20"/>
            </w:pPr>
            <w:r/>
            <w:r>
              <w:rPr>
                <w:rFonts w:ascii="Aptos" w:hAnsi="Aptos"/>
                <w:b w:val="0"/>
                <w:sz w:val="16"/>
              </w:rPr>
              <w:t>Boolean or categorical flag</w:t>
            </w:r>
          </w:p>
        </w:tc>
        <w:tc>
          <w:tcPr>
            <w:tcW w:type="dxa" w:w="3312"/>
            <w:vAlign w:val="center"/>
          </w:tcPr>
          <w:p>
            <w:pPr>
              <w:spacing w:after="20"/>
            </w:pPr>
            <w:r/>
            <w:r>
              <w:rPr>
                <w:rFonts w:ascii="Aptos" w:hAnsi="Aptos"/>
                <w:b w:val="0"/>
                <w:sz w:val="16"/>
              </w:rPr>
              <w:t>Optional descriptive comparison; not interpreted as proof of review truthfulness.</w:t>
            </w:r>
          </w:p>
        </w:tc>
      </w:tr>
      <w:tr>
        <w:tc>
          <w:tcPr>
            <w:tcW w:type="dxa" w:w="3312"/>
            <w:vAlign w:val="center"/>
          </w:tcPr>
          <w:p>
            <w:pPr>
              <w:spacing w:after="20"/>
            </w:pPr>
            <w:r/>
            <w:r>
              <w:rPr>
                <w:rFonts w:ascii="Aptos" w:hAnsi="Aptos"/>
                <w:b w:val="0"/>
                <w:sz w:val="16"/>
              </w:rPr>
              <w:t>subcategory / product metadata</w:t>
            </w:r>
          </w:p>
        </w:tc>
        <w:tc>
          <w:tcPr>
            <w:tcW w:type="dxa" w:w="3312"/>
            <w:vAlign w:val="center"/>
          </w:tcPr>
          <w:p>
            <w:pPr>
              <w:spacing w:after="20"/>
            </w:pPr>
            <w:r/>
            <w:r>
              <w:rPr>
                <w:rFonts w:ascii="Aptos" w:hAnsi="Aptos"/>
                <w:b w:val="0"/>
                <w:sz w:val="16"/>
              </w:rPr>
              <w:t>Category or product attributes, if obtainable</w:t>
            </w:r>
          </w:p>
        </w:tc>
        <w:tc>
          <w:tcPr>
            <w:tcW w:type="dxa" w:w="3312"/>
            <w:vAlign w:val="center"/>
          </w:tcPr>
          <w:p>
            <w:pPr>
              <w:spacing w:after="20"/>
            </w:pPr>
            <w:r/>
            <w:r>
              <w:rPr>
                <w:rFonts w:ascii="Aptos" w:hAnsi="Aptos"/>
                <w:b w:val="0"/>
                <w:sz w:val="16"/>
              </w:rPr>
              <w:t>Required for category-level questions; availability must be confirmed.</w:t>
            </w:r>
          </w:p>
        </w:tc>
      </w:tr>
      <w:tr>
        <w:tc>
          <w:tcPr>
            <w:tcW w:type="dxa" w:w="3312"/>
            <w:vAlign w:val="center"/>
          </w:tcPr>
          <w:p>
            <w:pPr>
              <w:spacing w:after="20"/>
            </w:pPr>
            <w:r/>
            <w:r>
              <w:rPr>
                <w:rFonts w:ascii="Aptos" w:hAnsi="Aptos"/>
                <w:b w:val="0"/>
                <w:sz w:val="16"/>
              </w:rPr>
              <w:t>sentiment</w:t>
            </w:r>
          </w:p>
        </w:tc>
        <w:tc>
          <w:tcPr>
            <w:tcW w:type="dxa" w:w="3312"/>
            <w:vAlign w:val="center"/>
          </w:tcPr>
          <w:p>
            <w:pPr>
              <w:spacing w:after="20"/>
            </w:pPr>
            <w:r/>
            <w:r>
              <w:rPr>
                <w:rFonts w:ascii="Aptos" w:hAnsi="Aptos"/>
                <w:b w:val="0"/>
                <w:sz w:val="16"/>
              </w:rPr>
              <w:t>Derived target: negative, neutral, positive</w:t>
            </w:r>
          </w:p>
        </w:tc>
        <w:tc>
          <w:tcPr>
            <w:tcW w:type="dxa" w:w="3312"/>
            <w:vAlign w:val="center"/>
          </w:tcPr>
          <w:p>
            <w:pPr>
              <w:spacing w:after="20"/>
            </w:pPr>
            <w:r/>
            <w:r>
              <w:rPr>
                <w:rFonts w:ascii="Aptos" w:hAnsi="Aptos"/>
                <w:b w:val="0"/>
                <w:sz w:val="16"/>
              </w:rPr>
              <w:t>1–2 stars = negative; 3 stars = neutral; 4–5 stars = positive.</w:t>
            </w:r>
          </w:p>
        </w:tc>
      </w:tr>
      <w:tr>
        <w:tc>
          <w:tcPr>
            <w:tcW w:type="dxa" w:w="3312"/>
            <w:vAlign w:val="center"/>
          </w:tcPr>
          <w:p>
            <w:pPr>
              <w:spacing w:after="20"/>
            </w:pPr>
            <w:r/>
            <w:r>
              <w:rPr>
                <w:rFonts w:ascii="Aptos" w:hAnsi="Aptos"/>
                <w:b w:val="0"/>
                <w:sz w:val="16"/>
              </w:rPr>
              <w:t>word_count / theme flags</w:t>
            </w:r>
          </w:p>
        </w:tc>
        <w:tc>
          <w:tcPr>
            <w:tcW w:type="dxa" w:w="3312"/>
            <w:vAlign w:val="center"/>
          </w:tcPr>
          <w:p>
            <w:pPr>
              <w:spacing w:after="20"/>
            </w:pPr>
            <w:r/>
            <w:r>
              <w:rPr>
                <w:rFonts w:ascii="Aptos" w:hAnsi="Aptos"/>
                <w:b w:val="0"/>
                <w:sz w:val="16"/>
              </w:rPr>
              <w:t>Engineered features</w:t>
            </w:r>
          </w:p>
        </w:tc>
        <w:tc>
          <w:tcPr>
            <w:tcW w:type="dxa" w:w="3312"/>
            <w:vAlign w:val="center"/>
          </w:tcPr>
          <w:p>
            <w:pPr>
              <w:spacing w:after="20"/>
            </w:pPr>
            <w:r/>
            <w:r>
              <w:rPr>
                <w:rFonts w:ascii="Aptos" w:hAnsi="Aptos"/>
                <w:b w:val="0"/>
                <w:sz w:val="16"/>
              </w:rPr>
              <w:t>Review length and theme indicators for statistical analysis; text-derived features used carefully in modeling.</w:t>
            </w:r>
          </w:p>
        </w:tc>
      </w:tr>
    </w:tbl>
    <w:p>
      <w:pPr>
        <w:pStyle w:val="Heading1"/>
      </w:pPr>
      <w:r>
        <w:t>6. Proposed Analytical Approach</w:t>
      </w:r>
    </w:p>
    <w:p>
      <w:pPr>
        <w:pStyle w:val="ListNumber"/>
        <w:spacing w:after="80"/>
      </w:pPr>
      <w:r>
        <w:rPr>
          <w:b/>
        </w:rPr>
        <w:t xml:space="preserve">Data-source and access review: </w:t>
      </w:r>
      <w:r>
        <w:t>Document the source, available fields, dataset version, terms, and practical download strategy. Prefer sampling across available shards rather than assuming one shard represents the full category.</w:t>
      </w:r>
    </w:p>
    <w:p>
      <w:pPr>
        <w:pStyle w:val="ListNumber"/>
        <w:spacing w:after="80"/>
      </w:pPr>
      <w:r>
        <w:rPr>
          <w:b/>
        </w:rPr>
        <w:t xml:space="preserve">Initial profiling: </w:t>
      </w:r>
      <w:r>
        <w:t>Check row and column counts, data types, rating values, missingness, empty text, duplicates, identifier uniqueness, and the distribution of timestamps and helpful votes.</w:t>
      </w:r>
    </w:p>
    <w:p>
      <w:pPr>
        <w:pStyle w:val="ListNumber"/>
        <w:spacing w:after="80"/>
      </w:pPr>
      <w:r>
        <w:rPr>
          <w:b/>
        </w:rPr>
        <w:t xml:space="preserve">Preprocessing: </w:t>
      </w:r>
      <w:r>
        <w:t>Normalize text whitespace, handle missing title/body values explicitly, validate ratings, remove exact or clearly defined duplicates, and preserve raw source fields where possible.</w:t>
      </w:r>
    </w:p>
    <w:p>
      <w:pPr>
        <w:pStyle w:val="ListNumber"/>
        <w:spacing w:after="80"/>
      </w:pPr>
      <w:r>
        <w:rPr>
          <w:b/>
        </w:rPr>
        <w:t xml:space="preserve">Label creation: </w:t>
      </w:r>
      <w:r>
        <w:t>Map ratings to negative (1–2), neutral (3), and positive (4–5). Record this as rating-derived weak supervision, not verified text sentiment.</w:t>
      </w:r>
    </w:p>
    <w:p>
      <w:pPr>
        <w:pStyle w:val="ListNumber"/>
        <w:spacing w:after="80"/>
      </w:pPr>
      <w:r>
        <w:rPr>
          <w:b/>
        </w:rPr>
        <w:t xml:space="preserve">Exploratory analysis: </w:t>
      </w:r>
      <w:r>
        <w:t>Use bar charts, distributions, boxplots, summary statistics, and group comparisons to describe the sample and identify data-quality concerns.</w:t>
      </w:r>
    </w:p>
    <w:p>
      <w:pPr>
        <w:pStyle w:val="ListNumber"/>
        <w:spacing w:after="80"/>
      </w:pPr>
      <w:r>
        <w:rPr>
          <w:b/>
        </w:rPr>
        <w:t xml:space="preserve">Statistical testing: </w:t>
      </w:r>
      <w:r>
        <w:t>Use chi-square/Cramér’s V for suitable categorical associations and Kruskal–Wallis with corrected pairwise comparisons for skewed group comparisons. Report effect sizes, sample sizes, and adjusted p-values.</w:t>
      </w:r>
    </w:p>
    <w:p>
      <w:pPr>
        <w:pStyle w:val="ListNumber"/>
        <w:spacing w:after="80"/>
      </w:pPr>
      <w:r>
        <w:rPr>
          <w:b/>
        </w:rPr>
        <w:t xml:space="preserve">Theme exploration: </w:t>
      </w:r>
      <w:r>
        <w:t>Inspect a sample of reviews to define candidate themes such as fragrance, texture, packaging, price, or perceived effectiveness. Treat these as candidate themes, not findings, until validated.</w:t>
      </w:r>
    </w:p>
    <w:p>
      <w:pPr>
        <w:pStyle w:val="ListNumber"/>
        <w:spacing w:after="80"/>
      </w:pPr>
      <w:r>
        <w:rPr>
          <w:b/>
        </w:rPr>
        <w:t xml:space="preserve">Text classification: </w:t>
      </w:r>
      <w:r>
        <w:t>Build a majority baseline and compare TF-IDF with Logistic Regression, Multinomial Naive Bayes, and Linear SVC. Exclude rating and other label-derived fields from model inputs.</w:t>
      </w:r>
    </w:p>
    <w:p>
      <w:pPr>
        <w:pStyle w:val="ListNumber"/>
        <w:spacing w:after="80"/>
      </w:pPr>
      <w:r>
        <w:rPr>
          <w:b/>
        </w:rPr>
        <w:t xml:space="preserve">Validation: </w:t>
      </w:r>
      <w:r>
        <w:t>Use held-out evaluation, stratification where appropriate, and product-grouped splitting if feasible to reduce leakage from repeated or related product reviews. Report macro-F1 and per-class metrics.</w:t>
      </w:r>
    </w:p>
    <w:p>
      <w:pPr>
        <w:pStyle w:val="ListNumber"/>
        <w:spacing w:after="80"/>
      </w:pPr>
      <w:r>
        <w:rPr>
          <w:b/>
        </w:rPr>
        <w:t xml:space="preserve">Business interpretation: </w:t>
      </w:r>
      <w:r>
        <w:t>Separate observed patterns from recommendations, discuss uncertainty and sampling limits, and identify which findings warrant further investigation.</w:t>
      </w:r>
    </w:p>
    <w:p>
      <w:pPr>
        <w:pStyle w:val="Heading1"/>
      </w:pPr>
      <w:r>
        <w:t>7. Tools and Technical Plan</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Tool</w:t>
            </w:r>
          </w:p>
        </w:tc>
        <w:tc>
          <w:tcPr>
            <w:tcW w:type="dxa" w:w="4968"/>
            <w:vAlign w:val="center"/>
            <w:shd w:fill="17365D"/>
          </w:tcPr>
          <w:p>
            <w:pPr>
              <w:spacing w:after="20"/>
            </w:pPr>
            <w:r/>
            <w:r>
              <w:rPr>
                <w:rFonts w:ascii="Aptos" w:hAnsi="Aptos"/>
                <w:b/>
                <w:color w:val="FFFFFF"/>
                <w:sz w:val="18"/>
              </w:rPr>
              <w:t>Intended use</w:t>
            </w:r>
          </w:p>
        </w:tc>
      </w:tr>
      <w:tr>
        <w:tc>
          <w:tcPr>
            <w:tcW w:type="dxa" w:w="4968"/>
            <w:vAlign w:val="center"/>
          </w:tcPr>
          <w:p>
            <w:pPr>
              <w:spacing w:after="20"/>
            </w:pPr>
            <w:r/>
            <w:r>
              <w:rPr>
                <w:rFonts w:ascii="Aptos" w:hAnsi="Aptos"/>
                <w:b/>
                <w:sz w:val="18"/>
              </w:rPr>
              <w:t>Python</w:t>
            </w:r>
          </w:p>
        </w:tc>
        <w:tc>
          <w:tcPr>
            <w:tcW w:type="dxa" w:w="4968"/>
            <w:vAlign w:val="center"/>
          </w:tcPr>
          <w:p>
            <w:pPr>
              <w:spacing w:after="20"/>
            </w:pPr>
            <w:r/>
            <w:r>
              <w:rPr>
                <w:rFonts w:ascii="Aptos" w:hAnsi="Aptos"/>
                <w:b w:val="0"/>
                <w:sz w:val="18"/>
              </w:rPr>
              <w:t>Reproducible scripts and end-to-end workflow.</w:t>
            </w:r>
          </w:p>
        </w:tc>
      </w:tr>
      <w:tr>
        <w:tc>
          <w:tcPr>
            <w:tcW w:type="dxa" w:w="4968"/>
            <w:vAlign w:val="center"/>
          </w:tcPr>
          <w:p>
            <w:pPr>
              <w:spacing w:after="20"/>
            </w:pPr>
            <w:r/>
            <w:r>
              <w:rPr>
                <w:rFonts w:ascii="Aptos" w:hAnsi="Aptos"/>
                <w:b/>
                <w:sz w:val="18"/>
              </w:rPr>
              <w:t>Pandas / NumPy</w:t>
            </w:r>
          </w:p>
        </w:tc>
        <w:tc>
          <w:tcPr>
            <w:tcW w:type="dxa" w:w="4968"/>
            <w:vAlign w:val="center"/>
          </w:tcPr>
          <w:p>
            <w:pPr>
              <w:spacing w:after="20"/>
            </w:pPr>
            <w:r/>
            <w:r>
              <w:rPr>
                <w:rFonts w:ascii="Aptos" w:hAnsi="Aptos"/>
                <w:b w:val="0"/>
                <w:sz w:val="18"/>
              </w:rPr>
              <w:t>Tabular processing, quality checks, transformations, and summaries.</w:t>
            </w:r>
          </w:p>
        </w:tc>
      </w:tr>
      <w:tr>
        <w:tc>
          <w:tcPr>
            <w:tcW w:type="dxa" w:w="4968"/>
            <w:vAlign w:val="center"/>
          </w:tcPr>
          <w:p>
            <w:pPr>
              <w:spacing w:after="20"/>
            </w:pPr>
            <w:r/>
            <w:r>
              <w:rPr>
                <w:rFonts w:ascii="Aptos" w:hAnsi="Aptos"/>
                <w:b/>
                <w:sz w:val="18"/>
              </w:rPr>
              <w:t>Matplotlib / Seaborn</w:t>
            </w:r>
          </w:p>
        </w:tc>
        <w:tc>
          <w:tcPr>
            <w:tcW w:type="dxa" w:w="4968"/>
            <w:vAlign w:val="center"/>
          </w:tcPr>
          <w:p>
            <w:pPr>
              <w:spacing w:after="20"/>
            </w:pPr>
            <w:r/>
            <w:r>
              <w:rPr>
                <w:rFonts w:ascii="Aptos" w:hAnsi="Aptos"/>
                <w:b w:val="0"/>
                <w:sz w:val="18"/>
              </w:rPr>
              <w:t>Distribution plots, comparisons, and exploratory visualizations.</w:t>
            </w:r>
          </w:p>
        </w:tc>
      </w:tr>
      <w:tr>
        <w:tc>
          <w:tcPr>
            <w:tcW w:type="dxa" w:w="4968"/>
            <w:vAlign w:val="center"/>
          </w:tcPr>
          <w:p>
            <w:pPr>
              <w:spacing w:after="20"/>
            </w:pPr>
            <w:r/>
            <w:r>
              <w:rPr>
                <w:rFonts w:ascii="Aptos" w:hAnsi="Aptos"/>
                <w:b/>
                <w:sz w:val="18"/>
              </w:rPr>
              <w:t>SciPy</w:t>
            </w:r>
          </w:p>
        </w:tc>
        <w:tc>
          <w:tcPr>
            <w:tcW w:type="dxa" w:w="4968"/>
            <w:vAlign w:val="center"/>
          </w:tcPr>
          <w:p>
            <w:pPr>
              <w:spacing w:after="20"/>
            </w:pPr>
            <w:r/>
            <w:r>
              <w:rPr>
                <w:rFonts w:ascii="Aptos" w:hAnsi="Aptos"/>
                <w:b w:val="0"/>
                <w:sz w:val="18"/>
              </w:rPr>
              <w:t>Non-parametric tests and statistical analysis.</w:t>
            </w:r>
          </w:p>
        </w:tc>
      </w:tr>
      <w:tr>
        <w:tc>
          <w:tcPr>
            <w:tcW w:type="dxa" w:w="4968"/>
            <w:vAlign w:val="center"/>
          </w:tcPr>
          <w:p>
            <w:pPr>
              <w:spacing w:after="20"/>
            </w:pPr>
            <w:r/>
            <w:r>
              <w:rPr>
                <w:rFonts w:ascii="Aptos" w:hAnsi="Aptos"/>
                <w:b/>
                <w:sz w:val="18"/>
              </w:rPr>
              <w:t>Scikit-learn</w:t>
            </w:r>
          </w:p>
        </w:tc>
        <w:tc>
          <w:tcPr>
            <w:tcW w:type="dxa" w:w="4968"/>
            <w:vAlign w:val="center"/>
          </w:tcPr>
          <w:p>
            <w:pPr>
              <w:spacing w:after="20"/>
            </w:pPr>
            <w:r/>
            <w:r>
              <w:rPr>
                <w:rFonts w:ascii="Aptos" w:hAnsi="Aptos"/>
                <w:b w:val="0"/>
                <w:sz w:val="18"/>
              </w:rPr>
              <w:t>TF-IDF vectorization, classification models, data splitting, and evaluation metrics.</w:t>
            </w:r>
          </w:p>
        </w:tc>
      </w:tr>
      <w:tr>
        <w:tc>
          <w:tcPr>
            <w:tcW w:type="dxa" w:w="4968"/>
            <w:vAlign w:val="center"/>
          </w:tcPr>
          <w:p>
            <w:pPr>
              <w:spacing w:after="20"/>
            </w:pPr>
            <w:r/>
            <w:r>
              <w:rPr>
                <w:rFonts w:ascii="Aptos" w:hAnsi="Aptos"/>
                <w:b/>
                <w:sz w:val="18"/>
              </w:rPr>
              <w:t>Hugging Face Datasets / PyArrow</w:t>
            </w:r>
          </w:p>
        </w:tc>
        <w:tc>
          <w:tcPr>
            <w:tcW w:type="dxa" w:w="4968"/>
            <w:vAlign w:val="center"/>
          </w:tcPr>
          <w:p>
            <w:pPr>
              <w:spacing w:after="20"/>
            </w:pPr>
            <w:r/>
            <w:r>
              <w:rPr>
                <w:rFonts w:ascii="Aptos" w:hAnsi="Aptos"/>
                <w:b w:val="0"/>
                <w:sz w:val="18"/>
              </w:rPr>
              <w:t>Accessing the public dataset in supported formats and streaming or reading samples.</w:t>
            </w:r>
          </w:p>
        </w:tc>
      </w:tr>
    </w:tbl>
    <w:p>
      <w:pPr>
        <w:pStyle w:val="Heading1"/>
      </w:pPr>
      <w:r>
        <w:t>8. Data Quality, Ethics, and Limitations</w:t>
      </w:r>
    </w:p>
    <w:p>
      <w:pPr>
        <w:pStyle w:val="ListBullet"/>
        <w:spacing w:after="40"/>
      </w:pPr>
      <w:r>
        <w:t>Rating-derived labels are imperfect proxies: written text and star ratings can disagree.</w:t>
      </w:r>
    </w:p>
    <w:p>
      <w:pPr>
        <w:pStyle w:val="ListBullet"/>
        <w:spacing w:after="40"/>
      </w:pPr>
      <w:r>
        <w:t>The dataset may be imbalanced, with substantially more positive ratings than negative or neutral ratings.</w:t>
      </w:r>
    </w:p>
    <w:p>
      <w:pPr>
        <w:pStyle w:val="ListBullet"/>
        <w:spacing w:after="40"/>
      </w:pPr>
      <w:r>
        <w:t>Reviews are self-selected and platform-specific; they do not represent every customer or all beauty purchases.</w:t>
      </w:r>
    </w:p>
    <w:p>
      <w:pPr>
        <w:pStyle w:val="ListBullet"/>
        <w:spacing w:after="40"/>
      </w:pPr>
      <w:r>
        <w:t>Duplicate, low-information, extremely short, or templated reviews may affect analysis and must be examined rather than silently discarded.</w:t>
      </w:r>
    </w:p>
    <w:p>
      <w:pPr>
        <w:pStyle w:val="ListBullet"/>
        <w:spacing w:after="40"/>
      </w:pPr>
      <w:r>
        <w:t>Helpful votes may be sparse and highly skewed; statistical significance alone will not indicate business importance.</w:t>
      </w:r>
    </w:p>
    <w:p>
      <w:pPr>
        <w:pStyle w:val="ListBullet"/>
        <w:spacing w:after="40"/>
      </w:pPr>
      <w:r>
        <w:t>Product subcategory metadata may be absent from review records and may require a separate, compatible source.</w:t>
      </w:r>
    </w:p>
    <w:p>
      <w:pPr>
        <w:pStyle w:val="ListBullet"/>
        <w:spacing w:after="40"/>
      </w:pPr>
      <w:r>
        <w:t>Product identifiers and reviewer identifiers should not be exposed unnecessarily; public repository documentation must follow dataset terms and avoid publishing raw personal data.</w:t>
      </w:r>
    </w:p>
    <w:p>
      <w:pPr>
        <w:pStyle w:val="ListBullet"/>
        <w:spacing w:after="40"/>
      </w:pPr>
      <w:r>
        <w:t>The analysis must not make medical claims or infer sensitive health attributes. Review themes about perceived effectiveness are opinions, not verified clinical evidence.</w:t>
      </w:r>
    </w:p>
    <w:p>
      <w:pPr>
        <w:pStyle w:val="ListBullet"/>
        <w:spacing w:after="40"/>
      </w:pPr>
      <w:r>
        <w:t>Correlation and group differences do not establish causation. Model metrics describe prediction of rating-derived labels, not independently verified sentiment or product quality.</w:t>
      </w:r>
    </w:p>
    <w:p>
      <w:pPr>
        <w:pStyle w:val="Heading1"/>
      </w:pPr>
      <w:r>
        <w:t>9. Expected Outcomes and Success Criteria</w:t>
      </w:r>
    </w:p>
    <w:p>
      <w:r>
        <w:t>By the end of the six-week project, the intended outputs are:</w:t>
      </w:r>
    </w:p>
    <w:p>
      <w:pPr>
        <w:pStyle w:val="ListBullet"/>
        <w:spacing w:after="40"/>
      </w:pPr>
      <w:r>
        <w:t>A documented and reproducible data-sourcing and preprocessing workflow.</w:t>
      </w:r>
    </w:p>
    <w:p>
      <w:pPr>
        <w:pStyle w:val="ListBullet"/>
        <w:spacing w:after="40"/>
      </w:pPr>
      <w:r>
        <w:t>A transparent exploratory report describing the sample, rating-derived sentiment balance, and review-text characteristics.</w:t>
      </w:r>
    </w:p>
    <w:p>
      <w:pPr>
        <w:pStyle w:val="ListBullet"/>
        <w:spacing w:after="40"/>
      </w:pPr>
      <w:r>
        <w:t>Statistical results reported with effect sizes and multiple-testing adjustments where appropriate.</w:t>
      </w:r>
    </w:p>
    <w:p>
      <w:pPr>
        <w:pStyle w:val="ListBullet"/>
        <w:spacing w:after="40"/>
      </w:pPr>
      <w:r>
        <w:t>A validated set of review themes, with examples reviewed manually where feasible.</w:t>
      </w:r>
    </w:p>
    <w:p>
      <w:pPr>
        <w:pStyle w:val="ListBullet"/>
        <w:spacing w:after="40"/>
      </w:pPr>
      <w:r>
        <w:t>A comparison of baseline and candidate classifiers using macro-F1 and per-class performance.</w:t>
      </w:r>
    </w:p>
    <w:p>
      <w:pPr>
        <w:pStyle w:val="ListBullet"/>
        <w:spacing w:after="40"/>
      </w:pPr>
      <w:r>
        <w:t>Evidence-based business recommendations that include uncertainty, limitations, and next steps.</w:t>
      </w:r>
    </w:p>
    <w:p>
      <w:pPr>
        <w:pStyle w:val="ListBullet"/>
        <w:spacing w:after="40"/>
      </w:pPr>
      <w:r>
        <w:t>A GitHub repository with source code, README, requirements, data-source documentation, and reports, subject to dataset license and access terms.</w:t>
      </w:r>
    </w:p>
    <w:p>
      <w:pPr>
        <w:pStyle w:val="Heading1"/>
      </w:pPr>
      <w:r>
        <w:t>10. Conclusion</w:t>
      </w:r>
    </w:p>
    <w:p>
      <w:r>
        <w:t>Customer reviews are a useful source of observable feedback in the beauty and personal-care market, but their volume, unstructured format, selection bias, and imperfect relationship with star ratings make careful analysis essential. This project will use public review data to study rating-derived sentiment, review characteristics, and recurring themes, then compare text-classification models using metrics appropriate for imbalanced classes. The Week 1 plan establishes a clear business problem, testable research questions, required variables, an analytical workflow, and safeguards against label leakage and overclaiming. Later weeks will confirm the data’s suitability and revise any question that cannot be answered with the available fields.</w:t>
      </w:r>
    </w:p>
    <w:p>
      <w:pPr>
        <w:pStyle w:val="Heading1"/>
      </w:pPr>
      <w:r>
        <w:t>References</w:t>
      </w:r>
    </w:p>
    <w:p>
      <w:pPr>
        <w:pStyle w:val="ListBullet"/>
        <w:spacing w:after="60"/>
      </w:pPr>
      <w:r>
        <w:t>McAuley-Lab. Amazon-Reviews-2023 dataset repository. Dataset card and files.</w:t>
        <w:br/>
      </w:r>
      <w:r>
        <w:rPr>
          <w:color w:val="0563C1"/>
          <w:u w:val="single"/>
        </w:rPr>
        <w:t>https://huggingface.co/datasets/McAuley-Lab/Amazon-Reviews-2023</w:t>
      </w:r>
    </w:p>
    <w:p>
      <w:pPr>
        <w:pStyle w:val="ListBullet"/>
        <w:spacing w:after="60"/>
      </w:pPr>
      <w:r>
        <w:t>McKinsey &amp; Company (2025). State of Beauty 2025: Solving a shifting growth puzzle.</w:t>
        <w:br/>
      </w:r>
      <w:r>
        <w:rPr>
          <w:color w:val="0563C1"/>
          <w:u w:val="single"/>
        </w:rPr>
        <w:t>https://www.mckinsey.com/industries/consumer-packaged-goods/our-insights/state-of-beauty-2025</w:t>
      </w:r>
    </w:p>
    <w:p>
      <w:pPr>
        <w:pStyle w:val="ListBullet"/>
        <w:spacing w:after="60"/>
      </w:pPr>
      <w:r>
        <w:t>McKinsey &amp; Company (2025). The $2 trillion global wellness market gets a millennial and Gen Z glow-up.</w:t>
        <w:br/>
      </w:r>
      <w:r>
        <w:rPr>
          <w:color w:val="0563C1"/>
          <w:u w:val="single"/>
        </w:rPr>
        <w:t>https://www.mckinsey.com/industries/consumer-packaged-goods/our-insights/future-of-wellness-trends</w:t>
      </w:r>
    </w:p>
    <w:p>
      <w:pPr>
        <w:pStyle w:val="Heading1"/>
      </w:pPr>
      <w:r>
        <w:t>Appendix A — Submission Description (200+ words)</w:t>
      </w:r>
    </w:p>
    <w:p>
      <w:r>
        <w:t>This report presents the Week 1 Data Science Orientation and Problem Definition for a Data Science with Python Analyst Internship focused on the beauty and wellness industry. The selected project, “Beauty &amp; Personal Care Customer Sentiment Analysis,” examines how publicly available online product reviews can be analyzed to summarize customer feedback, identify recurring review themes, and support evidence-based customer-experience decisions. The report explains the business relevance of review analytics and defines a clear problem statement, project objectives, five research questions, and provisional hypotheses. It outlines a proposed data source from the McAuley-Lab Amazon-Reviews-2023 collection and an initial target of approximately 50,000 English-language reviews, subject to source availability and quality checks. The proposed label strategy maps one- and two-star reviews to negative, three-star reviews to neutral, and four- and five-star reviews to positive. These are explicitly treated as rating-derived weak labels rather than verified human sentiment annotations. The methodology covers data profiling, missing-value and duplicate checks, text preprocessing, exploratory visualization, statistical hypothesis testing, theme exploration, and predictive text classification. Candidate models include TF-IDF with Logistic Regression, Multinomial Naive Bayes, and Linear SVC, compared against a majority-class baseline. Macro-F1 and per-class precision, recall, and F1 are prioritized because class imbalance may make accuracy misleading. The report also identifies data limitations, potential label leakage, review-selection bias, privacy considerations, and the need to avoid causal or medical claims. It does not claim predictive accuracy or final business findings before the planned analysis is completed. Overall, the report establishes a structured and reproducible foundation for the subsequent internship tasks in data sourcing, preprocessing, exploratory analysis, modeling, and evaluation.</w:t>
      </w:r>
    </w:p>
    <w:p>
      <w:r>
        <w:t>Word count: 263 words</w:t>
      </w:r>
    </w:p>
    <w:p>
      <w:pPr>
        <w:pStyle w:val="Heading1"/>
      </w:pPr>
      <w:r>
        <w:t>Appendix B — Assumptions to Validate</w:t>
      </w:r>
    </w:p>
    <w:p>
      <w:pPr>
        <w:pStyle w:val="ListBullet"/>
        <w:spacing w:after="40"/>
      </w:pPr>
      <w:r>
        <w:t>The selected dataset version and file structure remain accessible for the intended academic analysis.</w:t>
      </w:r>
    </w:p>
    <w:p>
      <w:pPr>
        <w:pStyle w:val="ListBullet"/>
        <w:spacing w:after="40"/>
      </w:pPr>
      <w:r>
        <w:t>The final sample can be assembled across shards without relying on one shard as a representative sample.</w:t>
      </w:r>
    </w:p>
    <w:p>
      <w:pPr>
        <w:pStyle w:val="ListBullet"/>
        <w:spacing w:after="40"/>
      </w:pPr>
      <w:r>
        <w:t>Review text and ratings are sufficiently complete for the planned classification task.</w:t>
      </w:r>
    </w:p>
    <w:p>
      <w:pPr>
        <w:pStyle w:val="ListBullet"/>
        <w:spacing w:after="40"/>
      </w:pPr>
      <w:r>
        <w:t>Product metadata can be joined reliably if subcategory-level comparisons are retained.</w:t>
      </w:r>
    </w:p>
    <w:p>
      <w:pPr>
        <w:pStyle w:val="ListBullet"/>
        <w:spacing w:after="40"/>
      </w:pPr>
      <w:r>
        <w:t>Dataset terms permit the intended analysis and the planned public GitHub documentation.</w:t>
      </w:r>
    </w:p>
    <w:p>
      <w:pPr>
        <w:pStyle w:val="ListBullet"/>
        <w:spacing w:after="40"/>
      </w:pPr>
      <w:r>
        <w:t>The chosen sample’s platform, time range, and category scope will be clearly described in the final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Beauty &amp; Wellness Customer Sentiment Analysis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DATA SCIENCE WITH PYTHON ANALYST INTERNSHIP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2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