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manual-técnico-de-somnguard"/>
    <w:p>
      <w:pPr>
        <w:pStyle w:val="Heading1"/>
      </w:pPr>
      <w:r>
        <w:rPr>
          <w:color w:val="000000"/>
        </w:rPr>
        <w:t xml:space="preserve">Manual técnico de SomnGuard</w:t>
      </w:r>
    </w:p>
    <w:p>
      <w:pPr>
        <w:pStyle w:val="FirstParagraph"/>
        <w:jc w:val="center"/>
      </w:pPr>
      <w:r>
        <w:rPr>
          <w:b/>
          <w:bCs/>
          <w:color w:val="000000"/>
        </w:rPr>
        <w:t xml:space="preserve">Operación, configuración y mantenimiento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Edición 1.0 · 9 de octubre de 2026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Dirigido a:</w:t>
      </w:r>
      <w:r>
        <w:rPr>
          <w:color w:val="000000"/>
        </w:rPr>
        <w:t xml:space="preserve"> </w:t>
      </w:r>
      <w:r>
        <w:rPr>
          <w:color w:val="000000"/>
        </w:rPr>
        <w:t xml:space="preserve">personal de desarrollo, DevOps, base de datos y operación del dispositivo</w:t>
      </w:r>
    </w:p>
    <w:bookmarkStart w:id="19" w:name="contenido"/>
    <w:p>
      <w:pPr>
        <w:pStyle w:val="Heading2"/>
        <w:jc w:val="center"/>
      </w:pPr>
      <w:r>
        <w:rPr>
          <w:color w:val="000000"/>
        </w:rPr>
        <w:t xml:space="preserve">Contenido</w:t>
      </w:r>
    </w:p>
    <w:p>
      <w:pPr>
        <w:pStyle w:val="Compact"/>
        <w:numPr>
          <w:ilvl w:val="0"/>
          <w:numId w:val="1001"/>
        </w:numPr>
        <w:jc w:val="center"/>
      </w:pPr>
      <w:r>
        <w:rPr>
          <w:color w:val="000000"/>
        </w:rPr>
        <w:t xml:space="preserve">Sobre este manual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SomnGuard de un vistazo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Requisitos previos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Preparar y arrancar el entorno local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Configuración y secretos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Operación y comprobaciones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API y seguridad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Dispositivo de borde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Mantenimiento del código y la base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Respaldo, recuperación y actualización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Diagnóstico de problemas</w:t>
      </w:r>
    </w:p>
    <w:p>
      <w:pPr>
        <w:pStyle w:val="Compact"/>
        <w:numPr>
          <w:ilvl w:val="0"/>
          <w:numId w:val="1001"/>
        </w:numPr>
      </w:pPr>
      <w:r>
        <w:rPr>
          <w:color w:val="000000"/>
        </w:rPr>
        <w:t xml:space="preserve">Referencia rápida y documentación relacionada</w:t>
      </w:r>
    </w:p>
    <w:bookmarkEnd w:id="19"/>
    <w:bookmarkStart w:id="22" w:name="Xe59100a99374d39ab89b9abc3b9f3d9a864e0e9"/>
    <w:p>
      <w:pPr>
        <w:pStyle w:val="Heading2"/>
        <w:pageBreakBefore/>
      </w:pPr>
      <w:r>
        <w:rPr>
          <w:color w:val="000000"/>
        </w:rPr>
        <w:t xml:space="preserve">1. Sobre este manual</w:t>
      </w:r>
    </w:p>
    <w:p>
      <w:pPr>
        <w:pStyle w:val="FirstParagraph"/>
      </w:pPr>
      <w:r>
        <w:rPr>
          <w:color w:val="000000"/>
        </w:rPr>
        <w:t xml:space="preserve">Este manual reúne instrucciones técnicas para trabajar con los repositorios actuales de SomnGuard. Cubre configuración y desarrollo local, comprobaciones operativas, API, migraciones, streaming y dispositivo edge. No certifica un despliegue productivo: la documentación del proyecto aún deja abiertas la topología productiva, la recuperación, la observabilidad y la distribución final.</w:t>
      </w:r>
    </w:p>
    <w:p>
      <w:pPr>
        <w:pStyle w:val="BodyText"/>
      </w:pPr>
      <w:r>
        <w:rPr>
          <w:color w:val="000000"/>
        </w:rPr>
        <w:t xml:space="preserve">La revisión se hizo por inspección estática el 9 de octubre de 2026. Los comandos de este documento provienen de archivos de configuración o documentación de cada repositorio; no se ejecutaron contra el sistema. Antes de usarlos en QA, valide los valores de ambiente y el directorio desde el que corre cada comando.</w:t>
      </w:r>
    </w:p>
    <w:bookmarkStart w:id="20" w:name="Xbfcc5b2cddabf149fc8f665028dbcc47739ed92"/>
    <w:p>
      <w:pPr>
        <w:pStyle w:val="Heading3"/>
      </w:pPr>
      <w:r>
        <w:rPr>
          <w:color w:val="000000"/>
        </w:rPr>
        <w:t xml:space="preserve">1.1 Audiencia y conocimientos previos</w:t>
      </w:r>
    </w:p>
    <w:p>
      <w:pPr>
        <w:pStyle w:val="FirstParagraph"/>
      </w:pPr>
      <w:r>
        <w:rPr>
          <w:color w:val="000000"/>
        </w:rPr>
        <w:t xml:space="preserve">Se supone familiaridad con una terminal Bash o Git Bash, Git, Docker Compose, HTTP y variables de entorno. Las tareas de API requieren Java y Maven; web/app, Node y npm; y dispositivo, Python y acceso al hardware. Las operaciones contra QA o producción requieren autorización y procedimientos específicos del equipo responsable.</w:t>
      </w:r>
    </w:p>
    <w:bookmarkEnd w:id="20"/>
    <w:bookmarkStart w:id="21" w:name="X527d3a2de3d0d0688d20385cd60f74054176979"/>
    <w:p>
      <w:pPr>
        <w:pStyle w:val="Heading3"/>
      </w:pPr>
      <w:r>
        <w:rPr>
          <w:color w:val="000000"/>
        </w:rPr>
        <w:t xml:space="preserve">1.2 Convenciones y cuidado de datos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Los bloques de comandos indican el repositorio desde el que deben ejecutarse. Los ejemplos usan Bash/Git Bash.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Las rutas, variables, perfiles y endpoints se escriben con su nombre real en el código.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Use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.env.example</w:t>
      </w:r>
      <w:r>
        <w:rPr>
          <w:color w:val="000000"/>
        </w:rPr>
        <w:t xml:space="preserve"> </w:t>
      </w:r>
      <w:r>
        <w:rPr>
          <w:color w:val="000000"/>
        </w:rPr>
        <w:t xml:space="preserve">como plantilla y mantenga los valores reales fuera de Git. Los valores de ejemplo no son secretos seguros para ambientes compartidos.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No publique JWT, claves privadas, API keys, tokens de provisión, datos personales ni evidencia de conductores.</w:t>
      </w:r>
    </w:p>
    <w:p>
      <w:pPr>
        <w:pStyle w:val="Compact"/>
        <w:numPr>
          <w:ilvl w:val="0"/>
          <w:numId w:val="1002"/>
        </w:numPr>
      </w:pPr>
      <w:r>
        <w:rPr>
          <w:color w:val="000000"/>
        </w:rPr>
        <w:t xml:space="preserve">No use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docker compose down -v</w:t>
      </w:r>
      <w:r>
        <w:rPr>
          <w:color w:val="000000"/>
        </w:rPr>
        <w:t xml:space="preserve">, rollbacks, borrados de identidad del dispositivo ni procedimientos de reset contra datos compartidos sin plan de recuperación aprobado.</w:t>
      </w:r>
    </w:p>
    <w:bookmarkEnd w:id="21"/>
    <w:bookmarkEnd w:id="22"/>
    <w:bookmarkStart w:id="25" w:name="Xb5106ecf7211c40e30a1f0dfdf881170ed24e48"/>
    <w:p>
      <w:pPr>
        <w:pStyle w:val="Heading2"/>
      </w:pPr>
      <w:r>
        <w:rPr>
          <w:color w:val="000000"/>
        </w:rPr>
        <w:t xml:space="preserve">2. SomnGuard de un vistazo</w:t>
      </w:r>
    </w:p>
    <w:p>
      <w:pPr>
        <w:pStyle w:val="FirstParagraph"/>
      </w:pPr>
      <w:r>
        <w:rPr>
          <w:color w:val="000000"/>
        </w:rPr>
        <w:t xml:space="preserve">SomnGuard combina procesamiento local en el dispositivo, una API central, persistencia relacional, almacenamiento de evidencia y dos clientes. Los directorios son repositorios hermanos; no hay un Compose en la raíz que levante toda la solución.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Unidad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Repositorio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Responsabilidad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Inicio habitual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Base de datos y migraciones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somnguard-db/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PostgreSQL 16, seis esquemas y cambios Liquibase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Compose propio; Liquibase se ejecuta como tarea aparte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Backend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somnguard-api/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API Spring Boot, JWT, permisos, dispositivos, eventos, notificaciones y streaming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Maven o Compose propio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Evidencia local de desarrollo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somnguard-api/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S3Mock compatible con S3; persiste en volumen Compose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Se levanta con el Compose del API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Video opcional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somnguard-api/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y dispositivo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SFU LiveKit y, opcionalmente, Coturn/TURN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Perfil Compose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livekit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más configuración y paquetes de streaming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Portal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somnguard-portal/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Cliente web React/Vite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Servidor Vite local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App móvil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somnguard-app/SomnGuard-app/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Cliente Expo/React Native; video nativo LiveKit/relay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Expo para desarrollo; EAS para APK con módulos nativos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Dispositivo edge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somnguard-device/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Cámara, visión, alertas locales, heartbeat, buffer y sincronización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Python en Windows, Linux o Raspberry Pi OS según el README</w:t>
            </w:r>
          </w:p>
        </w:tc>
      </w:tr>
    </w:tbl>
    <w:bookmarkStart w:id="23" w:name="Xa16adf92182dc87d1d3d3e70e7742fa7bf46da9"/>
    <w:p>
      <w:pPr>
        <w:pStyle w:val="Heading3"/>
      </w:pPr>
      <w:r>
        <w:rPr>
          <w:color w:val="000000"/>
        </w:rPr>
        <w:t xml:space="preserve">2.1 Flujo de datos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El dispositivo procesa imagen localmente, registra eventos y los envía a la API. Durante una pérdida de red, la lógica edge conserva eventos pendientes en SQLite y los sincroniza al recuperar conexión.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La API autentica usuarios/dispositivos, aplica reglas de negocio y persiste metadatos en PostgreSQL. Las imágenes y otros medios se guardan en almacenamiento S3 compatible.</w:t>
      </w:r>
    </w:p>
    <w:p>
      <w:pPr>
        <w:pStyle w:val="Compact"/>
        <w:numPr>
          <w:ilvl w:val="0"/>
          <w:numId w:val="1003"/>
        </w:numPr>
      </w:pPr>
      <w:r>
        <w:rPr>
          <w:color w:val="000000"/>
        </w:rPr>
        <w:t xml:space="preserve">Portal y app consumen la API. Para video, la ruta principal usa LiveKit; existe un relay WebSocket como alternativa. El servicio de video se configura por separado.</w:t>
      </w:r>
    </w:p>
    <w:bookmarkEnd w:id="23"/>
    <w:bookmarkStart w:id="24" w:name="Xa83130a61e3a959660a4d562a09a50c9683c21a"/>
    <w:p>
      <w:pPr>
        <w:pStyle w:val="Heading3"/>
      </w:pPr>
      <w:r>
        <w:rPr>
          <w:color w:val="000000"/>
        </w:rPr>
        <w:t xml:space="preserve">2.2 Direcciones y puertos locales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Servicio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Dirección por omisión o ruta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Condición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API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http://localhost:8080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Puerto por omisión de Spring/ejemplo Compose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Health API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/actuator/health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Actuator; no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/health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según la configuración actual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OpenAPI UI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/swagger-ui.html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Habilitada por Springdoc en la configuración revisada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PostgreSQL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localhost:5432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Compose de DB; cambiar mediante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POSTGRES_PORT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S3Mock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localhost:9000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Desarrollo; el contenedor escucha internamente en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9090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Portal Vite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localhost:5173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Valor por omisión de Vite si el puerto está libre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Expo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localhost:3000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El script del proyecto solicita ese puerto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LiveKit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TCP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7880</w:t>
            </w:r>
            <w:r>
              <w:rPr>
                <w:color w:val="000000"/>
              </w:rPr>
              <w:t xml:space="preserve">, TCP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7881</w:t>
            </w:r>
            <w:r>
              <w:rPr>
                <w:color w:val="000000"/>
              </w:rPr>
              <w:t xml:space="preserve">, UDP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7882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Solo con perfil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livekit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Relay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WebSocket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/ws/stream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Servido por API; requiere un dispositivo publicando video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Coturn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3478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y rango UDP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49160-49200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Solo cuando se necesita atravesar NAT; revisar Compose y firewall</w:t>
            </w:r>
          </w:p>
        </w:tc>
      </w:tr>
    </w:tbl>
    <w:p>
      <w:pPr>
        <w:pStyle w:val="BodyText"/>
      </w:pPr>
      <w:r>
        <w:rPr>
          <w:color w:val="000000"/>
        </w:rPr>
        <w:t xml:space="preserve">No exponga puertos de desarrollo directamente a Internet. La dirección que anuncia LiveKit debe ser accesible desde el teléfono y el dispositivo;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localhost</w:t>
      </w:r>
      <w:r>
        <w:rPr>
          <w:color w:val="000000"/>
        </w:rPr>
        <w:t xml:space="preserve"> </w:t>
      </w:r>
      <w:r>
        <w:rPr>
          <w:color w:val="000000"/>
        </w:rPr>
        <w:t xml:space="preserve">solo vale para procesos del mismo host.</w:t>
      </w:r>
    </w:p>
    <w:bookmarkEnd w:id="24"/>
    <w:bookmarkEnd w:id="25"/>
    <w:bookmarkStart w:id="26" w:name="X49c87ef98551fbf1899d5a9c231b910dd5ddc57"/>
    <w:p>
      <w:pPr>
        <w:pStyle w:val="Heading2"/>
      </w:pPr>
      <w:r>
        <w:rPr>
          <w:color w:val="000000"/>
        </w:rPr>
        <w:t xml:space="preserve">3. Requisitos previos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Trabajo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Requisitos declarados en el repositorio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Contenedores y DB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Docker con Docker Compose; PostgreSQL 16 en contenedor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Backend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Java 21 y Maven; Maven Wrapper no figura en la raíz del API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Portal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Node/npm; versiones de referencia en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package.json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y lockfile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App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Node/npm, Expo SDK 57 y EAS CLI para builds internos; LiveKit requiere cliente nativo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Dispositivo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Python 3.11+, cámara USB o CSI, parlante para alertas; dependencias de visión y modelos del proyecto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Video edge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Extra Python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[stream]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y configuración de API/LiveKit</w:t>
            </w:r>
          </w:p>
        </w:tc>
      </w:tr>
    </w:tbl>
    <w:p>
      <w:pPr>
        <w:pStyle w:val="BodyText"/>
      </w:pPr>
      <w:r>
        <w:rPr>
          <w:color w:val="000000"/>
        </w:rPr>
        <w:t xml:space="preserve">Docker, Compose y Node se consultaron en el host de esta revisión (Docker 29.2.1, Compose 5.0.2, Node 24.14.1). Esas versiones describen el host de documentación; no son mínimos garantizados para el proyecto. La versión efectiva de Java, Maven, PostgreSQL en QA/producción, Android/iOS y hardware homologado queda por validar en sus ambientes.</w:t>
      </w:r>
    </w:p>
    <w:bookmarkEnd w:id="26"/>
    <w:bookmarkStart w:id="32" w:name="Xe97c6a7962420e0431428f5d29b87b94a513ffc"/>
    <w:p>
      <w:pPr>
        <w:pStyle w:val="Heading2"/>
      </w:pPr>
      <w:r>
        <w:rPr>
          <w:color w:val="000000"/>
        </w:rPr>
        <w:t xml:space="preserve">4. Preparar y arrancar el entorno local</w:t>
      </w:r>
    </w:p>
    <w:p>
      <w:pPr>
        <w:pStyle w:val="FirstParagraph"/>
      </w:pPr>
      <w:r>
        <w:rPr>
          <w:color w:val="000000"/>
        </w:rPr>
        <w:t xml:space="preserve">Los siguientes pasos corresponden a desarrollo y mantienen las unidades separadas. No constituyen un procedimiento de release.</w:t>
      </w:r>
    </w:p>
    <w:bookmarkStart w:id="27" w:name="X347e9c73570a901b7069132cbc827b8b583ee05"/>
    <w:p>
      <w:pPr>
        <w:pStyle w:val="Heading3"/>
      </w:pPr>
      <w:r>
        <w:rPr>
          <w:color w:val="000000"/>
        </w:rPr>
        <w:t xml:space="preserve">4.1 PostgreSQL y Liquibase</w:t>
      </w:r>
    </w:p>
    <w:p>
      <w:pPr>
        <w:pStyle w:val="FirstParagraph"/>
      </w:pPr>
      <w:r>
        <w:rPr>
          <w:color w:val="000000"/>
        </w:rPr>
        <w:t xml:space="preserve">Desde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somnguard-db/</w:t>
      </w:r>
      <w:r>
        <w:rPr>
          <w:color w:val="000000"/>
        </w:rPr>
        <w:t xml:space="preserve">, prepare el archivo indicado por el setup local con valores de desarrollo propios. No use las contraseñas de ejemplo para datos compartidos.</w:t>
      </w:r>
    </w:p>
    <w:p>
      <w:pPr>
        <w:pStyle w:val="SourceCode"/>
      </w:pPr>
      <w:r>
        <w:rPr>
          <w:rStyle w:val="FunctionTok"/>
          <w:color w:val="000000"/>
        </w:rPr>
        <w:t xml:space="preserve">cp</w:t>
      </w:r>
      <w:r>
        <w:rPr>
          <w:rStyle w:val="NormalTok"/>
          <w:color w:val="000000"/>
        </w:rPr>
        <w:t xml:space="preserve"> .env.example .env.develop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Edite .env.develop y configure usuario, contraseña, base y puerto de desarrollo.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.env.develop up </w:t>
      </w:r>
      <w:r>
        <w:rPr>
          <w:rStyle w:val="AttributeTok"/>
          <w:color w:val="000000"/>
        </w:rPr>
        <w:t xml:space="preserve">-d</w:t>
      </w:r>
      <w:r>
        <w:rPr>
          <w:rStyle w:val="NormalTok"/>
          <w:color w:val="000000"/>
        </w:rPr>
        <w:t xml:space="preserve"> postgres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.env.develop run </w:t>
      </w:r>
      <w:r>
        <w:rPr>
          <w:rStyle w:val="AttributeTok"/>
          <w:color w:val="000000"/>
        </w:rPr>
        <w:t xml:space="preserve">--rm</w:t>
      </w:r>
      <w:r>
        <w:rPr>
          <w:rStyle w:val="NormalTok"/>
          <w:color w:val="000000"/>
        </w:rPr>
        <w:t xml:space="preserve"> liquibase update</w:t>
      </w:r>
    </w:p>
    <w:p>
      <w:pPr>
        <w:pStyle w:val="FirstParagraph"/>
      </w:pPr>
      <w:r>
        <w:rPr>
          <w:color w:val="000000"/>
        </w:rPr>
        <w:t xml:space="preserve">El contenedor de Liquibase utiliza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changelog/changelog-master.yaml</w:t>
      </w:r>
      <w:r>
        <w:rPr>
          <w:color w:val="000000"/>
        </w:rPr>
        <w:t xml:space="preserve">. El estado de migraciones se consulta con:</w:t>
      </w:r>
    </w:p>
    <w:p>
      <w:pPr>
        <w:pStyle w:val="SourceCode"/>
      </w:pP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.env.develop run </w:t>
      </w:r>
      <w:r>
        <w:rPr>
          <w:rStyle w:val="AttributeTok"/>
          <w:color w:val="000000"/>
        </w:rPr>
        <w:t xml:space="preserve">--rm</w:t>
      </w:r>
      <w:r>
        <w:rPr>
          <w:rStyle w:val="NormalTok"/>
          <w:color w:val="000000"/>
        </w:rPr>
        <w:t xml:space="preserve"> liquibase status </w:t>
      </w:r>
      <w:r>
        <w:rPr>
          <w:rStyle w:val="AttributeTok"/>
          <w:color w:val="000000"/>
        </w:rPr>
        <w:t xml:space="preserve">--verbose</w:t>
      </w:r>
    </w:p>
    <w:bookmarkEnd w:id="27"/>
    <w:bookmarkStart w:id="28" w:name="X87575fd66fe58c19779cabedb6f4821df1494d3"/>
    <w:p>
      <w:pPr>
        <w:pStyle w:val="Heading3"/>
      </w:pPr>
      <w:r>
        <w:rPr>
          <w:color w:val="000000"/>
        </w:rPr>
        <w:t xml:space="preserve">4.2 API y almacenamiento de evidencia</w:t>
      </w:r>
    </w:p>
    <w:p>
      <w:pPr>
        <w:pStyle w:val="FirstParagraph"/>
      </w:pPr>
      <w:r>
        <w:rPr>
          <w:color w:val="000000"/>
        </w:rPr>
        <w:t xml:space="preserve">El Compose de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somnguard-api/</w:t>
      </w:r>
      <w:r>
        <w:rPr>
          <w:color w:val="000000"/>
        </w:rPr>
        <w:t xml:space="preserve"> </w:t>
      </w:r>
      <w:r>
        <w:rPr>
          <w:color w:val="000000"/>
        </w:rPr>
        <w:t xml:space="preserve">inicia el API y S3Mock. PostgreSQL debe estar disponible por separado. Copie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.env.example</w:t>
      </w:r>
      <w:r>
        <w:rPr>
          <w:color w:val="000000"/>
        </w:rPr>
        <w:t xml:space="preserve"> </w:t>
      </w:r>
      <w:r>
        <w:rPr>
          <w:color w:val="000000"/>
        </w:rPr>
        <w:t xml:space="preserve">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.env</w:t>
      </w:r>
      <w:r>
        <w:rPr>
          <w:color w:val="000000"/>
        </w:rPr>
        <w:t xml:space="preserve">, haga coincidir URL/puerto/nombre/usuario/contraseña con la DB anterior y revise las rutas de claves antes de arrancar.</w:t>
      </w:r>
    </w:p>
    <w:p>
      <w:pPr>
        <w:pStyle w:val="SourceCode"/>
      </w:pPr>
      <w:r>
        <w:rPr>
          <w:rStyle w:val="BuiltInTok"/>
          <w:color w:val="000000"/>
        </w:rPr>
        <w:t xml:space="preserve">cd</w:t>
      </w:r>
      <w:r>
        <w:rPr>
          <w:rStyle w:val="NormalTok"/>
          <w:color w:val="000000"/>
        </w:rPr>
        <w:t xml:space="preserve"> ../somnguard-api</w:t>
      </w:r>
      <w:r>
        <w:rPr>
          <w:color w:val="000000"/>
        </w:rPr>
        <w:br/>
      </w:r>
      <w:r>
        <w:rPr>
          <w:rStyle w:val="FunctionTok"/>
          <w:color w:val="000000"/>
        </w:rPr>
        <w:t xml:space="preserve">cp</w:t>
      </w:r>
      <w:r>
        <w:rPr>
          <w:rStyle w:val="NormalTok"/>
          <w:color w:val="000000"/>
        </w:rPr>
        <w:t xml:space="preserve"> .env.example .env</w:t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Edite .env con valores locales; nunca reutilice secretos de ejemplo en producción.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 up </w:t>
      </w:r>
      <w:r>
        <w:rPr>
          <w:rStyle w:val="AttributeTok"/>
          <w:color w:val="000000"/>
        </w:rPr>
        <w:t xml:space="preserve">-d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--build</w:t>
      </w:r>
    </w:p>
    <w:p>
      <w:pPr>
        <w:pStyle w:val="FirstParagraph"/>
      </w:pPr>
      <w:r>
        <w:rPr>
          <w:color w:val="000000"/>
        </w:rPr>
        <w:t xml:space="preserve">Compruebe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http://localhost:8080/actuator/health</w:t>
      </w:r>
      <w:r>
        <w:rPr>
          <w:color w:val="000000"/>
        </w:rPr>
        <w:t xml:space="preserve"> </w:t>
      </w:r>
      <w:r>
        <w:rPr>
          <w:color w:val="000000"/>
        </w:rPr>
        <w:t xml:space="preserve">y abra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http://localhost:8080/swagger-ui.html</w:t>
      </w:r>
      <w:r>
        <w:rPr>
          <w:color w:val="000000"/>
        </w:rPr>
        <w:t xml:space="preserve">. El README del API indica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/health</w:t>
      </w:r>
      <w:r>
        <w:rPr>
          <w:color w:val="000000"/>
        </w:rPr>
        <w:t xml:space="preserve">, pero la configuración activa 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SecurityConfig</w:t>
      </w:r>
      <w:r>
        <w:rPr>
          <w:color w:val="000000"/>
        </w:rPr>
        <w:t xml:space="preserve"> </w:t>
      </w:r>
      <w:r>
        <w:rPr>
          <w:color w:val="000000"/>
        </w:rPr>
        <w:t xml:space="preserve">usan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/actuator/health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Para video con LiveKit, defina la URL, dirección anunciada y claves locales compartidas entre API y LiveKit; habilite el perfil:</w:t>
      </w:r>
    </w:p>
    <w:p>
      <w:pPr>
        <w:pStyle w:val="SourceCode"/>
      </w:pP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 </w:t>
      </w:r>
      <w:r>
        <w:rPr>
          <w:rStyle w:val="AttributeTok"/>
          <w:color w:val="000000"/>
        </w:rPr>
        <w:t xml:space="preserve">--profile</w:t>
      </w:r>
      <w:r>
        <w:rPr>
          <w:rStyle w:val="NormalTok"/>
          <w:color w:val="000000"/>
        </w:rPr>
        <w:t xml:space="preserve"> livekit up </w:t>
      </w:r>
      <w:r>
        <w:rPr>
          <w:rStyle w:val="AttributeTok"/>
          <w:color w:val="000000"/>
        </w:rPr>
        <w:t xml:space="preserve">-d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--build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 </w:t>
      </w:r>
      <w:r>
        <w:rPr>
          <w:rStyle w:val="AttributeTok"/>
          <w:color w:val="000000"/>
        </w:rPr>
        <w:t xml:space="preserve">--profile</w:t>
      </w:r>
      <w:r>
        <w:rPr>
          <w:rStyle w:val="NormalTok"/>
          <w:color w:val="000000"/>
        </w:rPr>
        <w:t xml:space="preserve"> livekit logs </w:t>
      </w:r>
      <w:r>
        <w:rPr>
          <w:rStyle w:val="AttributeTok"/>
          <w:color w:val="000000"/>
        </w:rPr>
        <w:t xml:space="preserve">-f</w:t>
      </w:r>
      <w:r>
        <w:rPr>
          <w:rStyle w:val="NormalTok"/>
          <w:color w:val="000000"/>
        </w:rPr>
        <w:t xml:space="preserve"> livekit</w:t>
      </w:r>
    </w:p>
    <w:p>
      <w:pPr>
        <w:pStyle w:val="FirstParagraph"/>
      </w:pPr>
      <w:r>
        <w:rPr>
          <w:color w:val="000000"/>
        </w:rPr>
        <w:t xml:space="preserve">LiveKit no se incluye en el arranque normal. Coturn usa el mismo perfil; su utilización, los puertos públicos y TLS/WSS requieren configuración de red aprobada. S3Mock es almacenamiento de desarrollo, no una definición de almacenamiento productivo.</w:t>
      </w:r>
    </w:p>
    <w:bookmarkEnd w:id="28"/>
    <w:bookmarkStart w:id="29" w:name="Xbf29875361602baf19cc0cd7c6c47014009eda8"/>
    <w:p>
      <w:pPr>
        <w:pStyle w:val="Heading3"/>
      </w:pPr>
      <w:r>
        <w:rPr>
          <w:color w:val="000000"/>
        </w:rPr>
        <w:t xml:space="preserve">4.3 Portal web</w:t>
      </w:r>
    </w:p>
    <w:p>
      <w:pPr>
        <w:pStyle w:val="FirstParagraph"/>
      </w:pPr>
      <w:r>
        <w:rPr>
          <w:color w:val="000000"/>
        </w:rPr>
        <w:t xml:space="preserve">Desde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somnguard-portal/</w:t>
      </w:r>
      <w:r>
        <w:rPr>
          <w:color w:val="000000"/>
        </w:rPr>
        <w:t xml:space="preserve">, configure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VITE_API_URL</w:t>
      </w:r>
      <w:r>
        <w:rPr>
          <w:color w:val="000000"/>
        </w:rPr>
        <w:t xml:space="preserve"> </w:t>
      </w:r>
      <w:r>
        <w:rPr>
          <w:color w:val="000000"/>
        </w:rPr>
        <w:t xml:space="preserve">con la base del API y el prefijo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/api/v1</w:t>
      </w:r>
      <w:r>
        <w:rPr>
          <w:color w:val="000000"/>
        </w:rPr>
        <w:t xml:space="preserve">. El ejemplo del repositorio es local.</w:t>
      </w:r>
    </w:p>
    <w:p>
      <w:pPr>
        <w:pStyle w:val="SourceCode"/>
      </w:pP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ci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run dev</w:t>
      </w:r>
    </w:p>
    <w:p>
      <w:pPr>
        <w:pStyle w:val="FirstParagraph"/>
      </w:pPr>
      <w:r>
        <w:rPr>
          <w:color w:val="000000"/>
        </w:rPr>
        <w:t xml:space="preserve">Para preparar el paquete web, los scripts disponibles son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npm run lint</w:t>
      </w:r>
      <w:r>
        <w:rPr>
          <w:color w:val="000000"/>
        </w:rPr>
        <w:t xml:space="preserve"> </w:t>
      </w:r>
      <w:r>
        <w:rPr>
          <w:color w:val="000000"/>
        </w:rPr>
        <w:t xml:space="preserve">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npm run build</w:t>
      </w:r>
      <w:r>
        <w:rPr>
          <w:color w:val="000000"/>
        </w:rPr>
        <w:t xml:space="preserve">. No se encontró un script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test</w:t>
      </w:r>
      <w:r>
        <w:rPr>
          <w:color w:val="000000"/>
        </w:rPr>
        <w:t xml:space="preserve"> </w:t>
      </w:r>
      <w:r>
        <w:rPr>
          <w:color w:val="000000"/>
        </w:rPr>
        <w:t xml:space="preserve">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package.json</w:t>
      </w:r>
      <w:r>
        <w:rPr>
          <w:color w:val="000000"/>
        </w:rPr>
        <w:t xml:space="preserve">.</w:t>
      </w:r>
    </w:p>
    <w:bookmarkEnd w:id="29"/>
    <w:bookmarkStart w:id="30" w:name="Xa0e03f6bf24b9b33b4a715a99a6738be43cd307"/>
    <w:p>
      <w:pPr>
        <w:pStyle w:val="Heading3"/>
      </w:pPr>
      <w:r>
        <w:rPr>
          <w:color w:val="000000"/>
        </w:rPr>
        <w:t xml:space="preserve">4.4 App móvil</w:t>
      </w:r>
    </w:p>
    <w:p>
      <w:pPr>
        <w:pStyle w:val="FirstParagraph"/>
      </w:pPr>
      <w:r>
        <w:rPr>
          <w:color w:val="000000"/>
        </w:rPr>
        <w:t xml:space="preserve">Desde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somnguard-app/SomnGuard-app/</w:t>
      </w:r>
      <w:r>
        <w:rPr>
          <w:color w:val="000000"/>
        </w:rPr>
        <w:t xml:space="preserve">, configure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EXPO_PUBLIC_API_URL</w:t>
      </w:r>
      <w:r>
        <w:rPr>
          <w:color w:val="000000"/>
        </w:rPr>
        <w:t xml:space="preserve"> </w:t>
      </w:r>
      <w:r>
        <w:rPr>
          <w:color w:val="000000"/>
        </w:rPr>
        <w:t xml:space="preserve">como origen del API, sin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/api/v1</w:t>
      </w:r>
      <w:r>
        <w:rPr>
          <w:color w:val="000000"/>
        </w:rPr>
        <w:t xml:space="preserve"> </w:t>
      </w:r>
      <w:r>
        <w:rPr>
          <w:color w:val="000000"/>
        </w:rPr>
        <w:t xml:space="preserve">y sin barra final. Para un teléfono físico use una IP o dominio accesible desde su red; el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localhost</w:t>
      </w:r>
      <w:r>
        <w:rPr>
          <w:color w:val="000000"/>
        </w:rPr>
        <w:t xml:space="preserve"> </w:t>
      </w:r>
      <w:r>
        <w:rPr>
          <w:color w:val="000000"/>
        </w:rPr>
        <w:t xml:space="preserve">del teléfono apunta al teléfono.</w:t>
      </w:r>
    </w:p>
    <w:p>
      <w:pPr>
        <w:pStyle w:val="SourceCode"/>
      </w:pP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ci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run start</w:t>
      </w:r>
    </w:p>
    <w:p>
      <w:pPr>
        <w:pStyle w:val="FirstParagraph"/>
      </w:pPr>
      <w:r>
        <w:rPr>
          <w:color w:val="000000"/>
        </w:rPr>
        <w:t xml:space="preserve">Expo Go no lleva el módulo nativo LiveKit. Para probar streaming se requiere el cliente de desarrollo o el APK interno configurado por EAS:</w:t>
      </w:r>
    </w:p>
    <w:p>
      <w:pPr>
        <w:pStyle w:val="SourceCode"/>
      </w:pP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run build:android:apk</w:t>
      </w:r>
    </w:p>
    <w:p>
      <w:pPr>
        <w:pStyle w:val="FirstParagraph"/>
      </w:pPr>
      <w:r>
        <w:rPr>
          <w:color w:val="000000"/>
        </w:rPr>
        <w:t xml:space="preserve">El comando utiliza el perfil EAS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preview</w:t>
      </w:r>
      <w:r>
        <w:rPr>
          <w:color w:val="000000"/>
        </w:rPr>
        <w:t xml:space="preserve"> </w:t>
      </w:r>
      <w:r>
        <w:rPr>
          <w:color w:val="000000"/>
        </w:rPr>
        <w:t xml:space="preserve">y necesita EAS, credenciales y valores del ambiente adecuados. El perfil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production</w:t>
      </w:r>
      <w:r>
        <w:rPr>
          <w:color w:val="000000"/>
        </w:rPr>
        <w:t xml:space="preserve"> </w:t>
      </w:r>
      <w:r>
        <w:rPr>
          <w:color w:val="000000"/>
        </w:rPr>
        <w:t xml:space="preserve">no define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EXPO_PUBLIC_API_URL</w:t>
      </w:r>
      <w:r>
        <w:rPr>
          <w:color w:val="000000"/>
        </w:rPr>
        <w:t xml:space="preserve"> </w:t>
      </w:r>
      <w:r>
        <w:rPr>
          <w:color w:val="000000"/>
        </w:rPr>
        <w:t xml:space="preserve">en el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eas.json</w:t>
      </w:r>
      <w:r>
        <w:rPr>
          <w:color w:val="000000"/>
        </w:rPr>
        <w:t xml:space="preserve"> </w:t>
      </w:r>
      <w:r>
        <w:rPr>
          <w:color w:val="000000"/>
        </w:rPr>
        <w:t xml:space="preserve">revisado; no asuma que está listo para publicación.</w:t>
      </w:r>
    </w:p>
    <w:bookmarkEnd w:id="30"/>
    <w:bookmarkStart w:id="31" w:name="X2b1d5be57324be88e865a4371fa8a7c77f09bca"/>
    <w:p>
      <w:pPr>
        <w:pStyle w:val="Heading3"/>
      </w:pPr>
      <w:r>
        <w:rPr>
          <w:color w:val="000000"/>
        </w:rPr>
        <w:t xml:space="preserve">4.5 Dispositivo de borde en modo de desarrollo</w:t>
      </w:r>
    </w:p>
    <w:p>
      <w:pPr>
        <w:pStyle w:val="FirstParagraph"/>
      </w:pPr>
      <w:r>
        <w:rPr>
          <w:color w:val="000000"/>
        </w:rPr>
        <w:t xml:space="preserve">El README del dispositivo describe ejecución directa. No use el proceso local como instalación de campo ni almacene credenciales en un repositorio.</w:t>
      </w:r>
    </w:p>
    <w:p>
      <w:pPr>
        <w:pStyle w:val="SourceCode"/>
      </w:pPr>
      <w:r>
        <w:rPr>
          <w:rStyle w:val="BuiltInTok"/>
          <w:color w:val="000000"/>
        </w:rPr>
        <w:t xml:space="preserve">cd</w:t>
      </w:r>
      <w:r>
        <w:rPr>
          <w:rStyle w:val="NormalTok"/>
          <w:color w:val="000000"/>
        </w:rPr>
        <w:t xml:space="preserve"> ../somnguard-device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python3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-m</w:t>
      </w:r>
      <w:r>
        <w:rPr>
          <w:rStyle w:val="NormalTok"/>
          <w:color w:val="000000"/>
        </w:rPr>
        <w:t xml:space="preserve"> venv .venv</w:t>
      </w:r>
      <w:r>
        <w:rPr>
          <w:color w:val="000000"/>
        </w:rPr>
        <w:br/>
      </w:r>
      <w:r>
        <w:rPr>
          <w:rStyle w:val="BuiltInTok"/>
          <w:color w:val="000000"/>
        </w:rPr>
        <w:t xml:space="preserve">source</w:t>
      </w:r>
      <w:r>
        <w:rPr>
          <w:rStyle w:val="NormalTok"/>
          <w:color w:val="000000"/>
        </w:rPr>
        <w:t xml:space="preserve"> .venv/bin/activate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pip</w:t>
      </w:r>
      <w:r>
        <w:rPr>
          <w:rStyle w:val="NormalTok"/>
          <w:color w:val="000000"/>
        </w:rPr>
        <w:t xml:space="preserve"> install </w:t>
      </w:r>
      <w:r>
        <w:rPr>
          <w:rStyle w:val="AttributeTok"/>
          <w:color w:val="000000"/>
        </w:rPr>
        <w:t xml:space="preserve">-e</w:t>
      </w:r>
      <w:r>
        <w:rPr>
          <w:rStyle w:val="NormalTok"/>
          <w:color w:val="000000"/>
        </w:rPr>
        <w:t xml:space="preserve"> </w:t>
      </w:r>
      <w:r>
        <w:rPr>
          <w:rStyle w:val="StringTok"/>
          <w:color w:val="000000"/>
        </w:rPr>
        <w:t xml:space="preserve">".[stream]"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python</w:t>
      </w:r>
      <w:r>
        <w:rPr>
          <w:rStyle w:val="NormalTok"/>
          <w:color w:val="000000"/>
        </w:rPr>
        <w:t xml:space="preserve"> scripts/download_models.py</w:t>
      </w:r>
    </w:p>
    <w:p>
      <w:pPr>
        <w:pStyle w:val="FirstParagraph"/>
      </w:pPr>
      <w:r>
        <w:rPr>
          <w:color w:val="000000"/>
        </w:rPr>
        <w:t xml:space="preserve">Configure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.env</w:t>
      </w:r>
      <w:r>
        <w:rPr>
          <w:color w:val="000000"/>
        </w:rPr>
        <w:t xml:space="preserve"> </w:t>
      </w:r>
      <w:r>
        <w:rPr>
          <w:color w:val="000000"/>
        </w:rPr>
        <w:t xml:space="preserve">a partir de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.env.example</w:t>
      </w:r>
      <w:r>
        <w:rPr>
          <w:color w:val="000000"/>
        </w:rPr>
        <w:t xml:space="preserve">, comenzando con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SOMNGUARD_API_URL</w:t>
      </w:r>
      <w:r>
        <w:rPr>
          <w:color w:val="000000"/>
        </w:rPr>
        <w:t xml:space="preserve"> </w:t>
      </w:r>
      <w:r>
        <w:rPr>
          <w:color w:val="000000"/>
        </w:rPr>
        <w:t xml:space="preserve">accesible desde el dispositivo. Ejecute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python -m app.main</w:t>
      </w:r>
      <w:r>
        <w:rPr>
          <w:color w:val="000000"/>
        </w:rPr>
        <w:t xml:space="preserve"> </w:t>
      </w:r>
      <w:r>
        <w:rPr>
          <w:color w:val="000000"/>
        </w:rPr>
        <w:t xml:space="preserve">para iniciar el proceso local. En Windows, siga los comandos PowerShell de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somnguard-device/README.md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El primer aprovisionamiento requiere un token temporal emitido por el flujo administrativo. Tras el registro inicial, el dispositivo guarda su ID y API key 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data/device_identity.json</w:t>
      </w:r>
      <w:r>
        <w:rPr>
          <w:color w:val="000000"/>
        </w:rPr>
        <w:t xml:space="preserve">. Proteja ese directorio como secreto de dispositivo. Los scripts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provision.sh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install_service.sh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update.sh</w:t>
      </w:r>
      <w:r>
        <w:rPr>
          <w:color w:val="000000"/>
        </w:rPr>
        <w:t xml:space="preserve"> </w:t>
      </w:r>
      <w:r>
        <w:rPr>
          <w:color w:val="000000"/>
        </w:rPr>
        <w:t xml:space="preserve">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factory_reset.sh</w:t>
      </w:r>
      <w:r>
        <w:rPr>
          <w:color w:val="000000"/>
        </w:rPr>
        <w:t xml:space="preserve"> </w:t>
      </w:r>
      <w:r>
        <w:rPr>
          <w:color w:val="000000"/>
        </w:rPr>
        <w:t xml:space="preserve">están vacíos en el commit revisado: no se han de usar como instaladores automatizados.</w:t>
      </w:r>
    </w:p>
    <w:bookmarkEnd w:id="31"/>
    <w:bookmarkEnd w:id="32"/>
    <w:bookmarkStart w:id="33" w:name="Xe75342e1039c4294c3f6fbf788396050966f1db"/>
    <w:p>
      <w:pPr>
        <w:pStyle w:val="Heading2"/>
      </w:pPr>
      <w:r>
        <w:rPr>
          <w:color w:val="000000"/>
        </w:rPr>
        <w:t xml:space="preserve">5. Configuración y secretos</w:t>
      </w:r>
    </w:p>
    <w:p>
      <w:pPr>
        <w:pStyle w:val="FirstParagraph"/>
      </w:pPr>
      <w:r>
        <w:rPr>
          <w:color w:val="000000"/>
        </w:rPr>
        <w:t xml:space="preserve">Cada repositorio consume su propio archivo de entorno. No cree un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.env</w:t>
      </w:r>
      <w:r>
        <w:rPr>
          <w:color w:val="000000"/>
        </w:rPr>
        <w:t xml:space="preserve"> </w:t>
      </w:r>
      <w:r>
        <w:rPr>
          <w:color w:val="000000"/>
        </w:rPr>
        <w:t xml:space="preserve">común ni copie un secreto entre ambientes.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Componente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Variables o archivos a revisar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Precaución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DB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POSTGRES_DB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POSTGRES_USER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POSTGRES_PASSWORD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POSTGRES_PORT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COMPOSE_PROJECT_NAME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Asegure que la URL del API coincide con esta instancia. Mantenga el volumen de datos.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API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SPRING_PROFILES_ACTIVE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SERVER_PORT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SPRING_DATASOURCE_URL</w:t>
            </w:r>
            <w:r>
              <w:rPr>
                <w:color w:val="000000"/>
              </w:rPr>
              <w:t xml:space="preserve">, usuario/contraseña DB, rutas de JWT, CORS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Claves RSA de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keys/dev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son solo desarrollo; prod debe montar secretos protegidos.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Correo y avisos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BREVO_*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NOTIFICATION_PUSH_PROVIDER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FCM_SERVICE_ACCOUNT_*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Push usa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log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por omisión; eso no equivale a entrega push móvil.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Evidencia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S3_ENDPOINT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S3_REGION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S3_BUCKET</w:t>
            </w:r>
            <w:r>
              <w:rPr>
                <w:color w:val="000000"/>
              </w:rPr>
              <w:t xml:space="preserve">, credenciales S3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Compose local usa S3Mock; en ejecución desde host la URL difiere de la URL entre contenedores.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Video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LIVEKIT_ENABLED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LIVEKIT_URL</w:t>
            </w:r>
            <w:r>
              <w:rPr>
                <w:color w:val="000000"/>
              </w:rPr>
              <w:t xml:space="preserve">, claves LiveKit, TTL,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LIVEKIT_NODE_IP</w:t>
            </w:r>
            <w:r>
              <w:rPr>
                <w:color w:val="000000"/>
              </w:rPr>
              <w:t xml:space="preserve">, datos Coturn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Use dirección alcanzable y secretos propios; no anuncie loopback a clientes remotos.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Portal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VITE_API_URL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Incluye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/api/v1</w:t>
            </w:r>
            <w:r>
              <w:rPr>
                <w:color w:val="000000"/>
              </w:rPr>
              <w:t xml:space="preserve">. El valor queda compilado en el cliente web; no poner secretos aquí.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App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EXPO_PUBLIC_API_URL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Es pública y apunta al origen API sin prefijo. Defina valor distinto por build.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Edge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SOMNGUARD_API_URL</w:t>
            </w:r>
            <w:r>
              <w:rPr>
                <w:color w:val="000000"/>
              </w:rPr>
              <w:t xml:space="preserve">, token temporal de provisión, ID/API key,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SOMNGUARD_DATA_DIR</w:t>
            </w:r>
            <w:r>
              <w:rPr>
                <w:color w:val="000000"/>
              </w:rPr>
              <w:t xml:space="preserve">, nivel de log y streaming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Nunca registre el token; proteja la identidad local y el archivo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.env</w:t>
            </w:r>
            <w:r>
              <w:rPr>
                <w:color w:val="000000"/>
              </w:rPr>
              <w:t xml:space="preserve">.</w:t>
            </w:r>
          </w:p>
        </w:tc>
      </w:tr>
    </w:tbl>
    <w:p>
      <w:pPr>
        <w:pStyle w:val="BodyText"/>
      </w:pPr>
      <w:r>
        <w:rPr>
          <w:color w:val="000000"/>
        </w:rPr>
        <w:t xml:space="preserve">La plantilla de API tiene rutas de claves para perfiles de desarrollo y producción. No monte una clave privada de desarrollo en QA o producción. En dispositivos compartidos y servicios administrados, use el mecanismo de secretos aprobado por la organización.</w:t>
      </w:r>
    </w:p>
    <w:bookmarkEnd w:id="33"/>
    <w:bookmarkStart w:id="37" w:name="X35f9ba6cf79e3c4f7a12e4c10bf8386b96c7f76"/>
    <w:p>
      <w:pPr>
        <w:pStyle w:val="Heading2"/>
      </w:pPr>
      <w:r>
        <w:rPr>
          <w:color w:val="000000"/>
        </w:rPr>
        <w:t xml:space="preserve">6. Operación y comprobaciones</w:t>
      </w:r>
    </w:p>
    <w:bookmarkStart w:id="34" w:name="Xf6d1b49d5e548328af2b8c72ad131dc52fee2c1"/>
    <w:p>
      <w:pPr>
        <w:pStyle w:val="Heading3"/>
      </w:pPr>
      <w:r>
        <w:rPr>
          <w:color w:val="000000"/>
        </w:rPr>
        <w:t xml:space="preserve">6.1 Estado y registros</w:t>
      </w:r>
    </w:p>
    <w:p>
      <w:pPr>
        <w:pStyle w:val="FirstParagraph"/>
      </w:pPr>
      <w:r>
        <w:rPr>
          <w:color w:val="000000"/>
        </w:rPr>
        <w:t xml:space="preserve">Ejecute estos comandos en el repositorio Compose correspondiente:</w:t>
      </w:r>
    </w:p>
    <w:p>
      <w:pPr>
        <w:pStyle w:val="SourceCode"/>
      </w:pPr>
      <w:r>
        <w:rPr>
          <w:rStyle w:val="CommentTok"/>
          <w:color w:val="000000"/>
        </w:rPr>
        <w:t xml:space="preserve"># En somnguard-db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.env.develop ps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En somnguard-api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 logs </w:t>
      </w:r>
      <w:r>
        <w:rPr>
          <w:rStyle w:val="AttributeTok"/>
          <w:color w:val="000000"/>
        </w:rPr>
        <w:t xml:space="preserve">-f</w:t>
      </w:r>
      <w:r>
        <w:rPr>
          <w:rStyle w:val="NormalTok"/>
          <w:color w:val="000000"/>
        </w:rPr>
        <w:t xml:space="preserve"> api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docker</w:t>
      </w:r>
      <w:r>
        <w:rPr>
          <w:rStyle w:val="NormalTok"/>
          <w:color w:val="000000"/>
        </w:rPr>
        <w:t xml:space="preserve"> compose </w:t>
      </w:r>
      <w:r>
        <w:rPr>
          <w:rStyle w:val="AttributeTok"/>
          <w:color w:val="000000"/>
        </w:rPr>
        <w:t xml:space="preserve">--env-file</w:t>
      </w:r>
      <w:r>
        <w:rPr>
          <w:rStyle w:val="NormalTok"/>
          <w:color w:val="000000"/>
        </w:rPr>
        <w:t xml:space="preserve"> .env logs </w:t>
      </w:r>
      <w:r>
        <w:rPr>
          <w:rStyle w:val="AttributeTok"/>
          <w:color w:val="000000"/>
        </w:rPr>
        <w:t xml:space="preserve">-f</w:t>
      </w:r>
      <w:r>
        <w:rPr>
          <w:rStyle w:val="NormalTok"/>
          <w:color w:val="000000"/>
        </w:rPr>
        <w:t xml:space="preserve"> minio</w:t>
      </w:r>
    </w:p>
    <w:p>
      <w:pPr>
        <w:pStyle w:val="FirstParagraph"/>
      </w:pPr>
      <w:r>
        <w:rPr>
          <w:color w:val="000000"/>
        </w:rPr>
        <w:t xml:space="preserve">La comprobación HTTP del API es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GET /actuator/health</w:t>
      </w:r>
      <w:r>
        <w:rPr>
          <w:color w:val="000000"/>
        </w:rPr>
        <w:t xml:space="preserve">. En QA/producción los detalles de salud dependen del perfil y pueden quedar limitados a usuarios autorizados.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docker compose ps</w:t>
      </w:r>
      <w:r>
        <w:rPr>
          <w:color w:val="000000"/>
        </w:rPr>
        <w:t xml:space="preserve"> </w:t>
      </w:r>
      <w:r>
        <w:rPr>
          <w:color w:val="000000"/>
        </w:rPr>
        <w:t xml:space="preserve">muestra el estado del contenedor de PostgreSQL; el Compose de API no contiene una instancia PostgreSQL.</w:t>
      </w:r>
    </w:p>
    <w:bookmarkEnd w:id="34"/>
    <w:bookmarkStart w:id="35" w:name="X384af0774ddba10a4b3067d1fea64cfe3965841"/>
    <w:p>
      <w:pPr>
        <w:pStyle w:val="Heading3"/>
      </w:pPr>
      <w:r>
        <w:rPr>
          <w:color w:val="000000"/>
        </w:rPr>
        <w:t xml:space="preserve">6.2 Salud del edge</w:t>
      </w:r>
    </w:p>
    <w:p>
      <w:pPr>
        <w:pStyle w:val="FirstParagraph"/>
      </w:pPr>
      <w:r>
        <w:rPr>
          <w:color w:val="000000"/>
        </w:rPr>
        <w:t xml:space="preserve">El proceso edge envía heartbeat y detecta conectividad periódicamente. Si pierde contacto con el servidor, el estado remoto puede aparecer desconectado, mientras el procesamiento local continúa y los eventos quedan pendientes de sincronización. El almacenamiento local y la evidencia también deben vigilarse; el directorio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data/</w:t>
      </w:r>
      <w:r>
        <w:rPr>
          <w:color w:val="000000"/>
        </w:rPr>
        <w:t xml:space="preserve"> </w:t>
      </w:r>
      <w:r>
        <w:rPr>
          <w:color w:val="000000"/>
        </w:rPr>
        <w:t xml:space="preserve">puede incluir credenciales y medios sensibles.</w:t>
      </w:r>
    </w:p>
    <w:bookmarkEnd w:id="35"/>
    <w:bookmarkStart w:id="36" w:name="X6d4462d9265ae77fedbdc735a75dc4a8eb22161"/>
    <w:p>
      <w:pPr>
        <w:pStyle w:val="Heading3"/>
      </w:pPr>
      <w:r>
        <w:rPr>
          <w:color w:val="000000"/>
        </w:rPr>
        <w:t xml:space="preserve">6.3 Parada</w:t>
      </w:r>
    </w:p>
    <w:p>
      <w:pPr>
        <w:pStyle w:val="FirstParagraph"/>
      </w:pPr>
      <w:r>
        <w:rPr>
          <w:color w:val="000000"/>
        </w:rPr>
        <w:t xml:space="preserve">Use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docker compose stop</w:t>
      </w:r>
      <w:r>
        <w:rPr>
          <w:color w:val="000000"/>
        </w:rPr>
        <w:t xml:space="preserve"> </w:t>
      </w:r>
      <w:r>
        <w:rPr>
          <w:color w:val="000000"/>
        </w:rPr>
        <w:t xml:space="preserve">desde el repositorio de la unidad que desea detener.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docker compose down</w:t>
      </w:r>
      <w:r>
        <w:rPr>
          <w:color w:val="000000"/>
        </w:rPr>
        <w:t xml:space="preserve"> </w:t>
      </w:r>
      <w:r>
        <w:rPr>
          <w:color w:val="000000"/>
        </w:rPr>
        <w:t xml:space="preserve">retira los contenedores de ese proyecto, según el Compose usado. No añada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-v</w:t>
      </w:r>
      <w:r>
        <w:rPr>
          <w:color w:val="000000"/>
        </w:rPr>
        <w:t xml:space="preserve">: puede borrar la base PostgreSQL o el volumen de evidencia. Para desarrollo local,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Ctrl+C</w:t>
      </w:r>
      <w:r>
        <w:rPr>
          <w:color w:val="000000"/>
        </w:rPr>
        <w:t xml:space="preserve"> </w:t>
      </w:r>
      <w:r>
        <w:rPr>
          <w:color w:val="000000"/>
        </w:rPr>
        <w:t xml:space="preserve">termina el proceso de portal, Expo o edge en primer plano.</w:t>
      </w:r>
    </w:p>
    <w:bookmarkEnd w:id="36"/>
    <w:bookmarkEnd w:id="37"/>
    <w:bookmarkStart w:id="38" w:name="X0004753c0a4eb448e94eaf1ec2901a2aa31fe60"/>
    <w:p>
      <w:pPr>
        <w:pStyle w:val="Heading2"/>
      </w:pPr>
      <w:r>
        <w:rPr>
          <w:color w:val="000000"/>
        </w:rPr>
        <w:t xml:space="preserve">7. API y seguridad</w:t>
      </w:r>
    </w:p>
    <w:p>
      <w:pPr>
        <w:pStyle w:val="FirstParagraph"/>
      </w:pPr>
      <w:r>
        <w:rPr>
          <w:color w:val="000000"/>
        </w:rPr>
        <w:t xml:space="preserve">La API usa prefijo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/api/v1</w:t>
      </w:r>
      <w:r>
        <w:rPr>
          <w:color w:val="000000"/>
        </w:rPr>
        <w:t xml:space="preserve">. Swagger UI 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/swagger-ui.html</w:t>
      </w:r>
      <w:r>
        <w:rPr>
          <w:color w:val="000000"/>
        </w:rPr>
        <w:t xml:space="preserve"> </w:t>
      </w:r>
      <w:r>
        <w:rPr>
          <w:color w:val="000000"/>
        </w:rPr>
        <w:t xml:space="preserve">y el JSON OpenAPI bajo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/v3/api-docs</w:t>
      </w:r>
      <w:r>
        <w:rPr>
          <w:color w:val="000000"/>
        </w:rPr>
        <w:t xml:space="preserve"> </w:t>
      </w:r>
      <w:r>
        <w:rPr>
          <w:color w:val="000000"/>
        </w:rPr>
        <w:t xml:space="preserve">describen métodos, modelos, campos y respuestas vigentes. Consulte ese contrato en el build que corresponda al ambiente antes de integrar clientes.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Grupo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Ruta base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Control habitual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Autenticación/cuenta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/api/v1/auth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/api/v1/account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Login/registro/verificación/refresh; operaciones de cuenta autenticadas según método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Dispositivos y configuración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/api/v1/devices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JWT con permisos para administración; identidad de dispositivo para heartbeat/telemetría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Streaming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/api/v1/devices/{id}/stream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Sesión autenticada; URL/credenciales de video con vigencia limitada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Telemetría y eventos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/api/v1/telemetry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/api/v1/events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API key del dispositivo para ingestión y JWT/permisos para consulta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Catálogos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/api/v1/catalogs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JWT y permisos del módulo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Notificaciones/RBAC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/api/v1/notifications</w:t>
            </w:r>
            <w:r>
              <w:rPr>
                <w:color w:val="000000"/>
              </w:rPr>
              <w:t xml:space="preserve">, rutas de seguridad bajo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/api/v1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JWT y rol/permisos administrativos según la operación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Salud y documentación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/actuator/health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/swagger-ui.html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/v3/api-docs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El filtro de seguridad permite health y documentación; detalles Actuator dependen del perfil</w:t>
            </w:r>
          </w:p>
        </w:tc>
      </w:tr>
    </w:tbl>
    <w:p>
      <w:pPr>
        <w:pStyle w:val="BodyText"/>
      </w:pPr>
      <w:r>
        <w:rPr>
          <w:color w:val="000000"/>
        </w:rPr>
        <w:t xml:space="preserve">Las sesiones de usuario utilizan JWT RS256. El dispositivo presenta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X-Device-ID</w:t>
      </w:r>
      <w:r>
        <w:rPr>
          <w:color w:val="000000"/>
        </w:rPr>
        <w:t xml:space="preserve"> </w:t>
      </w:r>
      <w:r>
        <w:rPr>
          <w:color w:val="000000"/>
        </w:rPr>
        <w:t xml:space="preserve">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X-API-Key</w:t>
      </w:r>
      <w:r>
        <w:rPr>
          <w:color w:val="000000"/>
        </w:rPr>
        <w:t xml:space="preserve">; el token de provisión se reserva para el registro inicial. No use credenciales de desarrollador en Swagger o instalaciones compartidas. Las formas exactas de login, refresco, registro, heartbeat, eventos y streaming se consultan en OpenAPI, no se copian a mano aquí.</w:t>
      </w:r>
    </w:p>
    <w:bookmarkEnd w:id="38"/>
    <w:bookmarkStart w:id="41" w:name="X05cd9b6c9610961396296a72425178e9bc5d3af"/>
    <w:p>
      <w:pPr>
        <w:pStyle w:val="Heading2"/>
      </w:pPr>
      <w:r>
        <w:rPr>
          <w:color w:val="000000"/>
        </w:rPr>
        <w:t xml:space="preserve">8. Dispositivo de borde</w:t>
      </w:r>
    </w:p>
    <w:bookmarkStart w:id="39" w:name="X378351915daecb2b25d697a4f3ccb7e22e3c91a"/>
    <w:p>
      <w:pPr>
        <w:pStyle w:val="Heading3"/>
      </w:pPr>
      <w:r>
        <w:rPr>
          <w:color w:val="000000"/>
        </w:rPr>
        <w:t xml:space="preserve">8.1 Estructura y ciclo local</w:t>
      </w:r>
    </w:p>
    <w:p>
      <w:pPr>
        <w:pStyle w:val="FirstParagraph"/>
      </w:pPr>
      <w:r>
        <w:rPr>
          <w:color w:val="000000"/>
        </w:rPr>
        <w:t xml:space="preserve">El código separa configuración/identidad, manejo del dispositivo, captura, análisis, almacenamiento SQLite, sincronización y publicación de video bajo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somnguard-device/app/</w:t>
      </w:r>
      <w:r>
        <w:rPr>
          <w:color w:val="000000"/>
        </w:rPr>
        <w:t xml:space="preserve">.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config/device.default.json</w:t>
      </w:r>
      <w:r>
        <w:rPr>
          <w:color w:val="000000"/>
        </w:rPr>
        <w:t xml:space="preserve"> </w:t>
      </w:r>
      <w:r>
        <w:rPr>
          <w:color w:val="000000"/>
        </w:rPr>
        <w:t xml:space="preserve">aporta valores base; el dispositivo puede guardar caché y cambios locales 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data/</w:t>
      </w:r>
      <w:r>
        <w:rPr>
          <w:color w:val="000000"/>
        </w:rPr>
        <w:t xml:space="preserve">.</w:t>
      </w:r>
    </w:p>
    <w:p>
      <w:pPr>
        <w:pStyle w:val="BodyText"/>
      </w:pPr>
      <w:r>
        <w:rPr>
          <w:color w:val="000000"/>
        </w:rPr>
        <w:t xml:space="preserve">El buffer conserva eventos pendientes y el motor de sincronización envía lotes cuando vuelve la conectividad. El código informa que un modo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OFFLINE</w:t>
      </w:r>
      <w:r>
        <w:rPr>
          <w:color w:val="000000"/>
        </w:rPr>
        <w:t xml:space="preserve"> </w:t>
      </w:r>
      <w:r>
        <w:rPr>
          <w:color w:val="000000"/>
        </w:rPr>
        <w:t xml:space="preserve">continúa detectando. Un comentario antiguo del encabezado de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app/device/manager.py</w:t>
      </w:r>
      <w:r>
        <w:rPr>
          <w:color w:val="000000"/>
        </w:rPr>
        <w:t xml:space="preserve"> </w:t>
      </w:r>
      <w:r>
        <w:rPr>
          <w:color w:val="000000"/>
        </w:rPr>
        <w:t xml:space="preserve">dice lo contrario; la implementación 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_enter_offline</w:t>
      </w:r>
      <w:r>
        <w:rPr>
          <w:color w:val="000000"/>
        </w:rPr>
        <w:t xml:space="preserve"> </w:t>
      </w:r>
      <w:r>
        <w:rPr>
          <w:color w:val="000000"/>
        </w:rPr>
        <w:t xml:space="preserve">y el flujo actual describen continuidad local. Si aparecen discrepancias, verifique el comportamiento en hardware de QA y corrija la documentación fuente.</w:t>
      </w:r>
    </w:p>
    <w:bookmarkEnd w:id="39"/>
    <w:bookmarkStart w:id="40" w:name="X44db57674e16c37717098b2fee4e0fe1f2f3ea9"/>
    <w:p>
      <w:pPr>
        <w:pStyle w:val="Heading3"/>
      </w:pPr>
      <w:r>
        <w:rPr>
          <w:color w:val="000000"/>
        </w:rPr>
        <w:t xml:space="preserve">8.2 Video y modelos</w:t>
      </w:r>
    </w:p>
    <w:p>
      <w:pPr>
        <w:pStyle w:val="FirstParagraph"/>
      </w:pPr>
      <w:r>
        <w:rPr>
          <w:color w:val="000000"/>
        </w:rPr>
        <w:t xml:space="preserve">La publicación LiveKit requiere la extra Python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[stream]</w:t>
      </w:r>
      <w:r>
        <w:rPr>
          <w:color w:val="000000"/>
        </w:rPr>
        <w:t xml:space="preserve">, el servicio habilitado y URL/puertos alcanzables. El relay usa WebSocket servido por API. Sin LiveKit, el lector puede depender del relay; un estado de sesión creada no garantiza que haya frames disponibles.</w:t>
      </w:r>
    </w:p>
    <w:p>
      <w:pPr>
        <w:pStyle w:val="BodyText"/>
      </w:pPr>
      <w:r>
        <w:rPr>
          <w:color w:val="000000"/>
        </w:rPr>
        <w:t xml:space="preserve">El README indica que la detección de cinturón está desactivada por configuración/modelo hasta la validación de hardware. Los modelos y los resultados deben comprobarse para el dispositivo homologado; no infiera que todos los detectores descritos en requisitos estén activos en producción.</w:t>
      </w:r>
    </w:p>
    <w:bookmarkEnd w:id="40"/>
    <w:bookmarkEnd w:id="41"/>
    <w:bookmarkStart w:id="45" w:name="Xb8a4c5197a4323ef7c26885fa3c52b81df9e87c"/>
    <w:p>
      <w:pPr>
        <w:pStyle w:val="Heading2"/>
      </w:pPr>
      <w:r>
        <w:rPr>
          <w:color w:val="000000"/>
        </w:rPr>
        <w:t xml:space="preserve">9. Mantenimiento del código y la base</w:t>
      </w:r>
    </w:p>
    <w:bookmarkStart w:id="42" w:name="Xca667a34c84e2efccdea3227e8e78f864112dd3"/>
    <w:p>
      <w:pPr>
        <w:pStyle w:val="Heading3"/>
      </w:pPr>
      <w:r>
        <w:rPr>
          <w:color w:val="000000"/>
        </w:rPr>
        <w:t xml:space="preserve">9.1 Comandos disponibles por repositorio</w:t>
      </w:r>
    </w:p>
    <w:p>
      <w:pPr>
        <w:pStyle w:val="FirstParagraph"/>
      </w:pPr>
      <w:r>
        <w:rPr>
          <w:color w:val="000000"/>
        </w:rPr>
        <w:t xml:space="preserve">Estos comandos están definidos por scripts y workflows. No se ejecutaron en esta revisión.</w:t>
      </w:r>
    </w:p>
    <w:p>
      <w:pPr>
        <w:pStyle w:val="SourceCode"/>
      </w:pPr>
      <w:r>
        <w:rPr>
          <w:rStyle w:val="CommentTok"/>
          <w:color w:val="000000"/>
        </w:rPr>
        <w:t xml:space="preserve"># API: mismos pasos base que CI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mvn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-B</w:t>
      </w:r>
      <w:r>
        <w:rPr>
          <w:rStyle w:val="NormalTok"/>
          <w:color w:val="000000"/>
        </w:rPr>
        <w:t xml:space="preserve"> clean compile</w:t>
      </w:r>
      <w:r>
        <w:rPr>
          <w:color w:val="000000"/>
        </w:rPr>
        <w:br/>
      </w:r>
      <w:r>
        <w:rPr>
          <w:rStyle w:val="VariableTok"/>
          <w:color w:val="000000"/>
        </w:rPr>
        <w:t xml:space="preserve">SPRING_PROFILES_ACTIVE</w:t>
      </w:r>
      <w:r>
        <w:rPr>
          <w:rStyle w:val="OperatorTok"/>
          <w:color w:val="000000"/>
        </w:rPr>
        <w:t xml:space="preserve">=</w:t>
      </w:r>
      <w:r>
        <w:rPr>
          <w:rStyle w:val="NormalTok"/>
          <w:color w:val="000000"/>
        </w:rPr>
        <w:t xml:space="preserve">test </w:t>
      </w:r>
      <w:r>
        <w:rPr>
          <w:rStyle w:val="ExtensionTok"/>
          <w:color w:val="000000"/>
        </w:rPr>
        <w:t xml:space="preserve">mvn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-B</w:t>
      </w:r>
      <w:r>
        <w:rPr>
          <w:rStyle w:val="NormalTok"/>
          <w:color w:val="000000"/>
        </w:rPr>
        <w:t xml:space="preserve"> test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mvn</w:t>
      </w:r>
      <w:r>
        <w:rPr>
          <w:rStyle w:val="NormalTok"/>
          <w:color w:val="000000"/>
        </w:rPr>
        <w:t xml:space="preserve"> </w:t>
      </w:r>
      <w:r>
        <w:rPr>
          <w:rStyle w:val="AttributeTok"/>
          <w:color w:val="000000"/>
        </w:rPr>
        <w:t xml:space="preserve">-B</w:t>
      </w:r>
      <w:r>
        <w:rPr>
          <w:rStyle w:val="NormalTok"/>
          <w:color w:val="000000"/>
        </w:rPr>
        <w:t xml:space="preserve"> checkstyle:check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Portal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ci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run lint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run build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App móvil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ci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npm</w:t>
      </w:r>
      <w:r>
        <w:rPr>
          <w:rStyle w:val="NormalTok"/>
          <w:color w:val="000000"/>
        </w:rPr>
        <w:t xml:space="preserve"> run lint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CommentTok"/>
          <w:color w:val="000000"/>
        </w:rPr>
        <w:t xml:space="preserve"># Dispositivo (Linux/macOS/Git Bash con Make y Python preparado)</w:t>
      </w:r>
      <w:r>
        <w:rPr>
          <w:color w:val="000000"/>
        </w:rPr>
        <w:br/>
      </w:r>
      <w:r>
        <w:rPr>
          <w:rStyle w:val="FunctionTok"/>
          <w:color w:val="000000"/>
        </w:rPr>
        <w:t xml:space="preserve">make</w:t>
      </w:r>
      <w:r>
        <w:rPr>
          <w:rStyle w:val="NormalTok"/>
          <w:color w:val="000000"/>
        </w:rPr>
        <w:t xml:space="preserve"> lint</w:t>
      </w:r>
      <w:r>
        <w:rPr>
          <w:color w:val="000000"/>
        </w:rPr>
        <w:br/>
      </w:r>
      <w:r>
        <w:rPr>
          <w:rStyle w:val="FunctionTok"/>
          <w:color w:val="000000"/>
        </w:rPr>
        <w:t xml:space="preserve">make</w:t>
      </w:r>
      <w:r>
        <w:rPr>
          <w:rStyle w:val="NormalTok"/>
          <w:color w:val="000000"/>
        </w:rPr>
        <w:t xml:space="preserve"> test</w:t>
      </w:r>
    </w:p>
    <w:p>
      <w:pPr>
        <w:pStyle w:val="FirstParagraph"/>
      </w:pPr>
      <w:r>
        <w:rPr>
          <w:color w:val="000000"/>
        </w:rPr>
        <w:t xml:space="preserve">La API también requiere claves JWT de prueba en el workflow CI. El dispositivo puede probarse en Windows siguiendo su README 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py -m pytest tests/ -v</w:t>
      </w:r>
      <w:r>
        <w:rPr>
          <w:color w:val="000000"/>
        </w:rPr>
        <w:t xml:space="preserve">. La app no declara un script de pruebas en su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package.json</w:t>
      </w:r>
      <w:r>
        <w:rPr>
          <w:color w:val="000000"/>
        </w:rPr>
        <w:t xml:space="preserve">; no sustituya esta ausencia por un comando inventado.</w:t>
      </w:r>
    </w:p>
    <w:bookmarkEnd w:id="42"/>
    <w:bookmarkStart w:id="43" w:name="X1cc365e860848aec0cff400b10a5b4fd2f91f0d"/>
    <w:p>
      <w:pPr>
        <w:pStyle w:val="Heading3"/>
      </w:pPr>
      <w:r>
        <w:rPr>
          <w:color w:val="000000"/>
        </w:rPr>
        <w:t xml:space="preserve">9.2 Arquitectura y cambios</w:t>
      </w:r>
    </w:p>
    <w:p>
      <w:pPr>
        <w:pStyle w:val="FirstParagraph"/>
      </w:pPr>
      <w:r>
        <w:rPr>
          <w:color w:val="000000"/>
        </w:rPr>
        <w:t xml:space="preserve">El API es un monolito modular con puertos y adaptadores. Los paquetes principales incluyen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security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parameterization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device_management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telemetry_service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monitoring</w:t>
      </w:r>
      <w:r>
        <w:rPr>
          <w:color w:val="000000"/>
        </w:rPr>
        <w:t xml:space="preserve"> </w:t>
      </w:r>
      <w:r>
        <w:rPr>
          <w:color w:val="000000"/>
        </w:rPr>
        <w:t xml:space="preserve">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analytics</w:t>
      </w:r>
      <w:r>
        <w:rPr>
          <w:color w:val="000000"/>
        </w:rPr>
        <w:t xml:space="preserve">. Las entidades de persistencia y los controladores se agrupan por módulo. Mantenga reglas del dominio fuera de la capa web y use los puertos/adaptadores existentes al ampliar casos de uso.</w:t>
      </w:r>
    </w:p>
    <w:p>
      <w:pPr>
        <w:pStyle w:val="BodyText"/>
      </w:pPr>
      <w:r>
        <w:rPr>
          <w:color w:val="000000"/>
        </w:rPr>
        <w:t xml:space="preserve">Portal y app separan rutas/composición, funcionalidades y componentes compartidos. En móvil, las rutas están 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SomnGuard-app/src/app/</w:t>
      </w:r>
      <w:r>
        <w:rPr>
          <w:color w:val="000000"/>
        </w:rPr>
        <w:t xml:space="preserve">; la lógica se organiza bajo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src/features/</w:t>
      </w:r>
      <w:r>
        <w:rPr>
          <w:color w:val="000000"/>
        </w:rPr>
        <w:t xml:space="preserve">. Edge organiza los ciclos de cámara, análisis, almacenamiento y sincronización bajo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app/</w:t>
      </w:r>
      <w:r>
        <w:rPr>
          <w:color w:val="000000"/>
        </w:rPr>
        <w:t xml:space="preserve">.</w:t>
      </w:r>
    </w:p>
    <w:bookmarkEnd w:id="43"/>
    <w:bookmarkStart w:id="44" w:name="X547b4b4a380ae5233b59784e02e00e6cab55523"/>
    <w:p>
      <w:pPr>
        <w:pStyle w:val="Heading3"/>
      </w:pPr>
      <w:r>
        <w:rPr>
          <w:color w:val="000000"/>
        </w:rPr>
        <w:t xml:space="preserve">9.3 Cambios de esquema</w:t>
      </w:r>
    </w:p>
    <w:p>
      <w:pPr>
        <w:pStyle w:val="FirstParagraph"/>
      </w:pPr>
      <w:r>
        <w:rPr>
          <w:color w:val="000000"/>
        </w:rPr>
        <w:t xml:space="preserve">La fuente versionada del esquema es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somnguard-db/changelog/changelog-master.yaml</w:t>
      </w:r>
      <w:r>
        <w:rPr>
          <w:color w:val="000000"/>
        </w:rPr>
        <w:t xml:space="preserve">. Los changesets se separan por DDL, DML, DCL y TCL y se agrupan en módulos. Use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liquibase status --verbose</w:t>
      </w:r>
      <w:r>
        <w:rPr>
          <w:color w:val="000000"/>
        </w:rPr>
        <w:t xml:space="preserve"> </w:t>
      </w:r>
      <w:r>
        <w:rPr>
          <w:color w:val="000000"/>
        </w:rPr>
        <w:t xml:space="preserve">para inspeccionar pendientes. La documentación del proyecto permite rollback en desarrollo y declara QA/main forward-only; ante un cambio defectuoso en esos ambientes corresponde un forward-fix aprobado o recuperar desde respaldo.</w:t>
      </w:r>
    </w:p>
    <w:p>
      <w:pPr>
        <w:pStyle w:val="BodyText"/>
      </w:pPr>
      <w:r>
        <w:rPr>
          <w:color w:val="000000"/>
        </w:rPr>
        <w:t xml:space="preserve">No aplique SQL manual como sustituto del changelog. Resuelva antes la diferencia entre Liquibase 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ddl-auto:update</w:t>
      </w:r>
      <w:r>
        <w:rPr>
          <w:color w:val="000000"/>
        </w:rPr>
        <w:t xml:space="preserve"> </w:t>
      </w:r>
      <w:r>
        <w:rPr>
          <w:color w:val="000000"/>
        </w:rPr>
        <w:t xml:space="preserve">del perfil API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dev</w:t>
      </w:r>
      <w:r>
        <w:rPr>
          <w:color w:val="000000"/>
        </w:rPr>
        <w:t xml:space="preserve">; no apunte ese perfil a una base compartida.</w:t>
      </w:r>
    </w:p>
    <w:bookmarkEnd w:id="44"/>
    <w:bookmarkEnd w:id="45"/>
    <w:bookmarkStart w:id="46" w:name="Xdb7450711a1bc0a9863904d20caf518713b1146"/>
    <w:p>
      <w:pPr>
        <w:pStyle w:val="Heading2"/>
      </w:pPr>
      <w:r>
        <w:rPr>
          <w:color w:val="000000"/>
        </w:rPr>
        <w:t xml:space="preserve">10. Respaldo, recuperación y actualización</w:t>
      </w:r>
    </w:p>
    <w:p>
      <w:pPr>
        <w:pStyle w:val="FirstParagraph"/>
      </w:pPr>
      <w:r>
        <w:rPr>
          <w:color w:val="000000"/>
        </w:rPr>
        <w:t xml:space="preserve">El estado persistente incluye PostgreSQL y los objetos de evidencia S3; respaldar uno solo puede dejar referencias rotas. El volumen local de S3Mock se llama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s3mock-data</w:t>
      </w:r>
      <w:r>
        <w:rPr>
          <w:color w:val="000000"/>
        </w:rPr>
        <w:t xml:space="preserve">; PostgreSQL usa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postgres_data</w:t>
      </w:r>
      <w:r>
        <w:rPr>
          <w:color w:val="000000"/>
        </w:rPr>
        <w:t xml:space="preserve">. Las estrategias documentales dejan sin confirmar cifrado/destino, frecuencia, PITR, RTO/RPO y restore drill.</w:t>
      </w:r>
    </w:p>
    <w:p>
      <w:pPr>
        <w:pStyle w:val="BodyText"/>
      </w:pPr>
      <w:r>
        <w:rPr>
          <w:color w:val="000000"/>
        </w:rPr>
        <w:t xml:space="preserve">La guía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docs/13-operations/backup-and-recovery.md</w:t>
      </w:r>
      <w:r>
        <w:rPr>
          <w:color w:val="000000"/>
        </w:rPr>
        <w:t xml:space="preserve"> </w:t>
      </w:r>
      <w:r>
        <w:rPr>
          <w:color w:val="000000"/>
        </w:rPr>
        <w:t xml:space="preserve">ofrece propuestas de dump/restauración, pero no hay evidencia aquí de que se hayan probado contra este despliegue ni de que la ruta de salida esté montada. Antes de usarla, defina un destino persistente y protegido, respalde DB y medios de forma coordinada y ensaye la restauración en un entorno efímero. No restaure sobre producción como diagnóstico.</w:t>
      </w:r>
    </w:p>
    <w:p>
      <w:pPr>
        <w:pStyle w:val="BodyText"/>
      </w:pPr>
      <w:r>
        <w:rPr>
          <w:color w:val="000000"/>
        </w:rPr>
        <w:t xml:space="preserve">El repositorio API publica una imagen mediante GitHub Actions desde ramas configuradas, pero eso no equivale a un release coordinado de API, DB, portal, app y edge. Revise compatibilidad de migraciones, variables y clientes por ambiente y siga el proceso de release aprobado. No existe un único comando de actualización para todo el sistema.</w:t>
      </w:r>
    </w:p>
    <w:bookmarkEnd w:id="46"/>
    <w:bookmarkStart w:id="47" w:name="X3e0ffc198e11e4df84600200d7c942d663d0f79"/>
    <w:p>
      <w:pPr>
        <w:pStyle w:val="Heading2"/>
      </w:pPr>
      <w:r>
        <w:rPr>
          <w:color w:val="000000"/>
        </w:rPr>
        <w:t xml:space="preserve">11. Diagnóstico de problemas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Síntoma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Comprobaciones iniciales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API no conecta a PostgreSQL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Confirme que el Compose de DB está activo, puerto y credenciales coinciden y el host corresponde al proceso: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localhost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desde el host, nombre de servicio o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host.docker.internal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desde contenedor según red/plataforma.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API no inicia por datasource o esquema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Consulte los logs del API; compare URL/usuario/perfil y cambios Liquibase aplicados. No resuelva ejecutando un rollback en QA/producción.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/health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devuelve 404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Use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/actuator/health</w:t>
            </w:r>
            <w:r>
              <w:rPr>
                <w:color w:val="000000"/>
              </w:rPr>
              <w:t xml:space="preserve">, que corresponde al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management.endpoints.web.base-path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actual.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Portal devuelve error API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Revise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VITE_API_URL</w:t>
            </w:r>
            <w:r>
              <w:rPr>
                <w:color w:val="000000"/>
              </w:rPr>
              <w:t xml:space="preserve">, CORS y disponibilidad de API; el portal espera base URL con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/api/v1</w:t>
            </w:r>
            <w:r>
              <w:rPr>
                <w:color w:val="000000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Móvil no alcanza API en teléfono físico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Cambie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localhost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por una IP/DNS accesible desde el teléfono y configure CORS/red donde aplique. La app espera el origen sin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/api/v1</w:t>
            </w:r>
            <w:r>
              <w:rPr>
                <w:color w:val="000000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No aparece video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Compruebe si LiveKit está iniciado con perfil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livekit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LIVEKIT_ENABLED</w:t>
            </w:r>
            <w:r>
              <w:rPr>
                <w:color w:val="000000"/>
              </w:rPr>
              <w:t xml:space="preserve">, URL anunciada, puertos/firewall, extra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[stream]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del edge y publicación de frames. En Expo Go no está el módulo nativo.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Edge aparece offline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Revise URL del API, heartbeat, reloj/red y espacio en disco. La detección local puede continuar y sincronizar más tarde; cuide el buffer y los medios locales.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Evidencia falla aunque exista evento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Verifique conectividad y servicio/credenciales S3; metadatos y bytes se almacenan en componentes distintos.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No funciona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make provision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make update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o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make factory-reset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Los scripts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.sh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asociados están vacíos en el baseline revisado; use solo el procedimiento manual aprobado y no suponga que el objetivo Makefile realiza la operación.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Healthcheck o manual antiguo discrepa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Priorice rutas/configuración del código ejecutado, contraste perfil/commit y actualice el documento fuente que quedó atrás.</w:t>
            </w:r>
          </w:p>
        </w:tc>
      </w:tr>
    </w:tbl>
    <w:bookmarkEnd w:id="47"/>
    <w:bookmarkStart w:id="50" w:name="X8db173fe48cdc15a50ef910c683a7a114fd9136"/>
    <w:p>
      <w:pPr>
        <w:pStyle w:val="Heading2"/>
      </w:pPr>
      <w:r>
        <w:rPr>
          <w:color w:val="000000"/>
        </w:rPr>
        <w:t xml:space="preserve">12. Referencia rápida y documentación relacionada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Para</w:t>
            </w:r>
          </w:p>
        </w:tc>
        <w:tc>
          <w:tcPr>
            <w:vAlign w:val="center"/>
            <w:shd w:fill="E6E6E6"/>
          </w:tcPr>
          <w:p>
            <w:pPr>
              <w:pStyle w:val="Compact"/>
            </w:pPr>
            <w:r>
              <w:rPr>
                <w:color w:val="000000"/>
              </w:rPr>
              <w:t xml:space="preserve">Comando o referencia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Levantar PostgreSQL local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cd somnguard-db &amp;&amp; docker compose --env-file .env.develop up -d postgres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Aplicar migraciones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cd somnguard-db &amp;&amp; docker compose --env-file .env.develop run --rm liquibase update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Ver salud de API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http://localhost:8080/actuator/health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Ver contrato API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http://localhost:8080/swagger-ui.html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Levantar API y S3Mock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cd somnguard-api &amp;&amp; docker compose --env-file .env up -d --build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Levantar streaming opcional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cd somnguard-api &amp;&amp; docker compose --env-file .env --profile livekit up -d --build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Iniciar portal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cd somnguard-portal &amp;&amp; npm run dev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Iniciar Expo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cd somnguard-app/SomnGuard-app &amp;&amp; npm run start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rPr>
                <w:color w:val="000000"/>
              </w:rPr>
              <w:t xml:space="preserve">Ejecutar edge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rPr>
                <w:rStyle w:val="VerbatimChar"/>
                <w:color w:val="000000"/>
              </w:rPr>
              <w:t xml:space="preserve">cd somnguard-device &amp;&amp; python -m app.main</w:t>
            </w:r>
          </w:p>
        </w:tc>
      </w:tr>
    </w:tbl>
    <w:p>
      <w:pPr>
        <w:pStyle w:val="BodyText"/>
      </w:pPr>
      <w:r>
        <w:rPr>
          <w:color w:val="000000"/>
        </w:rPr>
        <w:t xml:space="preserve">Los comandos de inicio se ofrecen para entornos locales y presuponen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.env</w:t>
      </w:r>
      <w:r>
        <w:rPr>
          <w:color w:val="000000"/>
        </w:rPr>
        <w:t xml:space="preserve"> </w:t>
      </w:r>
      <w:r>
        <w:rPr>
          <w:color w:val="000000"/>
        </w:rPr>
        <w:t xml:space="preserve">configurados. No los copie como runbook de producción.</w:t>
      </w:r>
    </w:p>
    <w:bookmarkStart w:id="49" w:name="documentos-relacionados"/>
    <w:p>
      <w:pPr>
        <w:pStyle w:val="Heading3"/>
      </w:pPr>
      <w:r>
        <w:rPr>
          <w:color w:val="000000"/>
        </w:rPr>
        <w:t xml:space="preserve">Documentos relacionados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color w:val="000000"/>
        </w:rPr>
        <w:t xml:space="preserve">somnguard-docs/docs/05-architecture/architecture-document.md</w:t>
      </w:r>
      <w:r>
        <w:rPr>
          <w:color w:val="000000"/>
        </w:rPr>
        <w:t xml:space="preserve">: vista arquitectónica y decisiones.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color w:val="000000"/>
        </w:rPr>
        <w:t xml:space="preserve">somnguard-docs/docs/07-api-design/</w:t>
      </w:r>
      <w:r>
        <w:rPr>
          <w:color w:val="000000"/>
        </w:rPr>
        <w:t xml:space="preserve">: convenciones y autenticación; contraste contratos con Swagger actual.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color w:val="000000"/>
        </w:rPr>
        <w:t xml:space="preserve">somnguard-docs/docs/06-data-architecture/migration-strategy.md</w:t>
      </w:r>
      <w:r>
        <w:rPr>
          <w:color w:val="000000"/>
        </w:rPr>
        <w:t xml:space="preserve">: estructura de changelogs.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color w:val="000000"/>
        </w:rPr>
        <w:t xml:space="preserve">somnguard-docs/docs/10-devops/local-setup.md</w:t>
      </w:r>
      <w:r>
        <w:rPr>
          <w:color w:val="000000"/>
        </w:rPr>
        <w:t xml:space="preserve"> </w:t>
      </w:r>
      <w:r>
        <w:rPr>
          <w:color w:val="000000"/>
        </w:rPr>
        <w:t xml:space="preserve">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environments.md</w:t>
      </w:r>
      <w:r>
        <w:rPr>
          <w:color w:val="000000"/>
        </w:rPr>
        <w:t xml:space="preserve">: flujo de desarrollo/ambientes; algunas instrucciones requieren actualización.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color w:val="000000"/>
        </w:rPr>
        <w:t xml:space="preserve">somnguard-docs/docs/13-operations/backup-and-recovery.md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observability.md</w:t>
      </w:r>
      <w:r>
        <w:rPr>
          <w:color w:val="000000"/>
        </w:rPr>
        <w:t xml:space="preserve"> </w:t>
      </w:r>
      <w:r>
        <w:rPr>
          <w:color w:val="000000"/>
        </w:rPr>
        <w:t xml:space="preserve">e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incident-management.md</w:t>
      </w:r>
      <w:r>
        <w:rPr>
          <w:color w:val="000000"/>
        </w:rPr>
        <w:t xml:space="preserve">: estrategia aún con decisiones pendientes.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color w:val="000000"/>
        </w:rPr>
        <w:t xml:space="preserve">somnguard-device/README.md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somnguard-api/README.md</w:t>
      </w:r>
      <w:r>
        <w:rPr>
          <w:color w:val="000000"/>
        </w:rPr>
        <w:t xml:space="preserve">,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somnguard-portal/README.md</w:t>
      </w:r>
      <w:r>
        <w:rPr>
          <w:color w:val="000000"/>
        </w:rPr>
        <w:t xml:space="preserve"> </w:t>
      </w:r>
      <w:r>
        <w:rPr>
          <w:color w:val="000000"/>
        </w:rPr>
        <w:t xml:space="preserve">y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somnguard-app/README.md</w:t>
      </w:r>
      <w:r>
        <w:rPr>
          <w:color w:val="000000"/>
        </w:rPr>
        <w:t xml:space="preserve">: requisitos y comandos de cada repositorio; contrastar con el commit actual.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Informe, matriz, índice y pendientes</w:t>
        </w:r>
      </w:hyperlink>
      <w:r>
        <w:rPr>
          <w:color w:val="000000"/>
        </w:rPr>
        <w:t xml:space="preserve">.</w:t>
      </w:r>
    </w:p>
    <w:p>
      <w:r>
        <w:rPr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color w:val="000000"/>
        </w:rPr>
        <w:t xml:space="preserve">Pendientes de decisión para un runbook productivo:</w:t>
      </w:r>
      <w:r>
        <w:rPr>
          <w:color w:val="000000"/>
        </w:rPr>
        <w:t xml:space="preserve"> </w:t>
      </w:r>
      <w:r>
        <w:rPr>
          <w:color w:val="000000"/>
        </w:rPr>
        <w:t xml:space="preserve">despliegue y TLS integrados; secretos y CORS por ambiente; resolución de Liquibase frente a Hibernate en desarrollo; backups probados; monitoreo/guardia; perfiles de build móvil; configuración pública de LiveKit/TURN; scripts edge operativos; y soporte de hardware/modelos.</w:t>
      </w:r>
    </w:p>
    <w:bookmarkEnd w:id="49"/>
    <w:bookmarkEnd w:id="50"/>
    <w:bookmarkEnd w:id="51"/>
    <w:sectPr w:rsidR="00FC693F" w:rsidRPr="0006063C" w:rsidSect="00034616">
      <w:headerReference r:id="rId9" w:type="default"/>
      <w:footerReference r:id="rId10" w:type="default"/>
      <w:pgSz w:h="16834" w:w="11909"/>
      <w:pgMar w:bottom="1008" w:footer="504" w:gutter="0" w:header="504" w:left="1123" w:right="1123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SomnGuard · Edición de revisión 1.0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0000"/>
        <w:sz w:val="16"/>
      </w:rPr>
      <w:t>SOMNGUARD  |  MANUAL DE USUARIO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color w:val="000000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color w:val="000000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color w:val="000000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color w:val="00000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al" w:asciiTheme="majorHAnsi" w:cstheme="majorBidi" w:eastAsiaTheme="majorEastAsia" w:hAnsi="Arial" w:hAnsiTheme="majorHAnsi"/>
      <w:b/>
      <w:bCs/>
      <w:color w:val="000000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" w:asciiTheme="majorHAnsi" w:cstheme="majorBidi" w:eastAsiaTheme="majorEastAsia" w:hAnsi="Arial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Arial" w:asciiTheme="majorHAnsi" w:cstheme="majorBidi" w:eastAsiaTheme="majorEastAsia" w:hAnsi="Arial" w:hAnsiTheme="majorHAnsi"/>
      <w:b/>
      <w:bCs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/>
      <w:b/>
      <w:bCs/>
      <w:i/>
      <w:i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/>
      <w:b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/>
      <w:b/>
      <w:i/>
      <w:i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/>
      <w:b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/>
      <w:b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/>
      <w:b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color w:val="000000"/>
    </w:rPr>
  </w:style>
  <w:style w:default="1" w:styleId="TableNormal" w:type="table">
    <w:name w:val="Normal Table"/>
    <w:uiPriority w:val="99"/>
    <w:semiHidden/>
    <w:unhideWhenUsed/>
    <w:rPr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 w:ascii="Arial" w:hAnsi="Arial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 w:ascii="Arial" w:hAnsi="Arial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 w:ascii="Arial" w:hAnsi="Arial"/>
      <w:b/>
      <w:bCs/>
      <w:color w:val="00000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80" w:line="240" w:lineRule="auto"/>
      <w:contextualSpacing/>
    </w:pPr>
    <w:rPr>
      <w:rFonts w:ascii="Arial" w:asciiTheme="majorHAnsi" w:cstheme="majorBidi" w:eastAsiaTheme="majorEastAsia" w:hAnsi="Arial" w:hAnsiTheme="majorHAnsi"/>
      <w:b/>
      <w:color w:val="000000"/>
      <w:spacing w:val="5"/>
      <w:kern w:val="28"/>
      <w:sz w:val="5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000000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color w:val="000000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color w:val="000000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color w:val="000000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color w:val="000000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color w:val="000000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color w:val="000000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 w:ascii="Arial" w:hAnsi="Arial"/>
      <w:b/>
      <w:bCs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 w:ascii="Arial" w:hAnsi="Arial"/>
      <w:b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 w:ascii="Arial" w:hAnsi="Arial"/>
      <w:b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 w:ascii="Arial" w:hAnsi="Arial"/>
      <w:b/>
      <w:i/>
      <w:iCs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 w:ascii="Arial" w:hAnsi="Arial"/>
      <w:b/>
      <w:color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 w:ascii="Arial" w:hAnsi="Arial"/>
      <w:b/>
      <w:i/>
      <w:iCs/>
      <w:color w:val="00000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  <w:color w:val="000000"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  <w:color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val="00000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val="00000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  <w:rPr>
      <w:color w:val="000000"/>
    </w:rPr>
  </w:style>
  <w:style w:customStyle="1" w:styleId="KeywordTok" w:type="character">
    <w:name w:val="KeywordTok"/>
    <w:basedOn w:val="VerbatimChar"/>
    <w:rPr>
      <w:b/>
      <w:color w:val="000000"/>
    </w:rPr>
  </w:style>
  <w:style w:customStyle="1" w:styleId="DataTypeTok" w:type="character">
    <w:name w:val="DataTypeTok"/>
    <w:basedOn w:val="VerbatimChar"/>
    <w:rPr>
      <w:color w:val="000000"/>
    </w:rPr>
  </w:style>
  <w:style w:customStyle="1" w:styleId="DecValTok" w:type="character">
    <w:name w:val="DecValTok"/>
    <w:basedOn w:val="VerbatimChar"/>
    <w:rPr>
      <w:color w:val="000000"/>
    </w:rPr>
  </w:style>
  <w:style w:customStyle="1" w:styleId="BaseNTok" w:type="character">
    <w:name w:val="BaseNTok"/>
    <w:basedOn w:val="VerbatimChar"/>
    <w:rPr>
      <w:color w:val="000000"/>
    </w:rPr>
  </w:style>
  <w:style w:customStyle="1" w:styleId="FloatTok" w:type="character">
    <w:name w:val="FloatTok"/>
    <w:basedOn w:val="VerbatimChar"/>
    <w:rPr>
      <w:color w:val="000000"/>
    </w:rPr>
  </w:style>
  <w:style w:customStyle="1" w:styleId="ConstantTok" w:type="character">
    <w:name w:val="ConstantTok"/>
    <w:basedOn w:val="VerbatimChar"/>
    <w:rPr>
      <w:color w:val="000000"/>
    </w:rPr>
  </w:style>
  <w:style w:customStyle="1" w:styleId="CharTok" w:type="character">
    <w:name w:val="CharTok"/>
    <w:basedOn w:val="VerbatimChar"/>
    <w:rPr>
      <w:color w:val="000000"/>
    </w:rPr>
  </w:style>
  <w:style w:customStyle="1" w:styleId="SpecialCharTok" w:type="character">
    <w:name w:val="SpecialCharTok"/>
    <w:basedOn w:val="VerbatimChar"/>
    <w:rPr>
      <w:color w:val="000000"/>
    </w:rPr>
  </w:style>
  <w:style w:customStyle="1" w:styleId="StringTok" w:type="character">
    <w:name w:val="StringTok"/>
    <w:basedOn w:val="VerbatimChar"/>
    <w:rPr>
      <w:color w:val="000000"/>
    </w:rPr>
  </w:style>
  <w:style w:customStyle="1" w:styleId="VerbatimStringTok" w:type="character">
    <w:name w:val="VerbatimStringTok"/>
    <w:basedOn w:val="VerbatimChar"/>
    <w:rPr>
      <w:color w:val="000000"/>
    </w:rPr>
  </w:style>
  <w:style w:customStyle="1" w:styleId="SpecialStringTok" w:type="character">
    <w:name w:val="SpecialStringTok"/>
    <w:basedOn w:val="VerbatimChar"/>
    <w:rPr>
      <w:color w:val="000000"/>
    </w:rPr>
  </w:style>
  <w:style w:customStyle="1" w:styleId="ImportTok" w:type="character">
    <w:name w:val="ImportTok"/>
    <w:basedOn w:val="VerbatimChar"/>
    <w:rPr>
      <w:b/>
      <w:color w:val="000000"/>
    </w:rPr>
  </w:style>
  <w:style w:customStyle="1" w:styleId="CommentTok" w:type="character">
    <w:name w:val="CommentTok"/>
    <w:basedOn w:val="VerbatimChar"/>
    <w:rPr>
      <w:i/>
      <w:color w:val="000000"/>
    </w:rPr>
  </w:style>
  <w:style w:customStyle="1" w:styleId="DocumentationTok" w:type="character">
    <w:name w:val="DocumentationTok"/>
    <w:basedOn w:val="VerbatimChar"/>
    <w:rPr>
      <w:i/>
      <w:color w:val="000000"/>
    </w:rPr>
  </w:style>
  <w:style w:customStyle="1" w:styleId="AnnotationTok" w:type="character">
    <w:name w:val="AnnotationTok"/>
    <w:basedOn w:val="VerbatimChar"/>
    <w:rPr>
      <w:b/>
      <w:i/>
      <w:color w:val="000000"/>
    </w:rPr>
  </w:style>
  <w:style w:customStyle="1" w:styleId="CommentVarTok" w:type="character">
    <w:name w:val="CommentVarTok"/>
    <w:basedOn w:val="VerbatimChar"/>
    <w:rPr>
      <w:b/>
      <w:i/>
      <w:color w:val="000000"/>
    </w:rPr>
  </w:style>
  <w:style w:customStyle="1" w:styleId="OtherTok" w:type="character">
    <w:name w:val="OtherTok"/>
    <w:basedOn w:val="VerbatimChar"/>
    <w:rPr>
      <w:color w:val="000000"/>
    </w:rPr>
  </w:style>
  <w:style w:customStyle="1" w:styleId="FunctionTok" w:type="character">
    <w:name w:val="FunctionTok"/>
    <w:basedOn w:val="VerbatimChar"/>
    <w:rPr>
      <w:color w:val="000000"/>
    </w:rPr>
  </w:style>
  <w:style w:customStyle="1" w:styleId="VariableTok" w:type="character">
    <w:name w:val="VariableTok"/>
    <w:basedOn w:val="VerbatimChar"/>
    <w:rPr>
      <w:color w:val="000000"/>
    </w:rPr>
  </w:style>
  <w:style w:customStyle="1" w:styleId="ControlFlowTok" w:type="character">
    <w:name w:val="ControlFlowTok"/>
    <w:basedOn w:val="VerbatimChar"/>
    <w:rPr>
      <w:b/>
      <w:color w:val="000000"/>
    </w:rPr>
  </w:style>
  <w:style w:customStyle="1" w:styleId="OperatorTok" w:type="character">
    <w:name w:val="OperatorTok"/>
    <w:basedOn w:val="VerbatimChar"/>
    <w:rPr>
      <w:color w:val="000000"/>
    </w:rPr>
  </w:style>
  <w:style w:customStyle="1" w:styleId="BuiltInTok" w:type="character">
    <w:name w:val="BuiltInTok"/>
    <w:basedOn w:val="VerbatimChar"/>
    <w:rPr>
      <w:color w:val="000000"/>
    </w:rPr>
  </w:style>
  <w:style w:customStyle="1" w:styleId="ExtensionTok" w:type="character">
    <w:name w:val="ExtensionTok"/>
    <w:basedOn w:val="VerbatimChar"/>
    <w:rPr>
      <w:color w:val="000000"/>
    </w:rPr>
  </w:style>
  <w:style w:customStyle="1" w:styleId="PreprocessorTok" w:type="character">
    <w:name w:val="PreprocessorTok"/>
    <w:basedOn w:val="VerbatimChar"/>
    <w:rPr>
      <w:color w:val="000000"/>
    </w:rPr>
  </w:style>
  <w:style w:customStyle="1" w:styleId="AttributeTok" w:type="character">
    <w:name w:val="AttributeTok"/>
    <w:basedOn w:val="VerbatimChar"/>
    <w:rPr>
      <w:color w:val="000000"/>
    </w:rPr>
  </w:style>
  <w:style w:customStyle="1" w:styleId="RegionMarkerTok" w:type="character">
    <w:name w:val="RegionMarkerTok"/>
    <w:basedOn w:val="VerbatimChar"/>
    <w:rPr>
      <w:color w:val="000000"/>
    </w:rPr>
  </w:style>
  <w:style w:customStyle="1" w:styleId="InformationTok" w:type="character">
    <w:name w:val="InformationTok"/>
    <w:basedOn w:val="VerbatimChar"/>
    <w:rPr>
      <w:b/>
      <w:i/>
      <w:color w:val="000000"/>
    </w:rPr>
  </w:style>
  <w:style w:customStyle="1" w:styleId="WarningTok" w:type="character">
    <w:name w:val="WarningTok"/>
    <w:basedOn w:val="VerbatimChar"/>
    <w:rPr>
      <w:b/>
      <w:i/>
      <w:color w:val="000000"/>
    </w:rPr>
  </w:style>
  <w:style w:customStyle="1" w:styleId="AlertTok" w:type="character">
    <w:name w:val="AlertTok"/>
    <w:basedOn w:val="VerbatimChar"/>
    <w:rPr>
      <w:b/>
      <w:color w:val="000000"/>
    </w:rPr>
  </w:style>
  <w:style w:customStyle="1" w:styleId="ErrorTok" w:type="character">
    <w:name w:val="ErrorTok"/>
    <w:basedOn w:val="VerbatimChar"/>
    <w:rPr>
      <w:b/>
      <w:color w:val="000000"/>
    </w:rPr>
  </w:style>
  <w:style w:customStyle="1" w:styleId="NormalTok" w:type="character">
    <w:name w:val="NormalTok"/>
    <w:basedOn w:val="VerbatimChar"/>
    <w:rPr>
      <w:color w:val="000000"/>
    </w:r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>
      <w:color w:val="000000"/>
    </w:rPr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>
      <w:color w:val="000000"/>
    </w:rPr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8" Type="http://schemas.openxmlformats.org/officeDocument/2006/relationships/hyperlink" Target="./analisis-manual-tecnico.md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/analisis-manual-tecnico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SomnGuard</dc:title>
  <dc:creator>Equipo SomnGuard</dc:creator>
  <cp:keywords/>
  <dcterms:created xsi:type="dcterms:W3CDTF">2026-10-09T15:48:02Z</dcterms:created>
  <dcterms:modified xsi:type="dcterms:W3CDTF">2026-10-09T15:48:02Z</dcterms:modified>
  <dc:subject>Operación, configuración y mantenimiento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