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5516" w14:textId="77777777" w:rsidR="001B461C" w:rsidRDefault="00435552">
      <w:pPr>
        <w:pStyle w:val="BodyText"/>
        <w:spacing w:after="0"/>
        <w:jc w:val="right"/>
        <w:rPr>
          <w:rFonts w:ascii="Times New Roman" w:hAnsi="Times New Roman"/>
          <w:b/>
          <w:sz w:val="20"/>
        </w:rPr>
      </w:pPr>
      <w:r>
        <w:rPr>
          <w:rFonts w:ascii="Times New Roman" w:hAnsi="Times New Roman"/>
          <w:b/>
          <w:sz w:val="20"/>
        </w:rPr>
        <w:t xml:space="preserve">Exhibit 10.9 </w:t>
      </w:r>
    </w:p>
    <w:p w14:paraId="66A1D1C8" w14:textId="77777777" w:rsidR="001B461C" w:rsidRDefault="00435552">
      <w:pPr>
        <w:pStyle w:val="BodyText"/>
        <w:spacing w:before="240" w:after="0"/>
        <w:jc w:val="center"/>
        <w:rPr>
          <w:rFonts w:ascii="Times New Roman" w:hAnsi="Times New Roman"/>
          <w:b/>
          <w:sz w:val="20"/>
        </w:rPr>
      </w:pPr>
      <w:r>
        <w:rPr>
          <w:rFonts w:ascii="Times New Roman" w:hAnsi="Times New Roman"/>
          <w:b/>
          <w:sz w:val="20"/>
        </w:rPr>
        <w:t xml:space="preserve">DATED December 19, 2019 </w:t>
      </w:r>
    </w:p>
    <w:p w14:paraId="68F9C69D" w14:textId="77777777" w:rsidR="001B461C" w:rsidRDefault="00435552">
      <w:pPr>
        <w:pStyle w:val="BodyText"/>
        <w:spacing w:before="240" w:after="0"/>
        <w:jc w:val="center"/>
        <w:rPr>
          <w:rFonts w:ascii="Times New Roman" w:hAnsi="Times New Roman"/>
          <w:b/>
          <w:sz w:val="20"/>
        </w:rPr>
      </w:pPr>
      <w:r>
        <w:rPr>
          <w:rFonts w:ascii="Times New Roman" w:hAnsi="Times New Roman"/>
          <w:b/>
          <w:sz w:val="20"/>
        </w:rPr>
        <w:t xml:space="preserve">Maoyan Entertainment </w:t>
      </w:r>
    </w:p>
    <w:p w14:paraId="51456786" w14:textId="77777777" w:rsidR="001B461C" w:rsidRDefault="00435552">
      <w:pPr>
        <w:pStyle w:val="BodyText"/>
        <w:spacing w:before="240" w:after="0"/>
        <w:jc w:val="center"/>
        <w:rPr>
          <w:rFonts w:ascii="Times New Roman" w:hAnsi="Times New Roman"/>
          <w:b/>
          <w:sz w:val="20"/>
        </w:rPr>
      </w:pPr>
      <w:r>
        <w:rPr>
          <w:rFonts w:ascii="Times New Roman" w:hAnsi="Times New Roman"/>
          <w:b/>
          <w:sz w:val="20"/>
        </w:rPr>
        <w:t xml:space="preserve">and </w:t>
      </w:r>
    </w:p>
    <w:p w14:paraId="6EA16E7F" w14:textId="77777777" w:rsidR="001B461C" w:rsidRDefault="00435552">
      <w:pPr>
        <w:pStyle w:val="BodyText"/>
        <w:spacing w:before="240" w:after="0"/>
        <w:jc w:val="center"/>
        <w:rPr>
          <w:rFonts w:ascii="Times New Roman" w:hAnsi="Times New Roman"/>
          <w:b/>
          <w:sz w:val="20"/>
        </w:rPr>
      </w:pPr>
      <w:r>
        <w:rPr>
          <w:rFonts w:ascii="Times New Roman" w:hAnsi="Times New Roman"/>
          <w:b/>
          <w:sz w:val="20"/>
        </w:rPr>
        <w:t xml:space="preserve">AMTD Digital Inc. </w:t>
      </w:r>
    </w:p>
    <w:p w14:paraId="4218F0C7" w14:textId="77777777" w:rsidR="001B461C" w:rsidRDefault="00435552">
      <w:pPr>
        <w:pStyle w:val="BodyText"/>
        <w:spacing w:after="0"/>
      </w:pPr>
      <w:r>
        <w:t> </w:t>
      </w:r>
    </w:p>
    <w:p w14:paraId="51D9D8D6" w14:textId="77777777" w:rsidR="001B461C" w:rsidRDefault="00435552">
      <w:pPr>
        <w:pStyle w:val="BodyText"/>
        <w:pBdr>
          <w:bottom w:val="single" w:sz="8" w:space="1" w:color="000000"/>
        </w:pBdr>
        <w:spacing w:after="40" w:line="141" w:lineRule="atLeast"/>
      </w:pPr>
      <w:r>
        <w:t> </w:t>
      </w:r>
    </w:p>
    <w:p w14:paraId="2D605BB7" w14:textId="77777777" w:rsidR="001B461C" w:rsidRDefault="00435552">
      <w:pPr>
        <w:pStyle w:val="BodyText"/>
        <w:spacing w:before="240" w:after="0"/>
        <w:jc w:val="center"/>
        <w:rPr>
          <w:rFonts w:ascii="Times New Roman" w:hAnsi="Times New Roman"/>
          <w:b/>
          <w:sz w:val="20"/>
        </w:rPr>
      </w:pPr>
      <w:r>
        <w:rPr>
          <w:rFonts w:ascii="Times New Roman" w:hAnsi="Times New Roman"/>
          <w:b/>
          <w:sz w:val="20"/>
        </w:rPr>
        <w:t xml:space="preserve">SHARE PURCHASE AGREEMENT </w:t>
      </w:r>
    </w:p>
    <w:p w14:paraId="64AB4A61" w14:textId="77777777" w:rsidR="001B461C" w:rsidRDefault="00435552">
      <w:pPr>
        <w:pStyle w:val="BodyText"/>
        <w:spacing w:after="0"/>
      </w:pPr>
      <w:r>
        <w:t> </w:t>
      </w:r>
    </w:p>
    <w:p w14:paraId="1A514F58" w14:textId="77777777" w:rsidR="001B461C" w:rsidRDefault="00435552">
      <w:pPr>
        <w:pStyle w:val="BodyText"/>
        <w:pBdr>
          <w:bottom w:val="single" w:sz="8" w:space="1" w:color="000000"/>
        </w:pBdr>
        <w:spacing w:after="40" w:line="141" w:lineRule="atLeast"/>
      </w:pPr>
      <w:r>
        <w:t> </w:t>
      </w:r>
    </w:p>
    <w:p w14:paraId="3C5DB038" w14:textId="77777777" w:rsidR="001B461C" w:rsidRDefault="00435552">
      <w:pPr>
        <w:pStyle w:val="BodyText"/>
        <w:spacing w:after="0"/>
      </w:pPr>
      <w:r>
        <w:t> </w:t>
      </w:r>
      <w:r>
        <w:br w:type="page"/>
      </w:r>
    </w:p>
    <w:p w14:paraId="713E3898" w14:textId="77777777" w:rsidR="001B461C" w:rsidRDefault="001B461C">
      <w:pPr>
        <w:pStyle w:val="HorizontalLine"/>
        <w:pBdr>
          <w:bottom w:val="double" w:sz="6" w:space="0" w:color="808080"/>
        </w:pBdr>
      </w:pPr>
    </w:p>
    <w:p w14:paraId="7B0E20C4" w14:textId="77777777" w:rsidR="001B461C" w:rsidRDefault="00435552">
      <w:pPr>
        <w:pStyle w:val="BodyText"/>
        <w:spacing w:after="0"/>
        <w:jc w:val="center"/>
        <w:rPr>
          <w:rFonts w:ascii="Times New Roman" w:hAnsi="Times New Roman"/>
          <w:b/>
          <w:sz w:val="20"/>
        </w:rPr>
      </w:pPr>
      <w:r>
        <w:rPr>
          <w:rFonts w:ascii="Times New Roman" w:hAnsi="Times New Roman"/>
          <w:b/>
          <w:sz w:val="20"/>
        </w:rPr>
        <w:t xml:space="preserve">SHARE PURCHASE AGREEMENT </w:t>
      </w:r>
    </w:p>
    <w:p w14:paraId="680C01A7" w14:textId="77777777" w:rsidR="001B461C" w:rsidRDefault="00435552">
      <w:pPr>
        <w:pStyle w:val="BodyText"/>
        <w:spacing w:before="240" w:after="0"/>
        <w:rPr>
          <w:rFonts w:ascii="Times New Roman" w:hAnsi="Times New Roman"/>
          <w:sz w:val="20"/>
        </w:rPr>
      </w:pPr>
      <w:r>
        <w:rPr>
          <w:rFonts w:ascii="Times New Roman" w:hAnsi="Times New Roman"/>
          <w:sz w:val="20"/>
        </w:rPr>
        <w:t>This SHARE PURCHASE AGREEMENT (the “</w:t>
      </w:r>
      <w:r>
        <w:rPr>
          <w:rFonts w:ascii="Times New Roman" w:hAnsi="Times New Roman"/>
          <w:b/>
          <w:sz w:val="20"/>
        </w:rPr>
        <w:t>Agreement</w:t>
      </w:r>
      <w:r>
        <w:rPr>
          <w:rFonts w:ascii="Times New Roman" w:hAnsi="Times New Roman"/>
          <w:sz w:val="20"/>
        </w:rPr>
        <w:t xml:space="preserve">”) is made and entered into as of December 19, 2019, by and among: </w:t>
      </w:r>
    </w:p>
    <w:p w14:paraId="2FA846A6"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5"/>
        <w:gridCol w:w="510"/>
        <w:gridCol w:w="9290"/>
      </w:tblGrid>
      <w:tr w:rsidR="001B461C" w14:paraId="03547701" w14:textId="77777777">
        <w:tc>
          <w:tcPr>
            <w:tcW w:w="405" w:type="dxa"/>
            <w:vAlign w:val="center"/>
          </w:tcPr>
          <w:p w14:paraId="65AB261E" w14:textId="77777777" w:rsidR="001B461C" w:rsidRDefault="00435552">
            <w:pPr>
              <w:pStyle w:val="TableContents"/>
            </w:pPr>
            <w:r>
              <w:t> </w:t>
            </w:r>
          </w:p>
        </w:tc>
        <w:tc>
          <w:tcPr>
            <w:tcW w:w="510" w:type="dxa"/>
          </w:tcPr>
          <w:p w14:paraId="71E2489A" w14:textId="77777777" w:rsidR="001B461C" w:rsidRDefault="00435552">
            <w:pPr>
              <w:pStyle w:val="TableContents"/>
            </w:pPr>
            <w:r>
              <w:t>1.</w:t>
            </w:r>
          </w:p>
        </w:tc>
        <w:tc>
          <w:tcPr>
            <w:tcW w:w="9289" w:type="dxa"/>
          </w:tcPr>
          <w:p w14:paraId="110837E1" w14:textId="77777777" w:rsidR="001B461C" w:rsidRDefault="00435552">
            <w:pPr>
              <w:pStyle w:val="TableContents"/>
              <w:rPr>
                <w:rFonts w:ascii="Times New Roman" w:hAnsi="Times New Roman"/>
                <w:sz w:val="20"/>
              </w:rPr>
            </w:pPr>
            <w:r>
              <w:rPr>
                <w:rFonts w:ascii="Times New Roman" w:hAnsi="Times New Roman"/>
                <w:b/>
                <w:sz w:val="20"/>
              </w:rPr>
              <w:t>Maoyan Entertainment</w:t>
            </w:r>
            <w:r>
              <w:rPr>
                <w:rFonts w:ascii="Times New Roman" w:hAnsi="Times New Roman"/>
                <w:sz w:val="20"/>
              </w:rPr>
              <w:t>, an exempted company with limited liability duly established and validly existing under the laws of Cayman Islands (the “</w:t>
            </w:r>
            <w:r>
              <w:rPr>
                <w:rFonts w:ascii="Times New Roman" w:hAnsi="Times New Roman"/>
                <w:b/>
                <w:sz w:val="20"/>
              </w:rPr>
              <w:t>Investor</w:t>
            </w:r>
            <w:r>
              <w:rPr>
                <w:rFonts w:ascii="Times New Roman" w:hAnsi="Times New Roman"/>
                <w:sz w:val="20"/>
              </w:rPr>
              <w:t xml:space="preserve">”); and </w:t>
            </w:r>
          </w:p>
        </w:tc>
      </w:tr>
    </w:tbl>
    <w:p w14:paraId="5A6600AF"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5"/>
        <w:gridCol w:w="508"/>
        <w:gridCol w:w="9292"/>
      </w:tblGrid>
      <w:tr w:rsidR="001B461C" w14:paraId="75DC8165" w14:textId="77777777">
        <w:tc>
          <w:tcPr>
            <w:tcW w:w="405" w:type="dxa"/>
            <w:vAlign w:val="center"/>
          </w:tcPr>
          <w:p w14:paraId="16351092" w14:textId="77777777" w:rsidR="001B461C" w:rsidRDefault="00435552">
            <w:pPr>
              <w:pStyle w:val="TableContents"/>
            </w:pPr>
            <w:r>
              <w:t> </w:t>
            </w:r>
          </w:p>
        </w:tc>
        <w:tc>
          <w:tcPr>
            <w:tcW w:w="508" w:type="dxa"/>
          </w:tcPr>
          <w:p w14:paraId="0CC9771A" w14:textId="77777777" w:rsidR="001B461C" w:rsidRDefault="00435552">
            <w:pPr>
              <w:pStyle w:val="TableContents"/>
            </w:pPr>
            <w:r>
              <w:t>2.</w:t>
            </w:r>
          </w:p>
        </w:tc>
        <w:tc>
          <w:tcPr>
            <w:tcW w:w="9291" w:type="dxa"/>
          </w:tcPr>
          <w:p w14:paraId="27EACD8E" w14:textId="77777777" w:rsidR="001B461C" w:rsidRDefault="00435552">
            <w:pPr>
              <w:pStyle w:val="TableContents"/>
              <w:rPr>
                <w:rFonts w:ascii="Times New Roman" w:hAnsi="Times New Roman"/>
                <w:sz w:val="20"/>
              </w:rPr>
            </w:pPr>
            <w:r>
              <w:rPr>
                <w:rFonts w:ascii="Times New Roman" w:hAnsi="Times New Roman"/>
                <w:b/>
                <w:sz w:val="20"/>
              </w:rPr>
              <w:t xml:space="preserve">AMTD </w:t>
            </w:r>
            <w:r>
              <w:rPr>
                <w:rFonts w:ascii="Times New Roman" w:hAnsi="Times New Roman"/>
                <w:b/>
                <w:sz w:val="20"/>
              </w:rPr>
              <w:t>Digital Inc.</w:t>
            </w:r>
            <w:r>
              <w:rPr>
                <w:rFonts w:ascii="Times New Roman" w:hAnsi="Times New Roman"/>
                <w:sz w:val="20"/>
              </w:rPr>
              <w:t>, an exempted company with limited liability duly established and validly existing under the laws of the Cayman Islands (the “</w:t>
            </w:r>
            <w:r>
              <w:rPr>
                <w:rFonts w:ascii="Times New Roman" w:hAnsi="Times New Roman"/>
                <w:b/>
                <w:sz w:val="20"/>
              </w:rPr>
              <w:t>Company</w:t>
            </w:r>
            <w:r>
              <w:rPr>
                <w:rFonts w:ascii="Times New Roman" w:hAnsi="Times New Roman"/>
                <w:sz w:val="20"/>
              </w:rPr>
              <w:t xml:space="preserve">”). </w:t>
            </w:r>
          </w:p>
        </w:tc>
      </w:tr>
    </w:tbl>
    <w:p w14:paraId="275D0477" w14:textId="77777777" w:rsidR="001B461C" w:rsidRDefault="00435552">
      <w:pPr>
        <w:pStyle w:val="BodyText"/>
        <w:spacing w:before="240" w:after="0"/>
        <w:rPr>
          <w:rFonts w:ascii="Times New Roman" w:hAnsi="Times New Roman"/>
          <w:sz w:val="20"/>
        </w:rPr>
      </w:pPr>
      <w:r>
        <w:rPr>
          <w:rFonts w:ascii="Times New Roman" w:hAnsi="Times New Roman"/>
          <w:sz w:val="20"/>
        </w:rPr>
        <w:t>The Company and the Investor are each referred to herein as a “Party,” and collectively as the “Parties.”</w:t>
      </w:r>
      <w:r>
        <w:rPr>
          <w:rFonts w:ascii="Times New Roman" w:hAnsi="Times New Roman"/>
          <w:sz w:val="20"/>
        </w:rPr>
        <w:t xml:space="preserve"> </w:t>
      </w:r>
    </w:p>
    <w:p w14:paraId="36811DFA" w14:textId="77777777" w:rsidR="001B461C" w:rsidRDefault="00435552">
      <w:pPr>
        <w:pStyle w:val="BodyText"/>
        <w:spacing w:before="480" w:after="0"/>
        <w:jc w:val="center"/>
        <w:rPr>
          <w:rFonts w:ascii="Times New Roman" w:hAnsi="Times New Roman"/>
          <w:b/>
          <w:sz w:val="20"/>
        </w:rPr>
      </w:pPr>
      <w:r>
        <w:rPr>
          <w:rFonts w:ascii="Times New Roman" w:hAnsi="Times New Roman"/>
          <w:b/>
          <w:sz w:val="20"/>
        </w:rPr>
        <w:t xml:space="preserve">RECITALS </w:t>
      </w:r>
    </w:p>
    <w:p w14:paraId="1267C402" w14:textId="77777777" w:rsidR="001B461C" w:rsidRDefault="00435552">
      <w:pPr>
        <w:pStyle w:val="BodyText"/>
        <w:spacing w:before="240" w:after="0"/>
        <w:rPr>
          <w:rFonts w:ascii="Times New Roman" w:hAnsi="Times New Roman"/>
          <w:sz w:val="20"/>
        </w:rPr>
      </w:pPr>
      <w:r>
        <w:rPr>
          <w:rFonts w:ascii="Times New Roman" w:hAnsi="Times New Roman"/>
          <w:sz w:val="20"/>
        </w:rPr>
        <w:t>The Company desires to issue and sell to the Investor, and the Investor desires to purchase from the Company certain number of class A ordinary shares, par value US$0.0001 per share, of the Company (the “</w:t>
      </w:r>
      <w:r>
        <w:rPr>
          <w:rFonts w:ascii="Times New Roman" w:hAnsi="Times New Roman"/>
          <w:b/>
          <w:sz w:val="20"/>
        </w:rPr>
        <w:t>A</w:t>
      </w:r>
      <w:r>
        <w:rPr>
          <w:rFonts w:ascii="Times New Roman" w:hAnsi="Times New Roman"/>
          <w:sz w:val="20"/>
        </w:rPr>
        <w:t xml:space="preserve"> </w:t>
      </w:r>
      <w:r>
        <w:rPr>
          <w:rFonts w:ascii="Times New Roman" w:hAnsi="Times New Roman"/>
          <w:b/>
          <w:sz w:val="20"/>
        </w:rPr>
        <w:t>Shares</w:t>
      </w:r>
      <w:r>
        <w:rPr>
          <w:rFonts w:ascii="Times New Roman" w:hAnsi="Times New Roman"/>
          <w:sz w:val="20"/>
        </w:rPr>
        <w:t>”) on the terms and conditions s</w:t>
      </w:r>
      <w:r>
        <w:rPr>
          <w:rFonts w:ascii="Times New Roman" w:hAnsi="Times New Roman"/>
          <w:sz w:val="20"/>
        </w:rPr>
        <w:t xml:space="preserve">et forth in this Agreement. </w:t>
      </w:r>
    </w:p>
    <w:p w14:paraId="31D73F71"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NOW, THEREFORE, in consideration of the foregoing recitals, the mutual promises hereinafter set forth, and other good and valuable consideration, the receipt and sufficiency of which are hereby acknowledged, the Parties hereby </w:t>
      </w:r>
      <w:r>
        <w:rPr>
          <w:rFonts w:ascii="Times New Roman" w:hAnsi="Times New Roman"/>
          <w:sz w:val="20"/>
        </w:rPr>
        <w:t xml:space="preserve">agree as follows: </w:t>
      </w:r>
    </w:p>
    <w:p w14:paraId="29A9AD2A"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6"/>
        <w:gridCol w:w="9799"/>
      </w:tblGrid>
      <w:tr w:rsidR="001B461C" w14:paraId="49C50AA6" w14:textId="77777777">
        <w:tc>
          <w:tcPr>
            <w:tcW w:w="406" w:type="dxa"/>
          </w:tcPr>
          <w:p w14:paraId="6D64F94D" w14:textId="77777777" w:rsidR="001B461C" w:rsidRDefault="00435552">
            <w:pPr>
              <w:pStyle w:val="TableContents"/>
              <w:rPr>
                <w:b/>
              </w:rPr>
            </w:pPr>
            <w:r>
              <w:rPr>
                <w:b/>
              </w:rPr>
              <w:t>1.</w:t>
            </w:r>
          </w:p>
        </w:tc>
        <w:tc>
          <w:tcPr>
            <w:tcW w:w="9798" w:type="dxa"/>
          </w:tcPr>
          <w:p w14:paraId="55BCDF08" w14:textId="77777777" w:rsidR="001B461C" w:rsidRDefault="00435552">
            <w:pPr>
              <w:pStyle w:val="TableContents"/>
              <w:rPr>
                <w:rFonts w:ascii="Times New Roman" w:hAnsi="Times New Roman"/>
                <w:b/>
                <w:sz w:val="20"/>
              </w:rPr>
            </w:pPr>
            <w:r>
              <w:rPr>
                <w:rFonts w:ascii="Times New Roman" w:hAnsi="Times New Roman"/>
                <w:b/>
                <w:sz w:val="20"/>
                <w:u w:val="single"/>
              </w:rPr>
              <w:t>ISSUANCE, SALE, AND PURCHASE OF PURCHASED SHARES</w:t>
            </w:r>
            <w:r>
              <w:rPr>
                <w:rFonts w:ascii="Times New Roman" w:hAnsi="Times New Roman"/>
                <w:b/>
                <w:sz w:val="20"/>
              </w:rPr>
              <w:t xml:space="preserve">. </w:t>
            </w:r>
          </w:p>
        </w:tc>
      </w:tr>
    </w:tbl>
    <w:p w14:paraId="27366CDB"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1.1 </w:t>
      </w:r>
      <w:r>
        <w:rPr>
          <w:rFonts w:ascii="Times New Roman" w:hAnsi="Times New Roman"/>
          <w:sz w:val="20"/>
          <w:u w:val="single"/>
        </w:rPr>
        <w:t>Issuance, Sale, and Purchase of Purchased Shares</w:t>
      </w:r>
      <w:r>
        <w:rPr>
          <w:rFonts w:ascii="Times New Roman" w:hAnsi="Times New Roman"/>
          <w:sz w:val="20"/>
        </w:rPr>
        <w:t xml:space="preserve">. Subject to the terms and conditions hereof, at the Closing (as defined below) the Company shall issue and sell to the </w:t>
      </w:r>
      <w:r>
        <w:rPr>
          <w:rFonts w:ascii="Times New Roman" w:hAnsi="Times New Roman"/>
          <w:sz w:val="20"/>
        </w:rPr>
        <w:t>Investor, and the Investor shall purchase from the Company, certain number of A Shares which shall represent a shareholding of 0.8086% in the Company immediately after Closing, the exact number of A Shares to be determined after restructuring of the Compan</w:t>
      </w:r>
      <w:r>
        <w:rPr>
          <w:rFonts w:ascii="Times New Roman" w:hAnsi="Times New Roman"/>
          <w:sz w:val="20"/>
        </w:rPr>
        <w:t>y’s shares (the “</w:t>
      </w:r>
      <w:r>
        <w:rPr>
          <w:rFonts w:ascii="Times New Roman" w:hAnsi="Times New Roman"/>
          <w:b/>
          <w:sz w:val="20"/>
        </w:rPr>
        <w:t>Purchased Shares</w:t>
      </w:r>
      <w:r>
        <w:rPr>
          <w:rFonts w:ascii="Times New Roman" w:hAnsi="Times New Roman"/>
          <w:sz w:val="20"/>
        </w:rPr>
        <w:t>”) for an aggregate purchase price of US$3,000,000 (the “</w:t>
      </w:r>
      <w:r>
        <w:rPr>
          <w:rFonts w:ascii="Times New Roman" w:hAnsi="Times New Roman"/>
          <w:b/>
          <w:sz w:val="20"/>
        </w:rPr>
        <w:t>Purchase Price</w:t>
      </w:r>
      <w:r>
        <w:rPr>
          <w:rFonts w:ascii="Times New Roman" w:hAnsi="Times New Roman"/>
          <w:sz w:val="20"/>
        </w:rPr>
        <w:t xml:space="preserve">”). The pre-money valuation of the Company for this financing round on or about December 2, 2019 shall be US$368,000,000. </w:t>
      </w:r>
    </w:p>
    <w:p w14:paraId="6DFACC45" w14:textId="77777777" w:rsidR="001B461C" w:rsidRDefault="00435552">
      <w:pPr>
        <w:pStyle w:val="BodyText"/>
        <w:spacing w:before="240" w:after="0"/>
        <w:rPr>
          <w:rFonts w:ascii="Times New Roman" w:hAnsi="Times New Roman"/>
          <w:sz w:val="20"/>
        </w:rPr>
      </w:pPr>
      <w:r>
        <w:rPr>
          <w:rFonts w:ascii="Times New Roman" w:hAnsi="Times New Roman"/>
          <w:sz w:val="20"/>
        </w:rPr>
        <w:t>The Purchased Shares shall have the rights, privileges, and restrictions as set forth in the Amended and Restated Memorandum and Arti</w:t>
      </w:r>
      <w:r>
        <w:rPr>
          <w:rFonts w:ascii="Times New Roman" w:hAnsi="Times New Roman"/>
          <w:sz w:val="20"/>
        </w:rPr>
        <w:t>cles of Association of the Company (the “</w:t>
      </w:r>
      <w:r>
        <w:rPr>
          <w:rFonts w:ascii="Times New Roman" w:hAnsi="Times New Roman"/>
          <w:b/>
          <w:sz w:val="20"/>
        </w:rPr>
        <w:t>MAA</w:t>
      </w:r>
      <w:r>
        <w:rPr>
          <w:rFonts w:ascii="Times New Roman" w:hAnsi="Times New Roman"/>
          <w:sz w:val="20"/>
        </w:rPr>
        <w:t xml:space="preserve">”). </w:t>
      </w:r>
    </w:p>
    <w:p w14:paraId="497B748B"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1.2 </w:t>
      </w:r>
      <w:r>
        <w:rPr>
          <w:rFonts w:ascii="Times New Roman" w:hAnsi="Times New Roman"/>
          <w:sz w:val="20"/>
          <w:u w:val="single"/>
        </w:rPr>
        <w:t>Transfer of Funds</w:t>
      </w:r>
      <w:r>
        <w:rPr>
          <w:rFonts w:ascii="Times New Roman" w:hAnsi="Times New Roman"/>
          <w:sz w:val="20"/>
        </w:rPr>
        <w:t xml:space="preserve">. The Investor shall pay the Purchase Price by wire transfer of United States dollars in immediately available funds to a designated account of the Company, </w:t>
      </w:r>
      <w:r>
        <w:rPr>
          <w:rFonts w:ascii="Times New Roman" w:hAnsi="Times New Roman"/>
          <w:i/>
          <w:sz w:val="20"/>
        </w:rPr>
        <w:t>provided</w:t>
      </w:r>
      <w:r>
        <w:rPr>
          <w:rFonts w:ascii="Times New Roman" w:hAnsi="Times New Roman"/>
          <w:sz w:val="20"/>
        </w:rPr>
        <w:t xml:space="preserve"> that the Company sha</w:t>
      </w:r>
      <w:r>
        <w:rPr>
          <w:rFonts w:ascii="Times New Roman" w:hAnsi="Times New Roman"/>
          <w:sz w:val="20"/>
        </w:rPr>
        <w:t xml:space="preserve">ll deliver wire transfer instructions to the Investor on or before the date of this Agreement. </w:t>
      </w:r>
    </w:p>
    <w:p w14:paraId="2032CD8B"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7"/>
        <w:gridCol w:w="9798"/>
      </w:tblGrid>
      <w:tr w:rsidR="001B461C" w14:paraId="3D4C7A4E" w14:textId="77777777">
        <w:tc>
          <w:tcPr>
            <w:tcW w:w="407" w:type="dxa"/>
          </w:tcPr>
          <w:p w14:paraId="58040731" w14:textId="77777777" w:rsidR="001B461C" w:rsidRDefault="00435552">
            <w:pPr>
              <w:pStyle w:val="TableContents"/>
              <w:rPr>
                <w:b/>
              </w:rPr>
            </w:pPr>
            <w:r>
              <w:rPr>
                <w:b/>
              </w:rPr>
              <w:t>2.</w:t>
            </w:r>
          </w:p>
        </w:tc>
        <w:tc>
          <w:tcPr>
            <w:tcW w:w="9797" w:type="dxa"/>
          </w:tcPr>
          <w:p w14:paraId="2D94B765" w14:textId="77777777" w:rsidR="001B461C" w:rsidRDefault="00435552">
            <w:pPr>
              <w:pStyle w:val="TableContents"/>
              <w:rPr>
                <w:rFonts w:ascii="Times New Roman" w:hAnsi="Times New Roman"/>
                <w:b/>
                <w:sz w:val="20"/>
              </w:rPr>
            </w:pPr>
            <w:r>
              <w:rPr>
                <w:rFonts w:ascii="Times New Roman" w:hAnsi="Times New Roman"/>
                <w:b/>
                <w:sz w:val="20"/>
                <w:u w:val="single"/>
              </w:rPr>
              <w:t>CLOSINGS; DELIVERY</w:t>
            </w:r>
            <w:r>
              <w:rPr>
                <w:rFonts w:ascii="Times New Roman" w:hAnsi="Times New Roman"/>
                <w:b/>
                <w:sz w:val="20"/>
              </w:rPr>
              <w:t xml:space="preserve">. </w:t>
            </w:r>
          </w:p>
        </w:tc>
      </w:tr>
    </w:tbl>
    <w:p w14:paraId="39FCC94B"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2.1 </w:t>
      </w:r>
      <w:r>
        <w:rPr>
          <w:rFonts w:ascii="Times New Roman" w:hAnsi="Times New Roman"/>
          <w:sz w:val="20"/>
          <w:u w:val="single"/>
        </w:rPr>
        <w:t>Closing</w:t>
      </w:r>
      <w:r>
        <w:rPr>
          <w:rFonts w:ascii="Times New Roman" w:hAnsi="Times New Roman"/>
          <w:sz w:val="20"/>
        </w:rPr>
        <w:t>. The allotment and sale of the Purchased Shares shall be held within ten Business Days (“</w:t>
      </w:r>
      <w:r>
        <w:rPr>
          <w:rFonts w:ascii="Times New Roman" w:hAnsi="Times New Roman"/>
          <w:b/>
          <w:sz w:val="20"/>
        </w:rPr>
        <w:t>Business Day</w:t>
      </w:r>
      <w:r>
        <w:rPr>
          <w:rFonts w:ascii="Times New Roman" w:hAnsi="Times New Roman"/>
          <w:sz w:val="20"/>
        </w:rPr>
        <w:t>,” defined as any da</w:t>
      </w:r>
      <w:r>
        <w:rPr>
          <w:rFonts w:ascii="Times New Roman" w:hAnsi="Times New Roman"/>
          <w:sz w:val="20"/>
        </w:rPr>
        <w:t xml:space="preserve">y other than a Saturday or Sunday on which banks are ordinarily open for business in Hong Kong) after the fulfillment or waiver of the conditions to closing as set forth in </w:t>
      </w:r>
      <w:r>
        <w:rPr>
          <w:rFonts w:ascii="Times New Roman" w:hAnsi="Times New Roman"/>
          <w:sz w:val="20"/>
          <w:u w:val="single"/>
        </w:rPr>
        <w:t>Section 6</w:t>
      </w:r>
      <w:r>
        <w:rPr>
          <w:rFonts w:ascii="Times New Roman" w:hAnsi="Times New Roman"/>
          <w:sz w:val="20"/>
        </w:rPr>
        <w:t xml:space="preserve"> and </w:t>
      </w:r>
      <w:r>
        <w:rPr>
          <w:rFonts w:ascii="Times New Roman" w:hAnsi="Times New Roman"/>
          <w:sz w:val="20"/>
          <w:u w:val="single"/>
        </w:rPr>
        <w:t>Section 7</w:t>
      </w:r>
      <w:r>
        <w:rPr>
          <w:rFonts w:ascii="Times New Roman" w:hAnsi="Times New Roman"/>
          <w:sz w:val="20"/>
        </w:rPr>
        <w:t xml:space="preserve"> or at such other time as the Company and the Investor may m</w:t>
      </w:r>
      <w:r>
        <w:rPr>
          <w:rFonts w:ascii="Times New Roman" w:hAnsi="Times New Roman"/>
          <w:sz w:val="20"/>
        </w:rPr>
        <w:t>utually agree (the “</w:t>
      </w:r>
      <w:r>
        <w:rPr>
          <w:rFonts w:ascii="Times New Roman" w:hAnsi="Times New Roman"/>
          <w:b/>
          <w:sz w:val="20"/>
        </w:rPr>
        <w:t>Closing</w:t>
      </w:r>
      <w:r>
        <w:rPr>
          <w:rFonts w:ascii="Times New Roman" w:hAnsi="Times New Roman"/>
          <w:sz w:val="20"/>
        </w:rPr>
        <w:t xml:space="preserve">”). </w:t>
      </w:r>
    </w:p>
    <w:p w14:paraId="31C31C9C" w14:textId="77777777" w:rsidR="001B461C" w:rsidRDefault="00435552">
      <w:pPr>
        <w:pStyle w:val="BodyText"/>
        <w:spacing w:after="0"/>
      </w:pPr>
      <w:r>
        <w:t> </w:t>
      </w:r>
    </w:p>
    <w:p w14:paraId="252D68C3"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1 </w:t>
      </w:r>
      <w:r>
        <w:br w:type="page"/>
      </w:r>
    </w:p>
    <w:p w14:paraId="5A18BD61" w14:textId="77777777" w:rsidR="001B461C" w:rsidRDefault="001B461C">
      <w:pPr>
        <w:pStyle w:val="HorizontalLine"/>
        <w:pBdr>
          <w:bottom w:val="double" w:sz="6" w:space="0" w:color="808080"/>
        </w:pBdr>
      </w:pPr>
    </w:p>
    <w:p w14:paraId="02262974" w14:textId="77777777" w:rsidR="001B461C" w:rsidRDefault="00435552">
      <w:pPr>
        <w:pStyle w:val="BodyText"/>
        <w:spacing w:after="0"/>
        <w:rPr>
          <w:rFonts w:ascii="Times New Roman" w:hAnsi="Times New Roman"/>
          <w:sz w:val="20"/>
        </w:rPr>
      </w:pPr>
      <w:r>
        <w:rPr>
          <w:rFonts w:ascii="Times New Roman" w:hAnsi="Times New Roman"/>
          <w:sz w:val="20"/>
        </w:rPr>
        <w:t xml:space="preserve">2.2 </w:t>
      </w:r>
      <w:r>
        <w:rPr>
          <w:rFonts w:ascii="Times New Roman" w:hAnsi="Times New Roman"/>
          <w:sz w:val="20"/>
          <w:u w:val="single"/>
        </w:rPr>
        <w:t>Delivery</w:t>
      </w:r>
      <w:r>
        <w:rPr>
          <w:rFonts w:ascii="Times New Roman" w:hAnsi="Times New Roman"/>
          <w:sz w:val="20"/>
        </w:rPr>
        <w:t xml:space="preserve">. </w:t>
      </w:r>
    </w:p>
    <w:p w14:paraId="0D10FA3F" w14:textId="77777777" w:rsidR="001B461C" w:rsidRDefault="00435552">
      <w:pPr>
        <w:pStyle w:val="BodyText"/>
        <w:spacing w:before="240" w:after="0"/>
        <w:rPr>
          <w:rFonts w:ascii="Times New Roman" w:hAnsi="Times New Roman"/>
          <w:sz w:val="20"/>
        </w:rPr>
      </w:pPr>
      <w:r>
        <w:rPr>
          <w:rFonts w:ascii="Times New Roman" w:hAnsi="Times New Roman"/>
          <w:sz w:val="20"/>
        </w:rPr>
        <w:t>Within 2 days upon receipt of the share certificate(s) and register of members from the registered agent of the Company, the Company shall deliver to the Investor (x) the scanned copy of duly issued sha</w:t>
      </w:r>
      <w:r>
        <w:rPr>
          <w:rFonts w:ascii="Times New Roman" w:hAnsi="Times New Roman"/>
          <w:sz w:val="20"/>
        </w:rPr>
        <w:t>re certificate(s) issued in favor of such Investor representing the Purchased Shares purchased by such Investor, duly signed for and on behalf of the Company, (y) the scanned copy of the register of members of the Company reflecting the Investor’s ownershi</w:t>
      </w:r>
      <w:r>
        <w:rPr>
          <w:rFonts w:ascii="Times New Roman" w:hAnsi="Times New Roman"/>
          <w:sz w:val="20"/>
        </w:rPr>
        <w:t xml:space="preserve">p of the Purchased Shares and (z) the scanned copy of the board resolutions approving the issuance of the Purchased Shares to the Investor. </w:t>
      </w:r>
    </w:p>
    <w:p w14:paraId="5F5CF1B8"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8"/>
        <w:gridCol w:w="9797"/>
      </w:tblGrid>
      <w:tr w:rsidR="001B461C" w14:paraId="22496218" w14:textId="77777777">
        <w:tc>
          <w:tcPr>
            <w:tcW w:w="408" w:type="dxa"/>
          </w:tcPr>
          <w:p w14:paraId="0BB1FE79" w14:textId="77777777" w:rsidR="001B461C" w:rsidRDefault="00435552">
            <w:pPr>
              <w:pStyle w:val="TableContents"/>
              <w:rPr>
                <w:b/>
              </w:rPr>
            </w:pPr>
            <w:r>
              <w:rPr>
                <w:b/>
              </w:rPr>
              <w:t>3.</w:t>
            </w:r>
          </w:p>
        </w:tc>
        <w:tc>
          <w:tcPr>
            <w:tcW w:w="9796" w:type="dxa"/>
          </w:tcPr>
          <w:p w14:paraId="467C1BF5" w14:textId="77777777" w:rsidR="001B461C" w:rsidRDefault="00435552">
            <w:pPr>
              <w:pStyle w:val="TableContents"/>
              <w:rPr>
                <w:rFonts w:ascii="Times New Roman" w:hAnsi="Times New Roman"/>
                <w:b/>
                <w:sz w:val="20"/>
              </w:rPr>
            </w:pPr>
            <w:r>
              <w:rPr>
                <w:rFonts w:ascii="Times New Roman" w:hAnsi="Times New Roman"/>
                <w:b/>
                <w:sz w:val="20"/>
                <w:u w:val="single"/>
              </w:rPr>
              <w:t>REPRESENTATIONS AND WARRANTIES OF THE COMPANY</w:t>
            </w:r>
            <w:r>
              <w:rPr>
                <w:rFonts w:ascii="Times New Roman" w:hAnsi="Times New Roman"/>
                <w:b/>
                <w:sz w:val="20"/>
              </w:rPr>
              <w:t xml:space="preserve">. </w:t>
            </w:r>
          </w:p>
        </w:tc>
      </w:tr>
    </w:tbl>
    <w:p w14:paraId="7444EF42"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The Company hereby represents and warrants to the Investor as follows: </w:t>
      </w:r>
    </w:p>
    <w:p w14:paraId="139BAE31"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3.1 </w:t>
      </w:r>
      <w:r>
        <w:rPr>
          <w:rFonts w:ascii="Times New Roman" w:hAnsi="Times New Roman"/>
          <w:sz w:val="20"/>
          <w:u w:val="single"/>
        </w:rPr>
        <w:t>Organization, Standing, and Qualification</w:t>
      </w:r>
      <w:r>
        <w:rPr>
          <w:rFonts w:ascii="Times New Roman" w:hAnsi="Times New Roman"/>
          <w:sz w:val="20"/>
        </w:rPr>
        <w:t>. Each of the Company and its subsidiaries (the “</w:t>
      </w:r>
      <w:r>
        <w:rPr>
          <w:rFonts w:ascii="Times New Roman" w:hAnsi="Times New Roman"/>
          <w:b/>
          <w:sz w:val="20"/>
        </w:rPr>
        <w:t>Group Companies</w:t>
      </w:r>
      <w:r>
        <w:rPr>
          <w:rFonts w:ascii="Times New Roman" w:hAnsi="Times New Roman"/>
          <w:sz w:val="20"/>
        </w:rPr>
        <w:t>”) is duly established, validly existing, and in good standing (or equivale</w:t>
      </w:r>
      <w:r>
        <w:rPr>
          <w:rFonts w:ascii="Times New Roman" w:hAnsi="Times New Roman"/>
          <w:sz w:val="20"/>
        </w:rPr>
        <w:t>nt status in the relevant jurisdiction) under the laws of the place of its establishment and has all requisite power and authority to own its properties and assets and to carry on its business as now conducted, where failure to be so qualified would have a</w:t>
      </w:r>
      <w:r>
        <w:rPr>
          <w:rFonts w:ascii="Times New Roman" w:hAnsi="Times New Roman"/>
          <w:sz w:val="20"/>
        </w:rPr>
        <w:t xml:space="preserve"> Material Adverse Effect. “</w:t>
      </w:r>
      <w:r>
        <w:rPr>
          <w:rFonts w:ascii="Times New Roman" w:hAnsi="Times New Roman"/>
          <w:b/>
          <w:sz w:val="20"/>
        </w:rPr>
        <w:t>Material Adverse Effect</w:t>
      </w:r>
      <w:r>
        <w:rPr>
          <w:rFonts w:ascii="Times New Roman" w:hAnsi="Times New Roman"/>
          <w:sz w:val="20"/>
        </w:rPr>
        <w:t>” means a material adverse effect on the business (as presently conducted and presently contemplated to be conducted), condition (financial or otherwise), affairs, properties, liabilities, assets, or result</w:t>
      </w:r>
      <w:r>
        <w:rPr>
          <w:rFonts w:ascii="Times New Roman" w:hAnsi="Times New Roman"/>
          <w:sz w:val="20"/>
        </w:rPr>
        <w:t xml:space="preserve">s of operation of the Group Companies taken as whole. </w:t>
      </w:r>
    </w:p>
    <w:p w14:paraId="567640FA"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3.2 </w:t>
      </w:r>
      <w:r>
        <w:rPr>
          <w:rFonts w:ascii="Times New Roman" w:hAnsi="Times New Roman"/>
          <w:sz w:val="20"/>
          <w:u w:val="single"/>
        </w:rPr>
        <w:t>Capitalization</w:t>
      </w:r>
      <w:r>
        <w:rPr>
          <w:rFonts w:ascii="Times New Roman" w:hAnsi="Times New Roman"/>
          <w:sz w:val="20"/>
        </w:rPr>
        <w:t xml:space="preserve">. </w:t>
      </w:r>
    </w:p>
    <w:p w14:paraId="11A792FC"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Ordinary Shares</w:t>
      </w:r>
      <w:r>
        <w:rPr>
          <w:rFonts w:ascii="Times New Roman" w:hAnsi="Times New Roman"/>
          <w:sz w:val="20"/>
        </w:rPr>
        <w:t>. Immediately prior to the Closing, the Company is authorized to issue (i) 8,000,000,000 A Shares, of which zero A Share is issued and outstanding, and (ii) 2,00</w:t>
      </w:r>
      <w:r>
        <w:rPr>
          <w:rFonts w:ascii="Times New Roman" w:hAnsi="Times New Roman"/>
          <w:sz w:val="20"/>
        </w:rPr>
        <w:t>0,000,000 Class B ordinary shares, par value US$0.0001 per share (the “</w:t>
      </w:r>
      <w:r>
        <w:rPr>
          <w:rFonts w:ascii="Times New Roman" w:hAnsi="Times New Roman"/>
          <w:b/>
          <w:sz w:val="20"/>
        </w:rPr>
        <w:t>B Shares</w:t>
      </w:r>
      <w:r>
        <w:rPr>
          <w:rFonts w:ascii="Times New Roman" w:hAnsi="Times New Roman"/>
          <w:sz w:val="20"/>
        </w:rPr>
        <w:t xml:space="preserve">”), of which AMTD Group Company Limited is the only holder of B Shares. </w:t>
      </w:r>
    </w:p>
    <w:p w14:paraId="64BE910E"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Options, Warrants, Reserved Shares</w:t>
      </w:r>
      <w:r>
        <w:rPr>
          <w:rFonts w:ascii="Times New Roman" w:hAnsi="Times New Roman"/>
          <w:sz w:val="20"/>
        </w:rPr>
        <w:t>. Except for (i) any Shares (and options and warrants therefor) reserved for issuance to the employees, directors, and consultants of the Group Companies pursuant to any equity incentive plan that may be adopted from time to time by the Company, (ii) as pr</w:t>
      </w:r>
      <w:r>
        <w:rPr>
          <w:rFonts w:ascii="Times New Roman" w:hAnsi="Times New Roman"/>
          <w:sz w:val="20"/>
        </w:rPr>
        <w:t>ovided in the MAA, and (iii) any Shares to be issued to certain potential investors, including the transactions contemplated herein, there are no options, warrants, conversion privileges, agreements, or rights of any kind with respect to the issuance or pu</w:t>
      </w:r>
      <w:r>
        <w:rPr>
          <w:rFonts w:ascii="Times New Roman" w:hAnsi="Times New Roman"/>
          <w:sz w:val="20"/>
        </w:rPr>
        <w:t>rchase of the Purchased Shares or any other securities of the Company. Apart from any exceptions noted in the MAA, no outstanding shares (including the Purchased Shares), or shares issuable upon exercise or exchange of any outstanding options, warrants, or</w:t>
      </w:r>
      <w:r>
        <w:rPr>
          <w:rFonts w:ascii="Times New Roman" w:hAnsi="Times New Roman"/>
          <w:sz w:val="20"/>
        </w:rPr>
        <w:t xml:space="preserve"> other shares issuable by the Company, are subject to any preemptive rights, rights of first refusal, or other rights of any kind to purchase such shares (whether in favor of the Company or any other person). </w:t>
      </w:r>
    </w:p>
    <w:p w14:paraId="7DCFB92C" w14:textId="77777777" w:rsidR="001B461C" w:rsidRDefault="00435552">
      <w:pPr>
        <w:pStyle w:val="BodyText"/>
        <w:spacing w:after="0"/>
      </w:pPr>
      <w:r>
        <w:t> </w:t>
      </w:r>
    </w:p>
    <w:p w14:paraId="24FFCD30"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2 </w:t>
      </w:r>
      <w:r>
        <w:br w:type="page"/>
      </w:r>
    </w:p>
    <w:p w14:paraId="046F7C30" w14:textId="77777777" w:rsidR="001B461C" w:rsidRDefault="001B461C">
      <w:pPr>
        <w:pStyle w:val="HorizontalLine"/>
        <w:pBdr>
          <w:bottom w:val="double" w:sz="6" w:space="0" w:color="808080"/>
        </w:pBdr>
      </w:pPr>
    </w:p>
    <w:p w14:paraId="43FBF76F" w14:textId="77777777" w:rsidR="001B461C" w:rsidRDefault="00435552">
      <w:pPr>
        <w:pStyle w:val="BodyText"/>
        <w:spacing w:after="0"/>
        <w:rPr>
          <w:rFonts w:ascii="Times New Roman" w:hAnsi="Times New Roman"/>
          <w:sz w:val="20"/>
        </w:rPr>
      </w:pPr>
      <w:r>
        <w:rPr>
          <w:rFonts w:ascii="Times New Roman" w:hAnsi="Times New Roman"/>
          <w:sz w:val="20"/>
        </w:rPr>
        <w:t xml:space="preserve">3.3 </w:t>
      </w:r>
      <w:r>
        <w:rPr>
          <w:rFonts w:ascii="Times New Roman" w:hAnsi="Times New Roman"/>
          <w:sz w:val="20"/>
          <w:u w:val="single"/>
        </w:rPr>
        <w:t>Due Authorization; Valid Agreement</w:t>
      </w:r>
      <w:r>
        <w:rPr>
          <w:rFonts w:ascii="Times New Roman" w:hAnsi="Times New Roman"/>
          <w:sz w:val="20"/>
        </w:rPr>
        <w:t>.</w:t>
      </w:r>
      <w:r>
        <w:rPr>
          <w:rFonts w:ascii="Times New Roman" w:hAnsi="Times New Roman"/>
          <w:sz w:val="20"/>
        </w:rPr>
        <w:t xml:space="preserve"> All corporate actions on the part of the Company necessary for the authorization, execution, and delivery of, and the performance of the obligations of the Company under this Agreement have been taken or will be taken prior to the Closing. This Agreement </w:t>
      </w:r>
      <w:r>
        <w:rPr>
          <w:rFonts w:ascii="Times New Roman" w:hAnsi="Times New Roman"/>
          <w:sz w:val="20"/>
        </w:rPr>
        <w:t>constitutes a valid and binding obligation of the Company, enforceable in accordance with its terms, except (i) as limited by applicable bankruptcy, insolvency, reorganization, moratorium, and other laws of general application affecting enforcement of cred</w:t>
      </w:r>
      <w:r>
        <w:rPr>
          <w:rFonts w:ascii="Times New Roman" w:hAnsi="Times New Roman"/>
          <w:sz w:val="20"/>
        </w:rPr>
        <w:t xml:space="preserve">itors’ rights generally, and (ii) as limited by laws relating to the availability of specific performance, injunctive relief, or other equitable remedies. </w:t>
      </w:r>
    </w:p>
    <w:p w14:paraId="3450276E"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3.4 </w:t>
      </w:r>
      <w:r>
        <w:rPr>
          <w:rFonts w:ascii="Times New Roman" w:hAnsi="Times New Roman"/>
          <w:sz w:val="20"/>
          <w:u w:val="single"/>
        </w:rPr>
        <w:t>Valid Issuance of Purchased Shares</w:t>
      </w:r>
      <w:r>
        <w:rPr>
          <w:rFonts w:ascii="Times New Roman" w:hAnsi="Times New Roman"/>
          <w:sz w:val="20"/>
        </w:rPr>
        <w:t>. The Purchased Shares, when issued, sold, delivered, and paid</w:t>
      </w:r>
      <w:r>
        <w:rPr>
          <w:rFonts w:ascii="Times New Roman" w:hAnsi="Times New Roman"/>
          <w:sz w:val="20"/>
        </w:rPr>
        <w:t xml:space="preserve"> for by the Investor in accordance with the terms of this Agreement, will be duly and validly issued, fully paid, and non-assessable </w:t>
      </w:r>
    </w:p>
    <w:p w14:paraId="02057318"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3.5 </w:t>
      </w:r>
      <w:r>
        <w:rPr>
          <w:rFonts w:ascii="Times New Roman" w:hAnsi="Times New Roman"/>
          <w:sz w:val="20"/>
          <w:u w:val="single"/>
        </w:rPr>
        <w:t>Compliance with Laws; Consents and Permits</w:t>
      </w:r>
      <w:r>
        <w:rPr>
          <w:rFonts w:ascii="Times New Roman" w:hAnsi="Times New Roman"/>
          <w:sz w:val="20"/>
        </w:rPr>
        <w:t>. Neither the execution and the delivery of this Agreement nor the consummat</w:t>
      </w:r>
      <w:r>
        <w:rPr>
          <w:rFonts w:ascii="Times New Roman" w:hAnsi="Times New Roman"/>
          <w:sz w:val="20"/>
        </w:rPr>
        <w:t>ion of the transactions contemplated hereby, will (i) violate any provision of the organizational documents of the Company or violate any constitution, statute, regulation, or rule of any government authority to which the Company is subject, or (ii) confli</w:t>
      </w:r>
      <w:r>
        <w:rPr>
          <w:rFonts w:ascii="Times New Roman" w:hAnsi="Times New Roman"/>
          <w:sz w:val="20"/>
        </w:rPr>
        <w:t>ct with, result in a breach of, constitute a default under, any agreement to which the Company is a party. Each Group Company has all material Permits, licenses, and any similar authority necessary for the conduct of its business as currently conducted and</w:t>
      </w:r>
      <w:r>
        <w:rPr>
          <w:rFonts w:ascii="Times New Roman" w:hAnsi="Times New Roman"/>
          <w:sz w:val="20"/>
        </w:rPr>
        <w:t xml:space="preserve"> the ownership of its properties and assets. </w:t>
      </w:r>
    </w:p>
    <w:p w14:paraId="261D01D0"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3.6 </w:t>
      </w:r>
      <w:r>
        <w:rPr>
          <w:rFonts w:ascii="Times New Roman" w:hAnsi="Times New Roman"/>
          <w:sz w:val="20"/>
          <w:u w:val="single"/>
        </w:rPr>
        <w:t>Exempt Offering</w:t>
      </w:r>
      <w:r>
        <w:rPr>
          <w:rFonts w:ascii="Times New Roman" w:hAnsi="Times New Roman"/>
          <w:sz w:val="20"/>
        </w:rPr>
        <w:t xml:space="preserve">. The offer and sale of the Purchased Shares under this Agreement are or shall be exempt from the registration requirements and prospectus delivery requirements of the U.S. Securities Act of </w:t>
      </w:r>
      <w:r>
        <w:rPr>
          <w:rFonts w:ascii="Times New Roman" w:hAnsi="Times New Roman"/>
          <w:sz w:val="20"/>
        </w:rPr>
        <w:t>1933, as amended (the “</w:t>
      </w:r>
      <w:r>
        <w:rPr>
          <w:rFonts w:ascii="Times New Roman" w:hAnsi="Times New Roman"/>
          <w:b/>
          <w:sz w:val="20"/>
        </w:rPr>
        <w:t>Act</w:t>
      </w:r>
      <w:r>
        <w:rPr>
          <w:rFonts w:ascii="Times New Roman" w:hAnsi="Times New Roman"/>
          <w:sz w:val="20"/>
        </w:rPr>
        <w:t>”), and from the registration or qualification requirements of any other applicable securities laws and regulations. None of the Company, its affiliates, or any person acting on its behalf, has engaged in any directed selling effo</w:t>
      </w:r>
      <w:r>
        <w:rPr>
          <w:rFonts w:ascii="Times New Roman" w:hAnsi="Times New Roman"/>
          <w:sz w:val="20"/>
        </w:rPr>
        <w:t xml:space="preserve">rts (within the meaning of Regulation S under the Act) in the United States in connection with the transactions contemplated in this Agreement. </w:t>
      </w:r>
    </w:p>
    <w:p w14:paraId="41DB54D8"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3.7 </w:t>
      </w:r>
      <w:r>
        <w:rPr>
          <w:rFonts w:ascii="Times New Roman" w:hAnsi="Times New Roman"/>
          <w:sz w:val="20"/>
          <w:u w:val="single"/>
        </w:rPr>
        <w:t>Insolvency and Winding Up</w:t>
      </w:r>
      <w:r>
        <w:rPr>
          <w:rFonts w:ascii="Times New Roman" w:hAnsi="Times New Roman"/>
          <w:sz w:val="20"/>
        </w:rPr>
        <w:t>3.8 . No order or petition has been presented or resolution passed for the adminis</w:t>
      </w:r>
      <w:r>
        <w:rPr>
          <w:rFonts w:ascii="Times New Roman" w:hAnsi="Times New Roman"/>
          <w:sz w:val="20"/>
        </w:rPr>
        <w:t>tration, winding-up, dissolution, or liquidation of any Group Company and no administrator, receiver, or manager has been appointed in respect thereof. None of the Group Companies has commenced any other proceeding under any bankruptcy, reorganization, com</w:t>
      </w:r>
      <w:r>
        <w:rPr>
          <w:rFonts w:ascii="Times New Roman" w:hAnsi="Times New Roman"/>
          <w:sz w:val="20"/>
        </w:rPr>
        <w:t xml:space="preserve">position, arrangement, adjustment of debt, release of debtors, dissolution, insolvency, liquidation, or similar Law of any jurisdiction and no such proceedings have been commenced against any Group Company. </w:t>
      </w:r>
    </w:p>
    <w:p w14:paraId="1652A981"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8"/>
        <w:gridCol w:w="9797"/>
      </w:tblGrid>
      <w:tr w:rsidR="001B461C" w14:paraId="1632FE67" w14:textId="77777777">
        <w:tc>
          <w:tcPr>
            <w:tcW w:w="408" w:type="dxa"/>
          </w:tcPr>
          <w:p w14:paraId="7C3D74D4" w14:textId="77777777" w:rsidR="001B461C" w:rsidRDefault="00435552">
            <w:pPr>
              <w:pStyle w:val="TableContents"/>
              <w:rPr>
                <w:b/>
              </w:rPr>
            </w:pPr>
            <w:r>
              <w:rPr>
                <w:b/>
              </w:rPr>
              <w:t>4.</w:t>
            </w:r>
          </w:p>
        </w:tc>
        <w:tc>
          <w:tcPr>
            <w:tcW w:w="9796" w:type="dxa"/>
          </w:tcPr>
          <w:p w14:paraId="5CB7E758" w14:textId="77777777" w:rsidR="001B461C" w:rsidRDefault="00435552">
            <w:pPr>
              <w:pStyle w:val="TableContents"/>
              <w:rPr>
                <w:rFonts w:ascii="Times New Roman" w:hAnsi="Times New Roman"/>
                <w:b/>
                <w:sz w:val="20"/>
              </w:rPr>
            </w:pPr>
            <w:r>
              <w:rPr>
                <w:rFonts w:ascii="Times New Roman" w:hAnsi="Times New Roman"/>
                <w:b/>
                <w:sz w:val="20"/>
                <w:u w:val="single"/>
              </w:rPr>
              <w:t>REPRESENTATIONS AND WARRANTIES OF THE INVES</w:t>
            </w:r>
            <w:r>
              <w:rPr>
                <w:rFonts w:ascii="Times New Roman" w:hAnsi="Times New Roman"/>
                <w:b/>
                <w:sz w:val="20"/>
                <w:u w:val="single"/>
              </w:rPr>
              <w:t>TOR</w:t>
            </w:r>
            <w:r>
              <w:rPr>
                <w:rFonts w:ascii="Times New Roman" w:hAnsi="Times New Roman"/>
                <w:b/>
                <w:sz w:val="20"/>
              </w:rPr>
              <w:t xml:space="preserve">. </w:t>
            </w:r>
          </w:p>
        </w:tc>
      </w:tr>
    </w:tbl>
    <w:p w14:paraId="3D566A51"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The Investor represents and warrants to the Company as follows: </w:t>
      </w:r>
    </w:p>
    <w:p w14:paraId="37398868"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4.1 </w:t>
      </w:r>
      <w:r>
        <w:rPr>
          <w:rFonts w:ascii="Times New Roman" w:hAnsi="Times New Roman"/>
          <w:sz w:val="20"/>
          <w:u w:val="single"/>
        </w:rPr>
        <w:t>Authorization</w:t>
      </w:r>
      <w:r>
        <w:rPr>
          <w:rFonts w:ascii="Times New Roman" w:hAnsi="Times New Roman"/>
          <w:sz w:val="20"/>
        </w:rPr>
        <w:t>. The Investor has all requisite power, authority, and capacity to enter into this Agreement and to perform its obligations under this Agreement. This Agreement has been duly authorized, executed, and delivered by the Investor. This Agreement, when execute</w:t>
      </w:r>
      <w:r>
        <w:rPr>
          <w:rFonts w:ascii="Times New Roman" w:hAnsi="Times New Roman"/>
          <w:sz w:val="20"/>
        </w:rPr>
        <w:t xml:space="preserve">d and delivered by the Investor, will constitute valid and legally binding obligations of such Investor enforceable in accordance with its terms, subject, as to enforcement of remedies, to applicable bankruptcy, insolvency, moratorium, reorganization, and </w:t>
      </w:r>
      <w:r>
        <w:rPr>
          <w:rFonts w:ascii="Times New Roman" w:hAnsi="Times New Roman"/>
          <w:sz w:val="20"/>
        </w:rPr>
        <w:t xml:space="preserve">similar laws affecting creditors’ rights generally and to general equitable principles. </w:t>
      </w:r>
    </w:p>
    <w:p w14:paraId="3532D599" w14:textId="77777777" w:rsidR="001B461C" w:rsidRDefault="00435552">
      <w:pPr>
        <w:pStyle w:val="BodyText"/>
        <w:spacing w:after="0"/>
      </w:pPr>
      <w:r>
        <w:t> </w:t>
      </w:r>
    </w:p>
    <w:p w14:paraId="7A3923EC"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3 </w:t>
      </w:r>
      <w:r>
        <w:br w:type="page"/>
      </w:r>
    </w:p>
    <w:p w14:paraId="7D2410AA" w14:textId="77777777" w:rsidR="001B461C" w:rsidRDefault="001B461C">
      <w:pPr>
        <w:pStyle w:val="HorizontalLine"/>
        <w:pBdr>
          <w:bottom w:val="double" w:sz="6" w:space="0" w:color="808080"/>
        </w:pBdr>
      </w:pPr>
    </w:p>
    <w:p w14:paraId="6BA03461" w14:textId="77777777" w:rsidR="001B461C" w:rsidRDefault="00435552">
      <w:pPr>
        <w:pStyle w:val="BodyText"/>
        <w:spacing w:after="0"/>
        <w:rPr>
          <w:rFonts w:ascii="Times New Roman" w:hAnsi="Times New Roman"/>
          <w:sz w:val="20"/>
        </w:rPr>
      </w:pPr>
      <w:r>
        <w:rPr>
          <w:rFonts w:ascii="Times New Roman" w:hAnsi="Times New Roman"/>
          <w:sz w:val="20"/>
        </w:rPr>
        <w:t xml:space="preserve">4.2 </w:t>
      </w:r>
      <w:r>
        <w:rPr>
          <w:rFonts w:ascii="Times New Roman" w:hAnsi="Times New Roman"/>
          <w:sz w:val="20"/>
          <w:u w:val="single"/>
        </w:rPr>
        <w:t>Purchase for Own Account</w:t>
      </w:r>
      <w:r>
        <w:rPr>
          <w:rFonts w:ascii="Times New Roman" w:hAnsi="Times New Roman"/>
          <w:sz w:val="20"/>
        </w:rPr>
        <w:t>. The Purchased Shares will be acquired for the Investor’s own account, not as a nominee or agent, and not with a view to or in conn</w:t>
      </w:r>
      <w:r>
        <w:rPr>
          <w:rFonts w:ascii="Times New Roman" w:hAnsi="Times New Roman"/>
          <w:sz w:val="20"/>
        </w:rPr>
        <w:t>ection with the sale or distribution of any part thereof. By executing this Agreement, the Investor further represents that it does not have any contract with any person to sell, transfer, or grant participations to any person, with respect to any of the P</w:t>
      </w:r>
      <w:r>
        <w:rPr>
          <w:rFonts w:ascii="Times New Roman" w:hAnsi="Times New Roman"/>
          <w:sz w:val="20"/>
        </w:rPr>
        <w:t xml:space="preserve">urchased Shares. </w:t>
      </w:r>
    </w:p>
    <w:p w14:paraId="7C06595B"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4.3 </w:t>
      </w:r>
      <w:r>
        <w:rPr>
          <w:rFonts w:ascii="Times New Roman" w:hAnsi="Times New Roman"/>
          <w:sz w:val="20"/>
          <w:u w:val="single"/>
        </w:rPr>
        <w:t>Organization, Good Standing, and Qualification</w:t>
      </w:r>
      <w:r>
        <w:rPr>
          <w:rFonts w:ascii="Times New Roman" w:hAnsi="Times New Roman"/>
          <w:sz w:val="20"/>
        </w:rPr>
        <w:t xml:space="preserve">. The Investor is duly established, validly existing, and in good standing under the laws of the jurisdiction of its formation. </w:t>
      </w:r>
    </w:p>
    <w:p w14:paraId="1A9EFC76"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4.4 </w:t>
      </w:r>
      <w:r>
        <w:rPr>
          <w:rFonts w:ascii="Times New Roman" w:hAnsi="Times New Roman"/>
          <w:sz w:val="20"/>
          <w:u w:val="single"/>
        </w:rPr>
        <w:t>Investment Experience</w:t>
      </w:r>
      <w:r>
        <w:rPr>
          <w:rFonts w:ascii="Times New Roman" w:hAnsi="Times New Roman"/>
          <w:sz w:val="20"/>
        </w:rPr>
        <w:t>. The Investor acknowledges that i</w:t>
      </w:r>
      <w:r>
        <w:rPr>
          <w:rFonts w:ascii="Times New Roman" w:hAnsi="Times New Roman"/>
          <w:sz w:val="20"/>
        </w:rPr>
        <w:t xml:space="preserve">t is able to fend for itself, can bear the economic risks of its investment, and has such knowledge and experience in financial or business matters that it is capable of evaluating the merits and risks of the investment in the Purchased Shares. </w:t>
      </w:r>
    </w:p>
    <w:p w14:paraId="6047ECD8"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4.5 </w:t>
      </w:r>
      <w:r>
        <w:rPr>
          <w:rFonts w:ascii="Times New Roman" w:hAnsi="Times New Roman"/>
          <w:sz w:val="20"/>
          <w:u w:val="single"/>
        </w:rPr>
        <w:t>Status</w:t>
      </w:r>
      <w:r>
        <w:rPr>
          <w:rFonts w:ascii="Times New Roman" w:hAnsi="Times New Roman"/>
          <w:sz w:val="20"/>
          <w:u w:val="single"/>
        </w:rPr>
        <w:t xml:space="preserve"> of Investor</w:t>
      </w:r>
      <w:r>
        <w:rPr>
          <w:rFonts w:ascii="Times New Roman" w:hAnsi="Times New Roman"/>
          <w:sz w:val="20"/>
        </w:rPr>
        <w:t>. The Investor is (i) not a U.S. person within the meaning of Rule 902 of Regulation S under the Act, or (ii) purchasing the Purchased Shares outside the United States in compliance with Regulation S under the Act and in accordance with any app</w:t>
      </w:r>
      <w:r>
        <w:rPr>
          <w:rFonts w:ascii="Times New Roman" w:hAnsi="Times New Roman"/>
          <w:sz w:val="20"/>
        </w:rPr>
        <w:t xml:space="preserve">licable securities laws of any state of the United States or any other jurisdiction. </w:t>
      </w:r>
    </w:p>
    <w:p w14:paraId="4255FA3A"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4.6 </w:t>
      </w:r>
      <w:r>
        <w:rPr>
          <w:rFonts w:ascii="Times New Roman" w:hAnsi="Times New Roman"/>
          <w:sz w:val="20"/>
          <w:u w:val="single"/>
        </w:rPr>
        <w:t>Restricted Securities</w:t>
      </w:r>
      <w:r>
        <w:rPr>
          <w:rFonts w:ascii="Times New Roman" w:hAnsi="Times New Roman"/>
          <w:sz w:val="20"/>
        </w:rPr>
        <w:t>. Investor understands that the Purchased Shares it is purchasing are characterized as “restricted securities” under U.S. federal securities laws</w:t>
      </w:r>
      <w:r>
        <w:rPr>
          <w:rFonts w:ascii="Times New Roman" w:hAnsi="Times New Roman"/>
          <w:sz w:val="20"/>
        </w:rPr>
        <w:t xml:space="preserve"> inasmuch as they are being acquired from the Company in a transaction not involving a public offering and that under such laws and applicable regulations such securities may be resold without registration under the Act only in certain limited circumstance</w:t>
      </w:r>
      <w:r>
        <w:rPr>
          <w:rFonts w:ascii="Times New Roman" w:hAnsi="Times New Roman"/>
          <w:sz w:val="20"/>
        </w:rPr>
        <w:t xml:space="preserve">s. </w:t>
      </w:r>
    </w:p>
    <w:p w14:paraId="776D6227"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4.7 </w:t>
      </w:r>
      <w:r>
        <w:rPr>
          <w:rFonts w:ascii="Times New Roman" w:hAnsi="Times New Roman"/>
          <w:sz w:val="20"/>
          <w:u w:val="single"/>
        </w:rPr>
        <w:t>Legends</w:t>
      </w:r>
      <w:r>
        <w:rPr>
          <w:rFonts w:ascii="Times New Roman" w:hAnsi="Times New Roman"/>
          <w:sz w:val="20"/>
        </w:rPr>
        <w:t xml:space="preserve">. It is understood that the certificates evidencing the Purchased Shares shall bear the following legend: </w:t>
      </w:r>
    </w:p>
    <w:p w14:paraId="3A5B5F44" w14:textId="77777777" w:rsidR="001B461C" w:rsidRDefault="00435552">
      <w:pPr>
        <w:pStyle w:val="BodyText"/>
        <w:spacing w:before="120" w:after="0"/>
      </w:pPr>
      <w:r>
        <w:t>“</w:t>
      </w:r>
      <w:r>
        <w:rPr>
          <w:rFonts w:ascii="Times New Roman" w:hAnsi="Times New Roman"/>
          <w:sz w:val="20"/>
        </w:rPr>
        <w:t>THESE SECURITIES HAVE NOT BEEN REGISTERED UNDER THE SECURITIES ACT OF 1933, AS AMENDED. THEY MAY NOT BE SOLD, OFFERED FOR SALE, PLEDGED, OR HYPOTHECATED IN THE ABSENCE OF A REGISTRATION STATEMENT IN EFFECT WITH RESPECT TO THE SECURITIES UNDER SUCH ACT OR A</w:t>
      </w:r>
      <w:r>
        <w:rPr>
          <w:rFonts w:ascii="Times New Roman" w:hAnsi="Times New Roman"/>
          <w:sz w:val="20"/>
        </w:rPr>
        <w:t xml:space="preserve"> VALID EXEMPTION THEREFROM.” </w:t>
      </w:r>
    </w:p>
    <w:p w14:paraId="5E627929"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6"/>
        <w:gridCol w:w="9799"/>
      </w:tblGrid>
      <w:tr w:rsidR="001B461C" w14:paraId="592A602A" w14:textId="77777777">
        <w:tc>
          <w:tcPr>
            <w:tcW w:w="406" w:type="dxa"/>
          </w:tcPr>
          <w:p w14:paraId="02CF0259" w14:textId="77777777" w:rsidR="001B461C" w:rsidRDefault="00435552">
            <w:pPr>
              <w:pStyle w:val="TableContents"/>
              <w:rPr>
                <w:b/>
              </w:rPr>
            </w:pPr>
            <w:r>
              <w:rPr>
                <w:b/>
              </w:rPr>
              <w:t>5.</w:t>
            </w:r>
          </w:p>
        </w:tc>
        <w:tc>
          <w:tcPr>
            <w:tcW w:w="9798" w:type="dxa"/>
          </w:tcPr>
          <w:p w14:paraId="5A99CBC0" w14:textId="77777777" w:rsidR="001B461C" w:rsidRDefault="00435552">
            <w:pPr>
              <w:pStyle w:val="TableContents"/>
              <w:rPr>
                <w:rFonts w:ascii="Times New Roman" w:hAnsi="Times New Roman"/>
                <w:b/>
                <w:sz w:val="20"/>
              </w:rPr>
            </w:pPr>
            <w:r>
              <w:rPr>
                <w:rFonts w:ascii="Times New Roman" w:hAnsi="Times New Roman"/>
                <w:b/>
                <w:sz w:val="20"/>
                <w:u w:val="single"/>
              </w:rPr>
              <w:t>COVENANTS</w:t>
            </w:r>
            <w:r>
              <w:rPr>
                <w:rFonts w:ascii="Times New Roman" w:hAnsi="Times New Roman"/>
                <w:b/>
                <w:sz w:val="20"/>
              </w:rPr>
              <w:t xml:space="preserve">. </w:t>
            </w:r>
          </w:p>
        </w:tc>
      </w:tr>
    </w:tbl>
    <w:p w14:paraId="49B80CD0"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5.1 </w:t>
      </w:r>
      <w:r>
        <w:rPr>
          <w:rFonts w:ascii="Times New Roman" w:hAnsi="Times New Roman"/>
          <w:sz w:val="20"/>
          <w:u w:val="single"/>
        </w:rPr>
        <w:t>Distribution Compliance Period</w:t>
      </w:r>
      <w:r>
        <w:rPr>
          <w:rFonts w:ascii="Times New Roman" w:hAnsi="Times New Roman"/>
          <w:sz w:val="20"/>
        </w:rPr>
        <w:t>. The Investor agrees not to resell or transfer any Purchased Shares within the United States or to any U.S. person, as each of those terms is defined in Regulation S under t</w:t>
      </w:r>
      <w:r>
        <w:rPr>
          <w:rFonts w:ascii="Times New Roman" w:hAnsi="Times New Roman"/>
          <w:sz w:val="20"/>
        </w:rPr>
        <w:t xml:space="preserve">he Act, during the forty (40) days following the Closing Date. </w:t>
      </w:r>
    </w:p>
    <w:p w14:paraId="34D0746F"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5.2 </w:t>
      </w:r>
      <w:r>
        <w:rPr>
          <w:rFonts w:ascii="Times New Roman" w:hAnsi="Times New Roman"/>
          <w:sz w:val="20"/>
          <w:u w:val="single"/>
        </w:rPr>
        <w:t>Lock-Up</w:t>
      </w:r>
      <w:r>
        <w:rPr>
          <w:rFonts w:ascii="Times New Roman" w:hAnsi="Times New Roman"/>
          <w:sz w:val="20"/>
        </w:rPr>
        <w:t>. In connection with any initial public offering of the Shares, the Investor hereby irrevocably agrees to enter into a lock-up agreement with the underwriters and other relevant par</w:t>
      </w:r>
      <w:r>
        <w:rPr>
          <w:rFonts w:ascii="Times New Roman" w:hAnsi="Times New Roman"/>
          <w:sz w:val="20"/>
        </w:rPr>
        <w:t xml:space="preserve">ties and be subject to a lock-up period of at least 180 days. </w:t>
      </w:r>
    </w:p>
    <w:p w14:paraId="3C0F9D3E" w14:textId="77777777" w:rsidR="001B461C" w:rsidRDefault="00435552">
      <w:pPr>
        <w:pStyle w:val="BodyText"/>
        <w:spacing w:after="0"/>
      </w:pPr>
      <w:r>
        <w:t> </w:t>
      </w:r>
    </w:p>
    <w:p w14:paraId="3E1021F9"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4 </w:t>
      </w:r>
      <w:r>
        <w:br w:type="page"/>
      </w:r>
    </w:p>
    <w:p w14:paraId="0BF42E1E" w14:textId="77777777" w:rsidR="001B461C" w:rsidRDefault="001B461C">
      <w:pPr>
        <w:pStyle w:val="HorizontalLine"/>
        <w:pBdr>
          <w:bottom w:val="double" w:sz="6" w:space="0" w:color="808080"/>
        </w:pBdr>
      </w:pPr>
    </w:p>
    <w:p w14:paraId="3199F484" w14:textId="77777777" w:rsidR="001B461C" w:rsidRDefault="00435552">
      <w:pPr>
        <w:pStyle w:val="BodyText"/>
        <w:spacing w:after="0"/>
        <w:rPr>
          <w:rFonts w:ascii="Times New Roman" w:hAnsi="Times New Roman"/>
          <w:sz w:val="20"/>
        </w:rPr>
      </w:pPr>
      <w:r>
        <w:rPr>
          <w:rFonts w:ascii="Times New Roman" w:hAnsi="Times New Roman"/>
          <w:sz w:val="20"/>
        </w:rPr>
        <w:t xml:space="preserve">5.3 </w:t>
      </w:r>
      <w:r>
        <w:rPr>
          <w:rFonts w:ascii="Times New Roman" w:hAnsi="Times New Roman"/>
          <w:sz w:val="20"/>
          <w:u w:val="single"/>
        </w:rPr>
        <w:t>Non-Disclosure</w:t>
      </w:r>
      <w:r>
        <w:rPr>
          <w:rFonts w:ascii="Times New Roman" w:hAnsi="Times New Roman"/>
          <w:sz w:val="20"/>
        </w:rPr>
        <w:t xml:space="preserve">. The Investor shall, and shall cause its affiliates to: (i) treat and hold as strictly confidential (and not disclose or provide access to any person or entity to) </w:t>
      </w:r>
      <w:r>
        <w:rPr>
          <w:rFonts w:ascii="Times New Roman" w:hAnsi="Times New Roman"/>
          <w:sz w:val="20"/>
        </w:rPr>
        <w:t>all confidential or proprietary information relating to the transactions contemplated hereby, including without limitation the existence and content of this Agreement (collectively, “</w:t>
      </w:r>
      <w:r>
        <w:rPr>
          <w:rFonts w:ascii="Times New Roman" w:hAnsi="Times New Roman"/>
          <w:b/>
          <w:sz w:val="20"/>
        </w:rPr>
        <w:t>Confidential Information</w:t>
      </w:r>
      <w:r>
        <w:rPr>
          <w:rFonts w:ascii="Times New Roman" w:hAnsi="Times New Roman"/>
          <w:sz w:val="20"/>
        </w:rPr>
        <w:t>”), (ii) in the event that the Investor or any of</w:t>
      </w:r>
      <w:r>
        <w:rPr>
          <w:rFonts w:ascii="Times New Roman" w:hAnsi="Times New Roman"/>
          <w:sz w:val="20"/>
        </w:rPr>
        <w:t xml:space="preserve"> its affiliates becomes legally compelled to disclose any such information, provide the Company with prompt written notice of such requirement so that the Company may seek a protective order or other remedy or waive compliance with this </w:t>
      </w:r>
      <w:r>
        <w:rPr>
          <w:rFonts w:ascii="Times New Roman" w:hAnsi="Times New Roman"/>
          <w:sz w:val="20"/>
          <w:u w:val="single"/>
        </w:rPr>
        <w:t>Section 5.2</w:t>
      </w:r>
      <w:r>
        <w:rPr>
          <w:rFonts w:ascii="Times New Roman" w:hAnsi="Times New Roman"/>
          <w:sz w:val="20"/>
        </w:rPr>
        <w:t>, and (i</w:t>
      </w:r>
      <w:r>
        <w:rPr>
          <w:rFonts w:ascii="Times New Roman" w:hAnsi="Times New Roman"/>
          <w:sz w:val="20"/>
        </w:rPr>
        <w:t xml:space="preserve">ii) in the event that such protective order or other remedy is not obtained, or the Company chooses to waive compliance with this </w:t>
      </w:r>
      <w:r>
        <w:rPr>
          <w:rFonts w:ascii="Times New Roman" w:hAnsi="Times New Roman"/>
          <w:sz w:val="20"/>
          <w:u w:val="single"/>
        </w:rPr>
        <w:t>Section 5.2</w:t>
      </w:r>
      <w:r>
        <w:rPr>
          <w:rFonts w:ascii="Times New Roman" w:hAnsi="Times New Roman"/>
          <w:sz w:val="20"/>
        </w:rPr>
        <w:t>, furnish only that portion of such confidential information that is legally required to be provided and exercise i</w:t>
      </w:r>
      <w:r>
        <w:rPr>
          <w:rFonts w:ascii="Times New Roman" w:hAnsi="Times New Roman"/>
          <w:sz w:val="20"/>
        </w:rPr>
        <w:t xml:space="preserve">ts reasonable endeavors to obtain assurances that confidential treatment will be accorded such information. </w:t>
      </w:r>
    </w:p>
    <w:p w14:paraId="7A462798"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5.4 </w:t>
      </w:r>
      <w:r>
        <w:rPr>
          <w:rFonts w:ascii="Times New Roman" w:hAnsi="Times New Roman"/>
          <w:sz w:val="20"/>
          <w:u w:val="single"/>
        </w:rPr>
        <w:t>Additional Investment</w:t>
      </w:r>
      <w:r>
        <w:rPr>
          <w:rFonts w:ascii="Times New Roman" w:hAnsi="Times New Roman"/>
          <w:sz w:val="20"/>
        </w:rPr>
        <w:t xml:space="preserve">. The Investor indicated an intention to invest in additional Shares or American depositary shares representing Shares if </w:t>
      </w:r>
      <w:r>
        <w:rPr>
          <w:rFonts w:ascii="Times New Roman" w:hAnsi="Times New Roman"/>
          <w:sz w:val="20"/>
        </w:rPr>
        <w:t xml:space="preserve">and when the Company conducts an IPO, of an amount of no less than US$100,000. The Company and the lead underwriters shall have the right to accept or not accept such investment and, if so accepted, to determine whether to accept the investment as part of </w:t>
      </w:r>
      <w:r>
        <w:rPr>
          <w:rFonts w:ascii="Times New Roman" w:hAnsi="Times New Roman"/>
          <w:sz w:val="20"/>
        </w:rPr>
        <w:t>the IPO or as a private placement. Neither the Company nor any underwriter for the Company’s IPO is under any obligation or commitment to issue any shares to the Investor in the IPO. Any such issuance will be decided by the Company and the lead underwriter</w:t>
      </w:r>
      <w:r>
        <w:rPr>
          <w:rFonts w:ascii="Times New Roman" w:hAnsi="Times New Roman"/>
          <w:sz w:val="20"/>
        </w:rPr>
        <w:t xml:space="preserve">s for the IPO and must be in compliance with all applicable laws, regulations and rules. </w:t>
      </w:r>
    </w:p>
    <w:p w14:paraId="7069E289"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8"/>
        <w:gridCol w:w="9797"/>
      </w:tblGrid>
      <w:tr w:rsidR="001B461C" w14:paraId="5FBE367C" w14:textId="77777777">
        <w:tc>
          <w:tcPr>
            <w:tcW w:w="408" w:type="dxa"/>
          </w:tcPr>
          <w:p w14:paraId="29248666" w14:textId="77777777" w:rsidR="001B461C" w:rsidRDefault="00435552">
            <w:pPr>
              <w:pStyle w:val="TableContents"/>
              <w:rPr>
                <w:b/>
              </w:rPr>
            </w:pPr>
            <w:r>
              <w:rPr>
                <w:b/>
              </w:rPr>
              <w:t>6.</w:t>
            </w:r>
          </w:p>
        </w:tc>
        <w:tc>
          <w:tcPr>
            <w:tcW w:w="9796" w:type="dxa"/>
          </w:tcPr>
          <w:p w14:paraId="7944CECB" w14:textId="77777777" w:rsidR="001B461C" w:rsidRDefault="00435552">
            <w:pPr>
              <w:pStyle w:val="TableContents"/>
              <w:rPr>
                <w:rFonts w:ascii="Times New Roman" w:hAnsi="Times New Roman"/>
                <w:b/>
                <w:sz w:val="20"/>
              </w:rPr>
            </w:pPr>
            <w:r>
              <w:rPr>
                <w:rFonts w:ascii="Times New Roman" w:hAnsi="Times New Roman"/>
                <w:b/>
                <w:sz w:val="20"/>
                <w:u w:val="single"/>
              </w:rPr>
              <w:t>CONDITIONS TO THE INVESTOR’S OBLIGATIONS AT THE CLOSING.</w:t>
            </w:r>
            <w:r>
              <w:rPr>
                <w:rFonts w:ascii="Times New Roman" w:hAnsi="Times New Roman"/>
                <w:b/>
                <w:sz w:val="20"/>
              </w:rPr>
              <w:t xml:space="preserve"> </w:t>
            </w:r>
          </w:p>
        </w:tc>
      </w:tr>
    </w:tbl>
    <w:p w14:paraId="1F3D0CE3" w14:textId="77777777" w:rsidR="001B461C" w:rsidRDefault="00435552">
      <w:pPr>
        <w:pStyle w:val="BodyText"/>
        <w:spacing w:before="120" w:after="0"/>
        <w:rPr>
          <w:rFonts w:ascii="Times New Roman" w:hAnsi="Times New Roman"/>
          <w:sz w:val="20"/>
        </w:rPr>
      </w:pPr>
      <w:r>
        <w:rPr>
          <w:rFonts w:ascii="Times New Roman" w:hAnsi="Times New Roman"/>
          <w:sz w:val="20"/>
        </w:rPr>
        <w:t>6.1 The obligation of the Investor to purchase the Purchased Shares at the Closing is subject to the f</w:t>
      </w:r>
      <w:r>
        <w:rPr>
          <w:rFonts w:ascii="Times New Roman" w:hAnsi="Times New Roman"/>
          <w:sz w:val="20"/>
        </w:rPr>
        <w:t>ulfillment, to the satisfaction of such Investor (or waiver thereof) on or prior to the date of the Closing (the “</w:t>
      </w:r>
      <w:r>
        <w:rPr>
          <w:rFonts w:ascii="Times New Roman" w:hAnsi="Times New Roman"/>
          <w:b/>
          <w:sz w:val="20"/>
        </w:rPr>
        <w:t>Closing Date</w:t>
      </w:r>
      <w:r>
        <w:rPr>
          <w:rFonts w:ascii="Times New Roman" w:hAnsi="Times New Roman"/>
          <w:sz w:val="20"/>
        </w:rPr>
        <w:t xml:space="preserve">”), of the following conditions: </w:t>
      </w:r>
    </w:p>
    <w:p w14:paraId="04243224"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Representations and Warranties True and Correct</w:t>
      </w:r>
      <w:r>
        <w:rPr>
          <w:rFonts w:ascii="Times New Roman" w:hAnsi="Times New Roman"/>
          <w:sz w:val="20"/>
        </w:rPr>
        <w:t xml:space="preserve">. The representations and warranties made by </w:t>
      </w:r>
      <w:r>
        <w:rPr>
          <w:rFonts w:ascii="Times New Roman" w:hAnsi="Times New Roman"/>
          <w:sz w:val="20"/>
        </w:rPr>
        <w:t xml:space="preserve">the Company in </w:t>
      </w:r>
      <w:r>
        <w:rPr>
          <w:rFonts w:ascii="Times New Roman" w:hAnsi="Times New Roman"/>
          <w:sz w:val="20"/>
          <w:u w:val="single"/>
        </w:rPr>
        <w:t>Section 3</w:t>
      </w:r>
      <w:r>
        <w:rPr>
          <w:rFonts w:ascii="Times New Roman" w:hAnsi="Times New Roman"/>
          <w:sz w:val="20"/>
        </w:rPr>
        <w:t xml:space="preserve"> hereof shall be true and correct as of the Closing Date (except to the extent such representations and warranties expressly speak of a specified date, in which case such representations and warranties shall be true and correct as o</w:t>
      </w:r>
      <w:r>
        <w:rPr>
          <w:rFonts w:ascii="Times New Roman" w:hAnsi="Times New Roman"/>
          <w:sz w:val="20"/>
        </w:rPr>
        <w:t xml:space="preserve">f such specified date). </w:t>
      </w:r>
    </w:p>
    <w:p w14:paraId="7BA4421A"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Proceedings and Documents</w:t>
      </w:r>
      <w:r>
        <w:rPr>
          <w:rFonts w:ascii="Times New Roman" w:hAnsi="Times New Roman"/>
          <w:sz w:val="20"/>
        </w:rPr>
        <w:t xml:space="preserve">. The resolutions of the board of directors of the Company in connection with the transactions contemplated hereby shall have been duly passed. </w:t>
      </w:r>
    </w:p>
    <w:p w14:paraId="6788D408"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6.2 The Investor may at any time waive in writing any of </w:t>
      </w:r>
      <w:r>
        <w:rPr>
          <w:rFonts w:ascii="Times New Roman" w:hAnsi="Times New Roman"/>
          <w:sz w:val="20"/>
        </w:rPr>
        <w:t xml:space="preserve">the conditions above, on such terms as it may decide. </w:t>
      </w:r>
    </w:p>
    <w:p w14:paraId="073B2907"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8"/>
        <w:gridCol w:w="9797"/>
      </w:tblGrid>
      <w:tr w:rsidR="001B461C" w14:paraId="0D6C4908" w14:textId="77777777">
        <w:tc>
          <w:tcPr>
            <w:tcW w:w="408" w:type="dxa"/>
          </w:tcPr>
          <w:p w14:paraId="03A19729" w14:textId="77777777" w:rsidR="001B461C" w:rsidRDefault="00435552">
            <w:pPr>
              <w:pStyle w:val="TableContents"/>
              <w:rPr>
                <w:b/>
              </w:rPr>
            </w:pPr>
            <w:r>
              <w:rPr>
                <w:b/>
              </w:rPr>
              <w:t>7.</w:t>
            </w:r>
          </w:p>
        </w:tc>
        <w:tc>
          <w:tcPr>
            <w:tcW w:w="9796" w:type="dxa"/>
          </w:tcPr>
          <w:p w14:paraId="6930BA69" w14:textId="77777777" w:rsidR="001B461C" w:rsidRDefault="00435552">
            <w:pPr>
              <w:pStyle w:val="TableContents"/>
              <w:rPr>
                <w:rFonts w:ascii="Times New Roman" w:hAnsi="Times New Roman"/>
                <w:b/>
                <w:sz w:val="20"/>
              </w:rPr>
            </w:pPr>
            <w:r>
              <w:rPr>
                <w:rFonts w:ascii="Times New Roman" w:hAnsi="Times New Roman"/>
                <w:b/>
                <w:sz w:val="20"/>
                <w:u w:val="single"/>
              </w:rPr>
              <w:t>CONDITIONS TO THE COMPANY’S OBLIGATIONS AT THE CLOSING.</w:t>
            </w:r>
            <w:r>
              <w:rPr>
                <w:rFonts w:ascii="Times New Roman" w:hAnsi="Times New Roman"/>
                <w:b/>
                <w:sz w:val="20"/>
              </w:rPr>
              <w:t xml:space="preserve"> </w:t>
            </w:r>
          </w:p>
        </w:tc>
      </w:tr>
    </w:tbl>
    <w:p w14:paraId="0E3A6730"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7.1 </w:t>
      </w:r>
      <w:r>
        <w:rPr>
          <w:rFonts w:ascii="Times New Roman" w:hAnsi="Times New Roman"/>
          <w:sz w:val="20"/>
          <w:u w:val="single"/>
        </w:rPr>
        <w:t>Closing</w:t>
      </w:r>
      <w:r>
        <w:rPr>
          <w:rFonts w:ascii="Times New Roman" w:hAnsi="Times New Roman"/>
          <w:sz w:val="20"/>
        </w:rPr>
        <w:t xml:space="preserve">. The obligations of the Company under this Agreement with respect to the Investor are subject to the fulfillment, on or prior to the Closing Date of the following conditions: </w:t>
      </w:r>
    </w:p>
    <w:p w14:paraId="71956783"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Representations and Warranties</w:t>
      </w:r>
      <w:r>
        <w:rPr>
          <w:rFonts w:ascii="Times New Roman" w:hAnsi="Times New Roman"/>
          <w:sz w:val="20"/>
        </w:rPr>
        <w:t>. The representations and warranties of the I</w:t>
      </w:r>
      <w:r>
        <w:rPr>
          <w:rFonts w:ascii="Times New Roman" w:hAnsi="Times New Roman"/>
          <w:sz w:val="20"/>
        </w:rPr>
        <w:t xml:space="preserve">nvestor contained in </w:t>
      </w:r>
      <w:r>
        <w:rPr>
          <w:rFonts w:ascii="Times New Roman" w:hAnsi="Times New Roman"/>
          <w:sz w:val="20"/>
          <w:u w:val="single"/>
        </w:rPr>
        <w:t>Section 4</w:t>
      </w:r>
      <w:r>
        <w:rPr>
          <w:rFonts w:ascii="Times New Roman" w:hAnsi="Times New Roman"/>
          <w:sz w:val="20"/>
        </w:rPr>
        <w:t xml:space="preserve"> hereof shall be true and correct as of the Closing Date (except to the extent such representations and warranties expressly speak of a specified date, in which case such representations and warranties shall be true and correc</w:t>
      </w:r>
      <w:r>
        <w:rPr>
          <w:rFonts w:ascii="Times New Roman" w:hAnsi="Times New Roman"/>
          <w:sz w:val="20"/>
        </w:rPr>
        <w:t xml:space="preserve">t as of such specified date). </w:t>
      </w:r>
    </w:p>
    <w:p w14:paraId="0BB10CF2" w14:textId="77777777" w:rsidR="001B461C" w:rsidRDefault="00435552">
      <w:pPr>
        <w:pStyle w:val="BodyText"/>
        <w:spacing w:after="0"/>
      </w:pPr>
      <w:r>
        <w:t> </w:t>
      </w:r>
    </w:p>
    <w:p w14:paraId="224A593D"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5 </w:t>
      </w:r>
      <w:r>
        <w:br w:type="page"/>
      </w:r>
    </w:p>
    <w:p w14:paraId="194E2AEA" w14:textId="77777777" w:rsidR="001B461C" w:rsidRDefault="001B461C">
      <w:pPr>
        <w:pStyle w:val="HorizontalLine"/>
        <w:pBdr>
          <w:bottom w:val="double" w:sz="6" w:space="0" w:color="808080"/>
        </w:pBdr>
      </w:pPr>
    </w:p>
    <w:p w14:paraId="66D11DDC" w14:textId="77777777" w:rsidR="001B461C" w:rsidRDefault="00435552">
      <w:pPr>
        <w:pStyle w:val="BodyText"/>
        <w:spacing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Payment of the Purchase Price</w:t>
      </w:r>
      <w:r>
        <w:rPr>
          <w:rFonts w:ascii="Times New Roman" w:hAnsi="Times New Roman"/>
          <w:sz w:val="20"/>
        </w:rPr>
        <w:t xml:space="preserve">. The Investor shall have delivered to the Company the Purchase Price in accordance with </w:t>
      </w:r>
      <w:r>
        <w:rPr>
          <w:rFonts w:ascii="Times New Roman" w:hAnsi="Times New Roman"/>
          <w:sz w:val="20"/>
          <w:u w:val="single"/>
        </w:rPr>
        <w:t>Section 1.2</w:t>
      </w:r>
      <w:r>
        <w:rPr>
          <w:rFonts w:ascii="Times New Roman" w:hAnsi="Times New Roman"/>
          <w:sz w:val="20"/>
        </w:rPr>
        <w:t xml:space="preserve">. </w:t>
      </w:r>
    </w:p>
    <w:p w14:paraId="7F736C5E"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406"/>
        <w:gridCol w:w="9799"/>
      </w:tblGrid>
      <w:tr w:rsidR="001B461C" w14:paraId="6C1FD8ED" w14:textId="77777777">
        <w:tc>
          <w:tcPr>
            <w:tcW w:w="406" w:type="dxa"/>
          </w:tcPr>
          <w:p w14:paraId="0A113E20" w14:textId="77777777" w:rsidR="001B461C" w:rsidRDefault="00435552">
            <w:pPr>
              <w:pStyle w:val="TableContents"/>
              <w:rPr>
                <w:b/>
              </w:rPr>
            </w:pPr>
            <w:r>
              <w:rPr>
                <w:b/>
              </w:rPr>
              <w:t>8.</w:t>
            </w:r>
          </w:p>
        </w:tc>
        <w:tc>
          <w:tcPr>
            <w:tcW w:w="9798" w:type="dxa"/>
          </w:tcPr>
          <w:p w14:paraId="5288FB5C" w14:textId="77777777" w:rsidR="001B461C" w:rsidRDefault="00435552">
            <w:pPr>
              <w:pStyle w:val="TableContents"/>
              <w:rPr>
                <w:rFonts w:ascii="Times New Roman" w:hAnsi="Times New Roman"/>
                <w:b/>
                <w:sz w:val="20"/>
              </w:rPr>
            </w:pPr>
            <w:r>
              <w:rPr>
                <w:rFonts w:ascii="Times New Roman" w:hAnsi="Times New Roman"/>
                <w:b/>
                <w:sz w:val="20"/>
                <w:u w:val="single"/>
              </w:rPr>
              <w:t>MISCELLANEOUS.</w:t>
            </w:r>
            <w:r>
              <w:rPr>
                <w:rFonts w:ascii="Times New Roman" w:hAnsi="Times New Roman"/>
                <w:b/>
                <w:sz w:val="20"/>
              </w:rPr>
              <w:t xml:space="preserve"> </w:t>
            </w:r>
          </w:p>
        </w:tc>
      </w:tr>
    </w:tbl>
    <w:p w14:paraId="1CD1FA81"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8.1 </w:t>
      </w:r>
      <w:r>
        <w:rPr>
          <w:rFonts w:ascii="Times New Roman" w:hAnsi="Times New Roman"/>
          <w:sz w:val="20"/>
          <w:u w:val="single"/>
        </w:rPr>
        <w:t>Indemnity</w:t>
      </w:r>
      <w:r>
        <w:rPr>
          <w:rFonts w:ascii="Times New Roman" w:hAnsi="Times New Roman"/>
          <w:sz w:val="20"/>
        </w:rPr>
        <w:t xml:space="preserve">. </w:t>
      </w:r>
    </w:p>
    <w:p w14:paraId="3E83EAD3" w14:textId="77777777" w:rsidR="001B461C" w:rsidRDefault="00435552">
      <w:pPr>
        <w:pStyle w:val="BodyText"/>
        <w:spacing w:before="240" w:after="0"/>
        <w:rPr>
          <w:rFonts w:ascii="Times New Roman" w:hAnsi="Times New Roman"/>
          <w:sz w:val="20"/>
        </w:rPr>
      </w:pPr>
      <w:r>
        <w:rPr>
          <w:rFonts w:ascii="Times New Roman" w:hAnsi="Times New Roman"/>
          <w:sz w:val="20"/>
        </w:rPr>
        <w:t>(a) Each Party (an “</w:t>
      </w:r>
      <w:r>
        <w:rPr>
          <w:rFonts w:ascii="Times New Roman" w:hAnsi="Times New Roman"/>
          <w:b/>
          <w:sz w:val="20"/>
        </w:rPr>
        <w:t>Indemnifying Party</w:t>
      </w:r>
      <w:r>
        <w:rPr>
          <w:rFonts w:ascii="Times New Roman" w:hAnsi="Times New Roman"/>
          <w:sz w:val="20"/>
        </w:rPr>
        <w:t xml:space="preserve">”) </w:t>
      </w:r>
      <w:r>
        <w:rPr>
          <w:rFonts w:ascii="Times New Roman" w:hAnsi="Times New Roman"/>
          <w:sz w:val="20"/>
        </w:rPr>
        <w:t>shall indemnify the other Party and its directors, officers, employees, and agents (each, an “</w:t>
      </w:r>
      <w:r>
        <w:rPr>
          <w:rFonts w:ascii="Times New Roman" w:hAnsi="Times New Roman"/>
          <w:b/>
          <w:sz w:val="20"/>
        </w:rPr>
        <w:t>Indemnitee</w:t>
      </w:r>
      <w:r>
        <w:rPr>
          <w:rFonts w:ascii="Times New Roman" w:hAnsi="Times New Roman"/>
          <w:sz w:val="20"/>
        </w:rPr>
        <w:t>”) against any losses, liabilities, damages, liens, penalties, diminution in value, costs, and expenses, including reasonable advisor’s fees and other r</w:t>
      </w:r>
      <w:r>
        <w:rPr>
          <w:rFonts w:ascii="Times New Roman" w:hAnsi="Times New Roman"/>
          <w:sz w:val="20"/>
        </w:rPr>
        <w:t>easonable expenses of investigation and defense of any of the foregoing, incurred by such Indemnitee (the “</w:t>
      </w:r>
      <w:r>
        <w:rPr>
          <w:rFonts w:ascii="Times New Roman" w:hAnsi="Times New Roman"/>
          <w:b/>
          <w:sz w:val="20"/>
        </w:rPr>
        <w:t>Indemnifiable Loss</w:t>
      </w:r>
      <w:r>
        <w:rPr>
          <w:rFonts w:ascii="Times New Roman" w:hAnsi="Times New Roman"/>
          <w:sz w:val="20"/>
        </w:rPr>
        <w:t xml:space="preserve">”) as a result of (i) any breach or violation of any representation or warranty made by the Indemnifying Party, or (ii) any breach </w:t>
      </w:r>
      <w:r>
        <w:rPr>
          <w:rFonts w:ascii="Times New Roman" w:hAnsi="Times New Roman"/>
          <w:sz w:val="20"/>
        </w:rPr>
        <w:t xml:space="preserve">by the Indemnifying Party of any covenant or agreement contained herein. </w:t>
      </w:r>
    </w:p>
    <w:p w14:paraId="65D470D3" w14:textId="77777777" w:rsidR="001B461C" w:rsidRDefault="00435552">
      <w:pPr>
        <w:pStyle w:val="BodyText"/>
        <w:spacing w:before="240" w:after="0"/>
        <w:rPr>
          <w:rFonts w:ascii="Times New Roman" w:hAnsi="Times New Roman"/>
          <w:sz w:val="20"/>
        </w:rPr>
      </w:pPr>
      <w:r>
        <w:rPr>
          <w:rFonts w:ascii="Times New Roman" w:hAnsi="Times New Roman"/>
          <w:sz w:val="20"/>
        </w:rPr>
        <w:t>(b) If an Indemnitee believes that it has a claim that may give rise to an indemnity obligation hereunder, it shall promptly notify the Indemnifying Party stating specifically the ba</w:t>
      </w:r>
      <w:r>
        <w:rPr>
          <w:rFonts w:ascii="Times New Roman" w:hAnsi="Times New Roman"/>
          <w:sz w:val="20"/>
        </w:rPr>
        <w:t>sis on which such claim is being made, the material facts related thereto, and (if ascertainable or quantifiable) the amount of the claim asserted. In the event of a third-party claim against an Indemnitee for which such Indemnitee seeks indemnification fr</w:t>
      </w:r>
      <w:r>
        <w:rPr>
          <w:rFonts w:ascii="Times New Roman" w:hAnsi="Times New Roman"/>
          <w:sz w:val="20"/>
        </w:rPr>
        <w:t xml:space="preserve">om the Indemnifying Party, no settlement shall be deemed conclusive with respect whether there was an Indemnifiable Loss or the amount of such Indemnifiable Loss unless such settlement is consented to by the Indemnifying Party. Any dispute related to this </w:t>
      </w:r>
      <w:r>
        <w:rPr>
          <w:rFonts w:ascii="Times New Roman" w:hAnsi="Times New Roman"/>
          <w:sz w:val="20"/>
          <w:u w:val="single"/>
        </w:rPr>
        <w:t>Section 8.1(b)</w:t>
      </w:r>
      <w:r>
        <w:rPr>
          <w:rFonts w:ascii="Times New Roman" w:hAnsi="Times New Roman"/>
          <w:sz w:val="20"/>
        </w:rPr>
        <w:t xml:space="preserve"> shall be resolved pursuant to </w:t>
      </w:r>
      <w:r>
        <w:rPr>
          <w:rFonts w:ascii="Times New Roman" w:hAnsi="Times New Roman"/>
          <w:sz w:val="20"/>
          <w:u w:val="single"/>
        </w:rPr>
        <w:t>Section 8.14</w:t>
      </w:r>
      <w:r>
        <w:rPr>
          <w:rFonts w:ascii="Times New Roman" w:hAnsi="Times New Roman"/>
          <w:sz w:val="20"/>
        </w:rPr>
        <w:t xml:space="preserve"> hereof. </w:t>
      </w:r>
    </w:p>
    <w:p w14:paraId="21F93621" w14:textId="77777777" w:rsidR="001B461C" w:rsidRDefault="00435552">
      <w:pPr>
        <w:pStyle w:val="BodyText"/>
        <w:spacing w:before="240" w:after="0"/>
        <w:rPr>
          <w:rFonts w:ascii="Times New Roman" w:hAnsi="Times New Roman"/>
          <w:sz w:val="20"/>
        </w:rPr>
      </w:pPr>
      <w:r>
        <w:rPr>
          <w:rFonts w:ascii="Times New Roman" w:hAnsi="Times New Roman"/>
          <w:sz w:val="20"/>
        </w:rPr>
        <w:t>(c) (i) The Indemnifying Party shall not have any liability under this Agreement until the aggregate amount of Indemnifiable Loss incurred by an Indemnitee exceeds an amount equal to US$1,0</w:t>
      </w:r>
      <w:r>
        <w:rPr>
          <w:rFonts w:ascii="Times New Roman" w:hAnsi="Times New Roman"/>
          <w:sz w:val="20"/>
        </w:rPr>
        <w:t xml:space="preserve">00,000, in which case such Indemnitee shall be entitled to indemnification of the entire amount of the Indemnifiable Loss; and (ii) the amount of Indemnifiable Loss for which the Indemnitee may be indemnified by the Indemnifying Party under this Agreement </w:t>
      </w:r>
      <w:r>
        <w:rPr>
          <w:rFonts w:ascii="Times New Roman" w:hAnsi="Times New Roman"/>
          <w:sz w:val="20"/>
        </w:rPr>
        <w:t xml:space="preserve">shall be limited to the Purchase Price actually paid by the Investor. </w:t>
      </w:r>
    </w:p>
    <w:p w14:paraId="709E63E8"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(d) Notwithstanding any other provision contained herein, this </w:t>
      </w:r>
      <w:r>
        <w:rPr>
          <w:rFonts w:ascii="Times New Roman" w:hAnsi="Times New Roman"/>
          <w:sz w:val="20"/>
          <w:u w:val="single"/>
        </w:rPr>
        <w:t>Section 8.1</w:t>
      </w:r>
      <w:r>
        <w:rPr>
          <w:rFonts w:ascii="Times New Roman" w:hAnsi="Times New Roman"/>
          <w:sz w:val="20"/>
        </w:rPr>
        <w:t xml:space="preserve"> shall be the sole and exclusive monetary remedy of each Party for any claim arising out of or resulting from t</w:t>
      </w:r>
      <w:r>
        <w:rPr>
          <w:rFonts w:ascii="Times New Roman" w:hAnsi="Times New Roman"/>
          <w:sz w:val="20"/>
        </w:rPr>
        <w:t xml:space="preserve">his Agreement and the transactions contemplated hereby, except that no limitation or exceptions with respect to the obligations or liabilities on any Party provided in the foregoing sub-sections under this </w:t>
      </w:r>
      <w:r>
        <w:rPr>
          <w:rFonts w:ascii="Times New Roman" w:hAnsi="Times New Roman"/>
          <w:sz w:val="20"/>
          <w:u w:val="single"/>
        </w:rPr>
        <w:t>Section 8.1</w:t>
      </w:r>
      <w:r>
        <w:rPr>
          <w:rFonts w:ascii="Times New Roman" w:hAnsi="Times New Roman"/>
          <w:sz w:val="20"/>
        </w:rPr>
        <w:t xml:space="preserve"> shall apply to an Indemnifiable Loss a</w:t>
      </w:r>
      <w:r>
        <w:rPr>
          <w:rFonts w:ascii="Times New Roman" w:hAnsi="Times New Roman"/>
          <w:sz w:val="20"/>
        </w:rPr>
        <w:t xml:space="preserve">rising due to the fraud or willful misconduct of such Party. </w:t>
      </w:r>
    </w:p>
    <w:p w14:paraId="076BA5E8"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8.2 </w:t>
      </w:r>
      <w:r>
        <w:rPr>
          <w:rFonts w:ascii="Times New Roman" w:hAnsi="Times New Roman"/>
          <w:sz w:val="20"/>
          <w:u w:val="single"/>
        </w:rPr>
        <w:t>Governing Law</w:t>
      </w:r>
      <w:r>
        <w:rPr>
          <w:rFonts w:ascii="Times New Roman" w:hAnsi="Times New Roman"/>
          <w:sz w:val="20"/>
        </w:rPr>
        <w:t>. This Agreement shall be governed by and construed in accordance with the law of Hong Kong as to matters within the scope thereof, without regard to its principles of conflicts</w:t>
      </w:r>
      <w:r>
        <w:rPr>
          <w:rFonts w:ascii="Times New Roman" w:hAnsi="Times New Roman"/>
          <w:sz w:val="20"/>
        </w:rPr>
        <w:t xml:space="preserve"> of laws. </w:t>
      </w:r>
    </w:p>
    <w:p w14:paraId="47C87B0A"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8.3 </w:t>
      </w:r>
      <w:r>
        <w:rPr>
          <w:rFonts w:ascii="Times New Roman" w:hAnsi="Times New Roman"/>
          <w:sz w:val="20"/>
          <w:u w:val="single"/>
        </w:rPr>
        <w:t>Survival</w:t>
      </w:r>
      <w:r>
        <w:rPr>
          <w:rFonts w:ascii="Times New Roman" w:hAnsi="Times New Roman"/>
          <w:sz w:val="20"/>
        </w:rPr>
        <w:t xml:space="preserve">. The representations, warranties, covenants, and agreements made herein shall survive for two (2) years after the Closing. </w:t>
      </w:r>
    </w:p>
    <w:p w14:paraId="71250C97" w14:textId="77777777" w:rsidR="001B461C" w:rsidRDefault="00435552">
      <w:pPr>
        <w:pStyle w:val="BodyText"/>
        <w:spacing w:after="0"/>
      </w:pPr>
      <w:r>
        <w:t> </w:t>
      </w:r>
    </w:p>
    <w:p w14:paraId="3560F484"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6 </w:t>
      </w:r>
      <w:r>
        <w:br w:type="page"/>
      </w:r>
    </w:p>
    <w:p w14:paraId="639148F0" w14:textId="77777777" w:rsidR="001B461C" w:rsidRDefault="001B461C">
      <w:pPr>
        <w:pStyle w:val="HorizontalLine"/>
        <w:pBdr>
          <w:bottom w:val="double" w:sz="6" w:space="0" w:color="808080"/>
        </w:pBdr>
      </w:pPr>
    </w:p>
    <w:p w14:paraId="57A808FC" w14:textId="77777777" w:rsidR="001B461C" w:rsidRDefault="00435552">
      <w:pPr>
        <w:pStyle w:val="BodyText"/>
        <w:spacing w:after="0"/>
        <w:rPr>
          <w:rFonts w:ascii="Times New Roman" w:hAnsi="Times New Roman"/>
          <w:sz w:val="20"/>
        </w:rPr>
      </w:pPr>
      <w:r>
        <w:rPr>
          <w:rFonts w:ascii="Times New Roman" w:hAnsi="Times New Roman"/>
          <w:sz w:val="20"/>
        </w:rPr>
        <w:t xml:space="preserve">8.4 </w:t>
      </w:r>
      <w:r>
        <w:rPr>
          <w:rFonts w:ascii="Times New Roman" w:hAnsi="Times New Roman"/>
          <w:sz w:val="20"/>
          <w:u w:val="single"/>
        </w:rPr>
        <w:t>Successors and Assigns</w:t>
      </w:r>
      <w:r>
        <w:rPr>
          <w:rFonts w:ascii="Times New Roman" w:hAnsi="Times New Roman"/>
          <w:sz w:val="20"/>
        </w:rPr>
        <w:t>. Except as otherwise expressly provided herein, the provisions hereof shal</w:t>
      </w:r>
      <w:r>
        <w:rPr>
          <w:rFonts w:ascii="Times New Roman" w:hAnsi="Times New Roman"/>
          <w:sz w:val="20"/>
        </w:rPr>
        <w:t>l inure to the benefit of, and be binding upon, the successors, assigns, heirs, executors, and administrators of the Parties. This Agreement and the rights and obligations therein may not be assigned by a Party without the written consent of the other Part</w:t>
      </w:r>
      <w:r>
        <w:rPr>
          <w:rFonts w:ascii="Times New Roman" w:hAnsi="Times New Roman"/>
          <w:sz w:val="20"/>
        </w:rPr>
        <w:t xml:space="preserve">y. </w:t>
      </w:r>
    </w:p>
    <w:p w14:paraId="646D97AB"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8.5 </w:t>
      </w:r>
      <w:r>
        <w:rPr>
          <w:rFonts w:ascii="Times New Roman" w:hAnsi="Times New Roman"/>
          <w:sz w:val="20"/>
          <w:u w:val="single"/>
        </w:rPr>
        <w:t>Entire Agreement</w:t>
      </w:r>
      <w:r>
        <w:rPr>
          <w:rFonts w:ascii="Times New Roman" w:hAnsi="Times New Roman"/>
          <w:sz w:val="20"/>
        </w:rPr>
        <w:t xml:space="preserve">. This Agreement and the schedules and exhibits hereto constitute the entire understanding and agreement between the Parties with regard to the subjects hereof and thereof; </w:t>
      </w:r>
      <w:r>
        <w:rPr>
          <w:rFonts w:ascii="Times New Roman" w:hAnsi="Times New Roman"/>
          <w:i/>
          <w:sz w:val="20"/>
        </w:rPr>
        <w:t>provided</w:t>
      </w:r>
      <w:r>
        <w:rPr>
          <w:rFonts w:ascii="Times New Roman" w:hAnsi="Times New Roman"/>
          <w:sz w:val="20"/>
        </w:rPr>
        <w:t xml:space="preserve">, </w:t>
      </w:r>
      <w:r>
        <w:rPr>
          <w:rFonts w:ascii="Times New Roman" w:hAnsi="Times New Roman"/>
          <w:i/>
          <w:sz w:val="20"/>
        </w:rPr>
        <w:t>however</w:t>
      </w:r>
      <w:r>
        <w:rPr>
          <w:rFonts w:ascii="Times New Roman" w:hAnsi="Times New Roman"/>
          <w:sz w:val="20"/>
        </w:rPr>
        <w:t>, that nothing in this Agreement shall be deemed to terminate or s</w:t>
      </w:r>
      <w:r>
        <w:rPr>
          <w:rFonts w:ascii="Times New Roman" w:hAnsi="Times New Roman"/>
          <w:sz w:val="20"/>
        </w:rPr>
        <w:t xml:space="preserve">upersede the provisions of any applicable confidentiality and non-disclosure agreements executed by the Parties prior to the date hereof, which agreements shall continue in full force and effect until terminated in accordance with their respective terms. </w:t>
      </w:r>
    </w:p>
    <w:p w14:paraId="5B605914"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8.6 </w:t>
      </w:r>
      <w:r>
        <w:rPr>
          <w:rFonts w:ascii="Times New Roman" w:hAnsi="Times New Roman"/>
          <w:sz w:val="20"/>
          <w:u w:val="single"/>
        </w:rPr>
        <w:t>Notices</w:t>
      </w:r>
      <w:r>
        <w:rPr>
          <w:rFonts w:ascii="Times New Roman" w:hAnsi="Times New Roman"/>
          <w:sz w:val="20"/>
        </w:rPr>
        <w:t>. Except as may be otherwise provided herein, all notices, requests, waivers, and other communications made pursuant to this Agreement shall be in writing and shall be conclusively deemed to have been duly given (i) when hand delivered to a Part</w:t>
      </w:r>
      <w:r>
        <w:rPr>
          <w:rFonts w:ascii="Times New Roman" w:hAnsi="Times New Roman"/>
          <w:sz w:val="20"/>
        </w:rPr>
        <w:t xml:space="preserve">y, upon delivery; (ii) when sent by facsimile at the number set forth in </w:t>
      </w:r>
      <w:r>
        <w:rPr>
          <w:rFonts w:ascii="Times New Roman" w:hAnsi="Times New Roman"/>
          <w:sz w:val="20"/>
          <w:u w:val="single"/>
        </w:rPr>
        <w:t>Exhibit A</w:t>
      </w:r>
      <w:r>
        <w:rPr>
          <w:rFonts w:ascii="Times New Roman" w:hAnsi="Times New Roman"/>
          <w:sz w:val="20"/>
        </w:rPr>
        <w:t xml:space="preserve"> hereto, upon receipt of confirmation of error-free transmission; (iii) seven (7) Business Days after deposit in the mail as air mail or certified mail, receipt requested, po</w:t>
      </w:r>
      <w:r>
        <w:rPr>
          <w:rFonts w:ascii="Times New Roman" w:hAnsi="Times New Roman"/>
          <w:sz w:val="20"/>
        </w:rPr>
        <w:t xml:space="preserve">stage prepaid, and addressed to the relevant Party or Parties as set forth in </w:t>
      </w:r>
      <w:r>
        <w:rPr>
          <w:rFonts w:ascii="Times New Roman" w:hAnsi="Times New Roman"/>
          <w:sz w:val="20"/>
          <w:u w:val="single"/>
        </w:rPr>
        <w:t>Exhibit A</w:t>
      </w:r>
      <w:r>
        <w:rPr>
          <w:rFonts w:ascii="Times New Roman" w:hAnsi="Times New Roman"/>
          <w:sz w:val="20"/>
        </w:rPr>
        <w:t xml:space="preserve">; or (iv) three (3) Business Days after deposit with an overnight delivery service, postage prepaid, addressed to the relevant Parties as set forth in </w:t>
      </w:r>
      <w:r>
        <w:rPr>
          <w:rFonts w:ascii="Times New Roman" w:hAnsi="Times New Roman"/>
          <w:sz w:val="20"/>
          <w:u w:val="single"/>
        </w:rPr>
        <w:t>Exhibit A</w:t>
      </w:r>
      <w:r>
        <w:rPr>
          <w:rFonts w:ascii="Times New Roman" w:hAnsi="Times New Roman"/>
          <w:sz w:val="20"/>
        </w:rPr>
        <w:t xml:space="preserve"> with nex</w:t>
      </w:r>
      <w:r>
        <w:rPr>
          <w:rFonts w:ascii="Times New Roman" w:hAnsi="Times New Roman"/>
          <w:sz w:val="20"/>
        </w:rPr>
        <w:t xml:space="preserve">t business day delivery guaranteed, </w:t>
      </w:r>
      <w:r>
        <w:rPr>
          <w:rFonts w:ascii="Times New Roman" w:hAnsi="Times New Roman"/>
          <w:i/>
          <w:sz w:val="20"/>
        </w:rPr>
        <w:t>provided</w:t>
      </w:r>
      <w:r>
        <w:rPr>
          <w:rFonts w:ascii="Times New Roman" w:hAnsi="Times New Roman"/>
          <w:sz w:val="20"/>
        </w:rPr>
        <w:t xml:space="preserve"> that the sending Party receives a confirmation of delivery from the delivery service provider. </w:t>
      </w:r>
    </w:p>
    <w:p w14:paraId="1A464BEE" w14:textId="77777777" w:rsidR="001B461C" w:rsidRDefault="00435552">
      <w:pPr>
        <w:pStyle w:val="BodyText"/>
        <w:spacing w:before="240" w:after="0"/>
        <w:rPr>
          <w:rFonts w:ascii="Times New Roman" w:hAnsi="Times New Roman"/>
          <w:sz w:val="20"/>
        </w:rPr>
      </w:pPr>
      <w:r>
        <w:rPr>
          <w:rFonts w:ascii="Times New Roman" w:hAnsi="Times New Roman"/>
          <w:sz w:val="20"/>
        </w:rPr>
        <w:t>Each person making a communication hereunder by facsimile shall promptly confirm by telephone to the person to whom</w:t>
      </w:r>
      <w:r>
        <w:rPr>
          <w:rFonts w:ascii="Times New Roman" w:hAnsi="Times New Roman"/>
          <w:sz w:val="20"/>
        </w:rPr>
        <w:t xml:space="preserve"> such communication was addressed each communication made by it by facsimile pursuant hereto, but the absence of such confirmation shall not affect the validity of any such communication. A Party may change or supplement the addresses given above, or desig</w:t>
      </w:r>
      <w:r>
        <w:rPr>
          <w:rFonts w:ascii="Times New Roman" w:hAnsi="Times New Roman"/>
          <w:sz w:val="20"/>
        </w:rPr>
        <w:t xml:space="preserve">nate additional addresses, for purposes of this </w:t>
      </w:r>
      <w:r>
        <w:rPr>
          <w:rFonts w:ascii="Times New Roman" w:hAnsi="Times New Roman"/>
          <w:sz w:val="20"/>
          <w:u w:val="single"/>
        </w:rPr>
        <w:t>Section 8.6</w:t>
      </w:r>
      <w:r>
        <w:rPr>
          <w:rFonts w:ascii="Times New Roman" w:hAnsi="Times New Roman"/>
          <w:sz w:val="20"/>
        </w:rPr>
        <w:t xml:space="preserve">, by giving the other parties written notice of the new address in the manner set forth above. </w:t>
      </w:r>
    </w:p>
    <w:p w14:paraId="15DBA003"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8.7 </w:t>
      </w:r>
      <w:r>
        <w:rPr>
          <w:rFonts w:ascii="Times New Roman" w:hAnsi="Times New Roman"/>
          <w:sz w:val="20"/>
          <w:u w:val="single"/>
        </w:rPr>
        <w:t>Amendments</w:t>
      </w:r>
      <w:r>
        <w:rPr>
          <w:rFonts w:ascii="Times New Roman" w:hAnsi="Times New Roman"/>
          <w:sz w:val="20"/>
        </w:rPr>
        <w:t>. Any term of this Agreement may be amended only with the written consent of the Compan</w:t>
      </w:r>
      <w:r>
        <w:rPr>
          <w:rFonts w:ascii="Times New Roman" w:hAnsi="Times New Roman"/>
          <w:sz w:val="20"/>
        </w:rPr>
        <w:t xml:space="preserve">y and the Investor. </w:t>
      </w:r>
    </w:p>
    <w:p w14:paraId="25964F8F"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8.8 </w:t>
      </w:r>
      <w:r>
        <w:rPr>
          <w:rFonts w:ascii="Times New Roman" w:hAnsi="Times New Roman"/>
          <w:sz w:val="20"/>
          <w:u w:val="single"/>
        </w:rPr>
        <w:t>Delays or Omissions</w:t>
      </w:r>
      <w:r>
        <w:rPr>
          <w:rFonts w:ascii="Times New Roman" w:hAnsi="Times New Roman"/>
          <w:sz w:val="20"/>
        </w:rPr>
        <w:t xml:space="preserve">. No delay or omission to exercise any right, power, or remedy accruing to any Party, upon any breach or default of any other Party under this Agreement, shall impair any such right, power, or remedy of such Party, nor shall it be construed to be a waiver </w:t>
      </w:r>
      <w:r>
        <w:rPr>
          <w:rFonts w:ascii="Times New Roman" w:hAnsi="Times New Roman"/>
          <w:sz w:val="20"/>
        </w:rPr>
        <w:t>of any such breach or default, or an acquiescence therein, or of any similar breach of default thereafter occurring; nor shall any waiver of any other breach or default theretofore or thereafter occurring. Any waiver, permit, consent, or approval of any ki</w:t>
      </w:r>
      <w:r>
        <w:rPr>
          <w:rFonts w:ascii="Times New Roman" w:hAnsi="Times New Roman"/>
          <w:sz w:val="20"/>
        </w:rPr>
        <w:t>nd or character of any breach or default under this Agreement or any waiver thereof, must be in writing and shall be effective only to the extent specifically set forth in such writing. All remedies, either under this Agreement, or by law or otherwise affo</w:t>
      </w:r>
      <w:r>
        <w:rPr>
          <w:rFonts w:ascii="Times New Roman" w:hAnsi="Times New Roman"/>
          <w:sz w:val="20"/>
        </w:rPr>
        <w:t xml:space="preserve">rded to the Parties shall be cumulative and not alternative. </w:t>
      </w:r>
    </w:p>
    <w:p w14:paraId="1276EAD5"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8.9 </w:t>
      </w:r>
      <w:r>
        <w:rPr>
          <w:rFonts w:ascii="Times New Roman" w:hAnsi="Times New Roman"/>
          <w:sz w:val="20"/>
          <w:u w:val="single"/>
        </w:rPr>
        <w:t>Finder’s Fees</w:t>
      </w:r>
      <w:r>
        <w:rPr>
          <w:rFonts w:ascii="Times New Roman" w:hAnsi="Times New Roman"/>
          <w:sz w:val="20"/>
        </w:rPr>
        <w:t xml:space="preserve">. Each Party represents and warrants to the other Party that it has retained no finder or broker in connection with the transactions contemplated by this Agreement. </w:t>
      </w:r>
    </w:p>
    <w:p w14:paraId="771BA499" w14:textId="77777777" w:rsidR="001B461C" w:rsidRDefault="00435552">
      <w:pPr>
        <w:pStyle w:val="BodyText"/>
        <w:spacing w:after="0"/>
      </w:pPr>
      <w:r>
        <w:t> </w:t>
      </w:r>
    </w:p>
    <w:p w14:paraId="7A867CC3"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7 </w:t>
      </w:r>
      <w:r>
        <w:br w:type="page"/>
      </w:r>
    </w:p>
    <w:p w14:paraId="146D365C" w14:textId="77777777" w:rsidR="001B461C" w:rsidRDefault="001B461C">
      <w:pPr>
        <w:pStyle w:val="HorizontalLine"/>
        <w:pBdr>
          <w:bottom w:val="double" w:sz="6" w:space="0" w:color="808080"/>
        </w:pBdr>
      </w:pPr>
    </w:p>
    <w:p w14:paraId="3CCB2217" w14:textId="77777777" w:rsidR="001B461C" w:rsidRDefault="00435552">
      <w:pPr>
        <w:pStyle w:val="BodyText"/>
        <w:spacing w:after="0"/>
        <w:rPr>
          <w:rFonts w:ascii="Times New Roman" w:hAnsi="Times New Roman"/>
          <w:sz w:val="20"/>
        </w:rPr>
      </w:pPr>
      <w:r>
        <w:rPr>
          <w:rFonts w:ascii="Times New Roman" w:hAnsi="Times New Roman"/>
          <w:sz w:val="20"/>
        </w:rPr>
        <w:t>8.10</w:t>
      </w:r>
      <w:r>
        <w:rPr>
          <w:rFonts w:ascii="Times New Roman" w:hAnsi="Times New Roman"/>
          <w:sz w:val="20"/>
        </w:rPr>
        <w:t xml:space="preserve"> </w:t>
      </w:r>
      <w:r>
        <w:rPr>
          <w:rFonts w:ascii="Times New Roman" w:hAnsi="Times New Roman"/>
          <w:sz w:val="20"/>
          <w:u w:val="single"/>
        </w:rPr>
        <w:t>Interpretation; Titles and Subtitles</w:t>
      </w:r>
      <w:r>
        <w:rPr>
          <w:rFonts w:ascii="Times New Roman" w:hAnsi="Times New Roman"/>
          <w:sz w:val="20"/>
        </w:rPr>
        <w:t>. This Agreement shall be construed according to its fair language. The rule of construction to the effect that ambiguities are to be resolved against the drafting party shall not be employed in interpreting this Agreem</w:t>
      </w:r>
      <w:r>
        <w:rPr>
          <w:rFonts w:ascii="Times New Roman" w:hAnsi="Times New Roman"/>
          <w:sz w:val="20"/>
        </w:rPr>
        <w:t>ent. The titles of the sections and subsections of this Agreement are for convenience of reference only and are not to be considered in construing this Agreement. Unless otherwise expressly provided herein, all references to Sections and Exhibits herein ar</w:t>
      </w:r>
      <w:r>
        <w:rPr>
          <w:rFonts w:ascii="Times New Roman" w:hAnsi="Times New Roman"/>
          <w:sz w:val="20"/>
        </w:rPr>
        <w:t>e to Sections and Exhibits of this Agreement. As used in this Agreement, the words “include” and “including,” and variations thereof, shall not be deemed to be terms of limitation, but rather shall be deemed to be followed by the words “without limitation.</w:t>
      </w:r>
      <w:r>
        <w:rPr>
          <w:rFonts w:ascii="Times New Roman" w:hAnsi="Times New Roman"/>
          <w:sz w:val="20"/>
        </w:rPr>
        <w:t xml:space="preserve">” </w:t>
      </w:r>
    </w:p>
    <w:p w14:paraId="57E7AECF"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8.11 </w:t>
      </w:r>
      <w:r>
        <w:rPr>
          <w:rFonts w:ascii="Times New Roman" w:hAnsi="Times New Roman"/>
          <w:sz w:val="20"/>
          <w:u w:val="single"/>
        </w:rPr>
        <w:t>Counterparts</w:t>
      </w:r>
      <w:r>
        <w:rPr>
          <w:rFonts w:ascii="Times New Roman" w:hAnsi="Times New Roman"/>
          <w:sz w:val="20"/>
        </w:rPr>
        <w:t xml:space="preserve">. This Agreement may be executed (including facsimile signature) in any number of counterparts, each of which shall be an original, but all of which together shall constitute one instrument. </w:t>
      </w:r>
    </w:p>
    <w:p w14:paraId="6E2A2EF6"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8.12 </w:t>
      </w:r>
      <w:r>
        <w:rPr>
          <w:rFonts w:ascii="Times New Roman" w:hAnsi="Times New Roman"/>
          <w:sz w:val="20"/>
          <w:u w:val="single"/>
        </w:rPr>
        <w:t>Severability</w:t>
      </w:r>
      <w:r>
        <w:rPr>
          <w:rFonts w:ascii="Times New Roman" w:hAnsi="Times New Roman"/>
          <w:sz w:val="20"/>
        </w:rPr>
        <w:t xml:space="preserve">. If any provision of this </w:t>
      </w:r>
      <w:r>
        <w:rPr>
          <w:rFonts w:ascii="Times New Roman" w:hAnsi="Times New Roman"/>
          <w:sz w:val="20"/>
        </w:rPr>
        <w:t>Agreement is found to be invalid or unenforceable, then such provision shall be construed, to the extent feasible, so as to render the provision enforceable and to provide for the consummation of the transactions contemplated hereby on substantially the sa</w:t>
      </w:r>
      <w:r>
        <w:rPr>
          <w:rFonts w:ascii="Times New Roman" w:hAnsi="Times New Roman"/>
          <w:sz w:val="20"/>
        </w:rPr>
        <w:t>me terms as originally set forth herein, and if no feasible interpretation would save such provision, it shall be severed from the remainder of this Agreement, which shall remain in full force and effect unless the severed provision is essential to the rig</w:t>
      </w:r>
      <w:r>
        <w:rPr>
          <w:rFonts w:ascii="Times New Roman" w:hAnsi="Times New Roman"/>
          <w:sz w:val="20"/>
        </w:rPr>
        <w:t>hts or benefits intended by the parties. In such event, the parties shall use best efforts to negotiate, in good faith, a substitute, valid and enforceable provision or agreement which most nearly effects the parties’ intent in entering into this Agreement</w:t>
      </w:r>
      <w:r>
        <w:rPr>
          <w:rFonts w:ascii="Times New Roman" w:hAnsi="Times New Roman"/>
          <w:sz w:val="20"/>
        </w:rPr>
        <w:t xml:space="preserve">. </w:t>
      </w:r>
    </w:p>
    <w:p w14:paraId="6358858E"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8.13 </w:t>
      </w:r>
      <w:r>
        <w:rPr>
          <w:rFonts w:ascii="Times New Roman" w:hAnsi="Times New Roman"/>
          <w:sz w:val="20"/>
          <w:u w:val="single"/>
        </w:rPr>
        <w:t>Further Assurances</w:t>
      </w:r>
      <w:r>
        <w:rPr>
          <w:rFonts w:ascii="Times New Roman" w:hAnsi="Times New Roman"/>
          <w:sz w:val="20"/>
        </w:rPr>
        <w:t>. Each Party shall from time to time and at all times hereafter make, do, execute, or cause or procure to be made, done, and executed such further acts, deeds, conveyances, consents, and assurances without further consideration, w</w:t>
      </w:r>
      <w:r>
        <w:rPr>
          <w:rFonts w:ascii="Times New Roman" w:hAnsi="Times New Roman"/>
          <w:sz w:val="20"/>
        </w:rPr>
        <w:t xml:space="preserve">hich may reasonably be required to effect the transactions contemplated by this Agreement. </w:t>
      </w:r>
    </w:p>
    <w:p w14:paraId="560891E5"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8.14 </w:t>
      </w:r>
      <w:r>
        <w:rPr>
          <w:rFonts w:ascii="Times New Roman" w:hAnsi="Times New Roman"/>
          <w:sz w:val="20"/>
          <w:u w:val="single"/>
        </w:rPr>
        <w:t>Dispute Resolution</w:t>
      </w:r>
      <w:r>
        <w:rPr>
          <w:rFonts w:ascii="Times New Roman" w:hAnsi="Times New Roman"/>
          <w:sz w:val="20"/>
        </w:rPr>
        <w:t xml:space="preserve">. </w:t>
      </w:r>
    </w:p>
    <w:p w14:paraId="21D1DAF4"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Consultation Between Parties</w:t>
      </w:r>
      <w:r>
        <w:rPr>
          <w:rFonts w:ascii="Times New Roman" w:hAnsi="Times New Roman"/>
          <w:sz w:val="20"/>
        </w:rPr>
        <w:t xml:space="preserve">. Any dispute, controversy or, claim or difference of any kind whatsoever arising out of, relating to, or </w:t>
      </w:r>
      <w:r>
        <w:rPr>
          <w:rFonts w:ascii="Times New Roman" w:hAnsi="Times New Roman"/>
          <w:sz w:val="20"/>
        </w:rPr>
        <w:t>in connection with this Agreement, or the breach, termination, or invalidity hereof (including the validity, scope, and enforceability of this arbitration provision) (the “</w:t>
      </w:r>
      <w:r>
        <w:rPr>
          <w:rFonts w:ascii="Times New Roman" w:hAnsi="Times New Roman"/>
          <w:b/>
          <w:sz w:val="20"/>
        </w:rPr>
        <w:t>Dispute</w:t>
      </w:r>
      <w:r>
        <w:rPr>
          <w:rFonts w:ascii="Times New Roman" w:hAnsi="Times New Roman"/>
          <w:sz w:val="20"/>
        </w:rPr>
        <w:t>”) shall first be attempted to be resolved through consultation between the P</w:t>
      </w:r>
      <w:r>
        <w:rPr>
          <w:rFonts w:ascii="Times New Roman" w:hAnsi="Times New Roman"/>
          <w:sz w:val="20"/>
        </w:rPr>
        <w:t>arties in good faith for a period of thirty (30) days after written notice has been sent by registered mail by any Party to the other Party (the “</w:t>
      </w:r>
      <w:r>
        <w:rPr>
          <w:rFonts w:ascii="Times New Roman" w:hAnsi="Times New Roman"/>
          <w:b/>
          <w:sz w:val="20"/>
        </w:rPr>
        <w:t>Consultation Period</w:t>
      </w:r>
      <w:r>
        <w:rPr>
          <w:rFonts w:ascii="Times New Roman" w:hAnsi="Times New Roman"/>
          <w:sz w:val="20"/>
        </w:rPr>
        <w:t xml:space="preserve">”). </w:t>
      </w:r>
    </w:p>
    <w:p w14:paraId="0AC9978A" w14:textId="77777777" w:rsidR="001B461C" w:rsidRDefault="00435552">
      <w:pPr>
        <w:pStyle w:val="BodyText"/>
        <w:spacing w:before="240" w:after="0"/>
        <w:rPr>
          <w:rFonts w:ascii="Times New Roman" w:hAnsi="Times New Roman"/>
          <w:sz w:val="20"/>
        </w:rPr>
      </w:pPr>
      <w:r>
        <w:rPr>
          <w:rFonts w:ascii="Times New Roman" w:hAnsi="Times New Roman"/>
          <w:sz w:val="20"/>
        </w:rPr>
        <w:t>(b)</w:t>
      </w:r>
      <w:r>
        <w:rPr>
          <w:rFonts w:ascii="Times New Roman" w:hAnsi="Times New Roman"/>
          <w:sz w:val="20"/>
          <w:u w:val="single"/>
        </w:rPr>
        <w:t xml:space="preserve"> Arbitration</w:t>
      </w:r>
      <w:r>
        <w:rPr>
          <w:rFonts w:ascii="Times New Roman" w:hAnsi="Times New Roman"/>
          <w:sz w:val="20"/>
        </w:rPr>
        <w:t>. If the Dispute remains unresolved upon expiration of the Consultation</w:t>
      </w:r>
      <w:r>
        <w:rPr>
          <w:rFonts w:ascii="Times New Roman" w:hAnsi="Times New Roman"/>
          <w:sz w:val="20"/>
        </w:rPr>
        <w:t xml:space="preserve"> Period, any Party may in its sole discretion elect to submit the matter to arbitration with notice to any other Party or Parties. The arbitration shall be conducted in Hong Kong and shall be administered by the Hong Kong International Arbitration Centre (</w:t>
      </w:r>
      <w:r>
        <w:rPr>
          <w:rFonts w:ascii="Times New Roman" w:hAnsi="Times New Roman"/>
          <w:sz w:val="20"/>
        </w:rPr>
        <w:t>“</w:t>
      </w:r>
      <w:r>
        <w:rPr>
          <w:rFonts w:ascii="Times New Roman" w:hAnsi="Times New Roman"/>
          <w:b/>
          <w:sz w:val="20"/>
        </w:rPr>
        <w:t>HKIAC</w:t>
      </w:r>
      <w:r>
        <w:rPr>
          <w:rFonts w:ascii="Times New Roman" w:hAnsi="Times New Roman"/>
          <w:sz w:val="20"/>
        </w:rPr>
        <w:t>”) in accordance with the HKIAC Administered Arbitration Rules in force at the time of the commencement of the arbitration. The arbitration tribunal shall consist of three arbitrators. The language of the arbitration shall be English. The decision of</w:t>
      </w:r>
      <w:r>
        <w:rPr>
          <w:rFonts w:ascii="Times New Roman" w:hAnsi="Times New Roman"/>
          <w:sz w:val="20"/>
        </w:rPr>
        <w:t xml:space="preserve"> the arbitrators (by rule of majority) shall be final and binding on the parties (including any decision on their fees) and their fees shall be borne and paid by the parties in such proportions as the arbitrators shall determine. </w:t>
      </w:r>
    </w:p>
    <w:p w14:paraId="72C734E3" w14:textId="77777777" w:rsidR="001B461C" w:rsidRDefault="00435552">
      <w:pPr>
        <w:pStyle w:val="BodyText"/>
        <w:spacing w:after="0"/>
      </w:pPr>
      <w:r>
        <w:t> </w:t>
      </w:r>
    </w:p>
    <w:p w14:paraId="5F44EBAA"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8 </w:t>
      </w:r>
      <w:r>
        <w:br w:type="page"/>
      </w:r>
    </w:p>
    <w:p w14:paraId="7211B4B1" w14:textId="77777777" w:rsidR="001B461C" w:rsidRDefault="001B461C">
      <w:pPr>
        <w:pStyle w:val="HorizontalLine"/>
        <w:pBdr>
          <w:bottom w:val="double" w:sz="6" w:space="0" w:color="808080"/>
        </w:pBdr>
      </w:pPr>
    </w:p>
    <w:p w14:paraId="2C4DE5A2" w14:textId="77777777" w:rsidR="001B461C" w:rsidRDefault="00435552">
      <w:pPr>
        <w:pStyle w:val="BodyText"/>
        <w:spacing w:after="0"/>
        <w:rPr>
          <w:rFonts w:ascii="Times New Roman" w:hAnsi="Times New Roman"/>
          <w:sz w:val="20"/>
        </w:rPr>
      </w:pPr>
      <w:r>
        <w:rPr>
          <w:rFonts w:ascii="Times New Roman" w:hAnsi="Times New Roman"/>
          <w:sz w:val="20"/>
        </w:rPr>
        <w:t xml:space="preserve">8.15 </w:t>
      </w:r>
      <w:r>
        <w:rPr>
          <w:rFonts w:ascii="Times New Roman" w:hAnsi="Times New Roman"/>
          <w:sz w:val="20"/>
          <w:u w:val="single"/>
        </w:rPr>
        <w:t>Expenses</w:t>
      </w:r>
      <w:r>
        <w:rPr>
          <w:rFonts w:ascii="Times New Roman" w:hAnsi="Times New Roman"/>
          <w:sz w:val="20"/>
        </w:rPr>
        <w:t xml:space="preserve">. The Investor and the Company shall bear their own cost and expense for consummation of the transaction contemplated hereunder. </w:t>
      </w:r>
    </w:p>
    <w:p w14:paraId="436F5117" w14:textId="77777777" w:rsidR="001B461C" w:rsidRDefault="00435552">
      <w:pPr>
        <w:pStyle w:val="BodyText"/>
        <w:spacing w:before="240" w:after="0"/>
        <w:jc w:val="center"/>
        <w:rPr>
          <w:rFonts w:ascii="Times New Roman" w:hAnsi="Times New Roman"/>
          <w:i/>
          <w:sz w:val="20"/>
        </w:rPr>
      </w:pPr>
      <w:r>
        <w:rPr>
          <w:rFonts w:ascii="Times New Roman" w:hAnsi="Times New Roman"/>
          <w:i/>
          <w:sz w:val="20"/>
        </w:rPr>
        <w:t xml:space="preserve">[The Remainder of this page has been intentionally left blank] </w:t>
      </w:r>
    </w:p>
    <w:p w14:paraId="2086C602" w14:textId="77777777" w:rsidR="001B461C" w:rsidRDefault="00435552">
      <w:pPr>
        <w:pStyle w:val="BodyText"/>
        <w:spacing w:after="0"/>
      </w:pPr>
      <w:r>
        <w:t> </w:t>
      </w:r>
    </w:p>
    <w:p w14:paraId="6D670EB8" w14:textId="77777777" w:rsidR="001B461C" w:rsidRDefault="00435552">
      <w:pPr>
        <w:pStyle w:val="BodyText"/>
        <w:spacing w:after="0"/>
        <w:jc w:val="center"/>
        <w:rPr>
          <w:rFonts w:ascii="Times New Roman" w:hAnsi="Times New Roman"/>
          <w:sz w:val="20"/>
        </w:rPr>
      </w:pPr>
      <w:r>
        <w:rPr>
          <w:rFonts w:ascii="Times New Roman" w:hAnsi="Times New Roman"/>
          <w:sz w:val="20"/>
        </w:rPr>
        <w:t xml:space="preserve">9 </w:t>
      </w:r>
      <w:r>
        <w:br w:type="page"/>
      </w:r>
    </w:p>
    <w:p w14:paraId="25AC9A70" w14:textId="77777777" w:rsidR="001B461C" w:rsidRDefault="001B461C">
      <w:pPr>
        <w:pStyle w:val="HorizontalLine"/>
        <w:pBdr>
          <w:bottom w:val="double" w:sz="6" w:space="0" w:color="808080"/>
        </w:pBdr>
      </w:pPr>
    </w:p>
    <w:p w14:paraId="69AD7C3F" w14:textId="77777777" w:rsidR="001B461C" w:rsidRDefault="00435552">
      <w:pPr>
        <w:pStyle w:val="BodyText"/>
        <w:spacing w:after="0"/>
        <w:rPr>
          <w:rFonts w:ascii="Times New Roman" w:hAnsi="Times New Roman"/>
          <w:sz w:val="20"/>
        </w:rPr>
      </w:pPr>
      <w:r>
        <w:rPr>
          <w:rFonts w:ascii="Times New Roman" w:hAnsi="Times New Roman"/>
          <w:b/>
          <w:sz w:val="20"/>
        </w:rPr>
        <w:t>IN WITNESS WHEREOF</w:t>
      </w:r>
      <w:r>
        <w:rPr>
          <w:rFonts w:ascii="Times New Roman" w:hAnsi="Times New Roman"/>
          <w:sz w:val="20"/>
        </w:rPr>
        <w:t>, the parties hereto have caused thei</w:t>
      </w:r>
      <w:r>
        <w:rPr>
          <w:rFonts w:ascii="Times New Roman" w:hAnsi="Times New Roman"/>
          <w:sz w:val="20"/>
        </w:rPr>
        <w:t xml:space="preserve">r respective duly authorized representatives to execute this Agreement as of the date and year first above written. </w:t>
      </w:r>
    </w:p>
    <w:p w14:paraId="3F847A9E" w14:textId="77777777" w:rsidR="001B461C" w:rsidRDefault="00435552">
      <w:pPr>
        <w:pStyle w:val="BodyText"/>
        <w:spacing w:after="0"/>
      </w:pPr>
      <w:r>
        <w:t> </w:t>
      </w:r>
    </w:p>
    <w:tbl>
      <w:tblPr>
        <w:tblW w:w="2000" w:type="pct"/>
        <w:jc w:val="right"/>
        <w:tblCellMar>
          <w:left w:w="0" w:type="dxa"/>
          <w:right w:w="0" w:type="dxa"/>
        </w:tblCellMar>
        <w:tblLook w:val="0000" w:firstRow="0" w:lastRow="0" w:firstColumn="0" w:lastColumn="0" w:noHBand="0" w:noVBand="0"/>
      </w:tblPr>
      <w:tblGrid>
        <w:gridCol w:w="378"/>
        <w:gridCol w:w="61"/>
        <w:gridCol w:w="3643"/>
      </w:tblGrid>
      <w:tr w:rsidR="001B461C" w14:paraId="4576EC4C" w14:textId="77777777">
        <w:trPr>
          <w:jc w:val="right"/>
        </w:trPr>
        <w:tc>
          <w:tcPr>
            <w:tcW w:w="378" w:type="dxa"/>
            <w:vAlign w:val="center"/>
          </w:tcPr>
          <w:p w14:paraId="5860D14B" w14:textId="77777777" w:rsidR="001B461C" w:rsidRDefault="001B461C">
            <w:pPr>
              <w:pStyle w:val="TableContents"/>
              <w:rPr>
                <w:sz w:val="4"/>
                <w:szCs w:val="4"/>
              </w:rPr>
            </w:pPr>
          </w:p>
        </w:tc>
        <w:tc>
          <w:tcPr>
            <w:tcW w:w="61" w:type="dxa"/>
            <w:vAlign w:val="bottom"/>
          </w:tcPr>
          <w:p w14:paraId="154A188B" w14:textId="77777777" w:rsidR="001B461C" w:rsidRDefault="001B461C">
            <w:pPr>
              <w:pStyle w:val="TableContents"/>
              <w:rPr>
                <w:sz w:val="4"/>
                <w:szCs w:val="4"/>
              </w:rPr>
            </w:pPr>
          </w:p>
        </w:tc>
        <w:tc>
          <w:tcPr>
            <w:tcW w:w="3643" w:type="dxa"/>
            <w:vAlign w:val="center"/>
          </w:tcPr>
          <w:p w14:paraId="569C4E5B" w14:textId="77777777" w:rsidR="001B461C" w:rsidRDefault="001B461C">
            <w:pPr>
              <w:pStyle w:val="TableContents"/>
              <w:rPr>
                <w:sz w:val="4"/>
                <w:szCs w:val="4"/>
              </w:rPr>
            </w:pPr>
          </w:p>
        </w:tc>
      </w:tr>
      <w:tr w:rsidR="001B461C" w14:paraId="78AC2A64" w14:textId="77777777">
        <w:trPr>
          <w:jc w:val="right"/>
        </w:trPr>
        <w:tc>
          <w:tcPr>
            <w:tcW w:w="4082" w:type="dxa"/>
            <w:gridSpan w:val="3"/>
          </w:tcPr>
          <w:p w14:paraId="7E540762" w14:textId="77777777" w:rsidR="001B461C" w:rsidRDefault="00435552">
            <w:pPr>
              <w:pStyle w:val="TableContents"/>
              <w:rPr>
                <w:b/>
              </w:rPr>
            </w:pPr>
            <w:r>
              <w:rPr>
                <w:b/>
              </w:rPr>
              <w:t>THE COMPANY:</w:t>
            </w:r>
          </w:p>
        </w:tc>
      </w:tr>
      <w:tr w:rsidR="001B461C" w14:paraId="4BEE38A3" w14:textId="77777777">
        <w:trPr>
          <w:trHeight w:val="240"/>
          <w:jc w:val="right"/>
        </w:trPr>
        <w:tc>
          <w:tcPr>
            <w:tcW w:w="4082" w:type="dxa"/>
            <w:gridSpan w:val="3"/>
            <w:vAlign w:val="center"/>
          </w:tcPr>
          <w:p w14:paraId="7FE33ED4" w14:textId="77777777" w:rsidR="001B461C" w:rsidRDefault="001B461C">
            <w:pPr>
              <w:pStyle w:val="TableContents"/>
              <w:rPr>
                <w:sz w:val="4"/>
                <w:szCs w:val="4"/>
              </w:rPr>
            </w:pPr>
          </w:p>
        </w:tc>
      </w:tr>
      <w:tr w:rsidR="001B461C" w14:paraId="440A3ED4" w14:textId="77777777">
        <w:trPr>
          <w:jc w:val="right"/>
        </w:trPr>
        <w:tc>
          <w:tcPr>
            <w:tcW w:w="4082" w:type="dxa"/>
            <w:gridSpan w:val="3"/>
          </w:tcPr>
          <w:p w14:paraId="0CFF952B" w14:textId="77777777" w:rsidR="001B461C" w:rsidRDefault="00435552">
            <w:pPr>
              <w:pStyle w:val="TableContents"/>
              <w:rPr>
                <w:b/>
              </w:rPr>
            </w:pPr>
            <w:r>
              <w:rPr>
                <w:b/>
              </w:rPr>
              <w:t>AMTD DIGITAL INC.</w:t>
            </w:r>
          </w:p>
        </w:tc>
      </w:tr>
      <w:tr w:rsidR="001B461C" w14:paraId="63D4BE6B" w14:textId="77777777">
        <w:trPr>
          <w:trHeight w:val="240"/>
          <w:jc w:val="right"/>
        </w:trPr>
        <w:tc>
          <w:tcPr>
            <w:tcW w:w="378" w:type="dxa"/>
            <w:vAlign w:val="center"/>
          </w:tcPr>
          <w:p w14:paraId="58192B4C" w14:textId="77777777" w:rsidR="001B461C" w:rsidRDefault="001B461C">
            <w:pPr>
              <w:pStyle w:val="TableContents"/>
              <w:rPr>
                <w:sz w:val="4"/>
                <w:szCs w:val="4"/>
              </w:rPr>
            </w:pPr>
          </w:p>
        </w:tc>
        <w:tc>
          <w:tcPr>
            <w:tcW w:w="3704" w:type="dxa"/>
            <w:gridSpan w:val="2"/>
            <w:vAlign w:val="center"/>
          </w:tcPr>
          <w:p w14:paraId="589EEC1B" w14:textId="77777777" w:rsidR="001B461C" w:rsidRDefault="001B461C">
            <w:pPr>
              <w:pStyle w:val="TableContents"/>
              <w:rPr>
                <w:sz w:val="4"/>
                <w:szCs w:val="4"/>
              </w:rPr>
            </w:pPr>
          </w:p>
        </w:tc>
      </w:tr>
      <w:tr w:rsidR="001B461C" w14:paraId="36FBFEDD" w14:textId="77777777">
        <w:trPr>
          <w:jc w:val="right"/>
        </w:trPr>
        <w:tc>
          <w:tcPr>
            <w:tcW w:w="378" w:type="dxa"/>
          </w:tcPr>
          <w:p w14:paraId="7399FD50" w14:textId="77777777" w:rsidR="001B461C" w:rsidRDefault="00435552">
            <w:pPr>
              <w:pStyle w:val="TableContents"/>
            </w:pPr>
            <w:r>
              <w:t>By:</w:t>
            </w:r>
          </w:p>
        </w:tc>
        <w:tc>
          <w:tcPr>
            <w:tcW w:w="61" w:type="dxa"/>
            <w:tcBorders>
              <w:bottom w:val="single" w:sz="2" w:space="0" w:color="000000"/>
            </w:tcBorders>
            <w:tcMar>
              <w:bottom w:w="28" w:type="dxa"/>
            </w:tcMar>
            <w:vAlign w:val="bottom"/>
          </w:tcPr>
          <w:p w14:paraId="7597DC39" w14:textId="77777777" w:rsidR="001B461C" w:rsidRDefault="00435552">
            <w:pPr>
              <w:pStyle w:val="TableContents"/>
            </w:pPr>
            <w:r>
              <w:t> </w:t>
            </w:r>
          </w:p>
        </w:tc>
        <w:tc>
          <w:tcPr>
            <w:tcW w:w="3643" w:type="dxa"/>
            <w:tcBorders>
              <w:bottom w:val="single" w:sz="2" w:space="0" w:color="000000"/>
            </w:tcBorders>
            <w:tcMar>
              <w:bottom w:w="28" w:type="dxa"/>
            </w:tcMar>
          </w:tcPr>
          <w:p w14:paraId="5DE861C7" w14:textId="77777777" w:rsidR="001B461C" w:rsidRDefault="00435552">
            <w:pPr>
              <w:pStyle w:val="TableContents"/>
            </w:pPr>
            <w:r>
              <w:t>/s/ Marcellus Wong</w:t>
            </w:r>
          </w:p>
        </w:tc>
      </w:tr>
      <w:tr w:rsidR="001B461C" w14:paraId="46412A56" w14:textId="77777777">
        <w:trPr>
          <w:jc w:val="right"/>
        </w:trPr>
        <w:tc>
          <w:tcPr>
            <w:tcW w:w="378" w:type="dxa"/>
          </w:tcPr>
          <w:p w14:paraId="7C6D2984" w14:textId="77777777" w:rsidR="001B461C" w:rsidRDefault="001B461C">
            <w:pPr>
              <w:pStyle w:val="TableContents"/>
              <w:rPr>
                <w:sz w:val="4"/>
                <w:szCs w:val="4"/>
              </w:rPr>
            </w:pPr>
          </w:p>
        </w:tc>
        <w:tc>
          <w:tcPr>
            <w:tcW w:w="61" w:type="dxa"/>
            <w:vAlign w:val="bottom"/>
          </w:tcPr>
          <w:p w14:paraId="02DEA6DE" w14:textId="77777777" w:rsidR="001B461C" w:rsidRDefault="00435552">
            <w:pPr>
              <w:pStyle w:val="TableContents"/>
            </w:pPr>
            <w:r>
              <w:t> </w:t>
            </w:r>
          </w:p>
        </w:tc>
        <w:tc>
          <w:tcPr>
            <w:tcW w:w="3643" w:type="dxa"/>
            <w:vAlign w:val="bottom"/>
          </w:tcPr>
          <w:p w14:paraId="32B43424" w14:textId="77777777" w:rsidR="001B461C" w:rsidRDefault="00435552">
            <w:pPr>
              <w:pStyle w:val="TableContents"/>
            </w:pPr>
            <w:r>
              <w:t>Name: Marcellus Wong</w:t>
            </w:r>
          </w:p>
        </w:tc>
      </w:tr>
      <w:tr w:rsidR="001B461C" w14:paraId="1025D556" w14:textId="77777777">
        <w:trPr>
          <w:jc w:val="right"/>
        </w:trPr>
        <w:tc>
          <w:tcPr>
            <w:tcW w:w="378" w:type="dxa"/>
          </w:tcPr>
          <w:p w14:paraId="4D020D3E" w14:textId="77777777" w:rsidR="001B461C" w:rsidRDefault="001B461C">
            <w:pPr>
              <w:pStyle w:val="TableContents"/>
              <w:rPr>
                <w:sz w:val="4"/>
                <w:szCs w:val="4"/>
              </w:rPr>
            </w:pPr>
          </w:p>
        </w:tc>
        <w:tc>
          <w:tcPr>
            <w:tcW w:w="61" w:type="dxa"/>
            <w:vAlign w:val="bottom"/>
          </w:tcPr>
          <w:p w14:paraId="62C2E1DB" w14:textId="77777777" w:rsidR="001B461C" w:rsidRDefault="00435552">
            <w:pPr>
              <w:pStyle w:val="TableContents"/>
            </w:pPr>
            <w:r>
              <w:t> </w:t>
            </w:r>
          </w:p>
        </w:tc>
        <w:tc>
          <w:tcPr>
            <w:tcW w:w="3643" w:type="dxa"/>
            <w:vAlign w:val="bottom"/>
          </w:tcPr>
          <w:p w14:paraId="695F82B2" w14:textId="77777777" w:rsidR="001B461C" w:rsidRDefault="00435552">
            <w:pPr>
              <w:pStyle w:val="TableContents"/>
            </w:pPr>
            <w:r>
              <w:t xml:space="preserve">Title: Executive Vice Chairman of </w:t>
            </w:r>
            <w:r>
              <w:t>AMTD Group</w:t>
            </w:r>
          </w:p>
        </w:tc>
      </w:tr>
    </w:tbl>
    <w:p w14:paraId="16760296" w14:textId="77777777" w:rsidR="001B461C" w:rsidRDefault="00435552">
      <w:pPr>
        <w:pStyle w:val="HorizontalLine"/>
        <w:pBdr>
          <w:bottom w:val="double" w:sz="6" w:space="0" w:color="808080"/>
        </w:pBdr>
      </w:pPr>
      <w:r>
        <w:br w:type="page"/>
      </w:r>
    </w:p>
    <w:p w14:paraId="484DECC3" w14:textId="77777777" w:rsidR="001B461C" w:rsidRDefault="00435552">
      <w:pPr>
        <w:pStyle w:val="BodyText"/>
        <w:spacing w:after="0"/>
        <w:rPr>
          <w:rFonts w:ascii="Times New Roman" w:hAnsi="Times New Roman"/>
          <w:sz w:val="20"/>
        </w:rPr>
      </w:pPr>
      <w:r>
        <w:rPr>
          <w:rFonts w:ascii="Times New Roman" w:hAnsi="Times New Roman"/>
          <w:b/>
          <w:sz w:val="20"/>
        </w:rPr>
        <w:lastRenderedPageBreak/>
        <w:t>IN WITNESS WHEREOF</w:t>
      </w:r>
      <w:r>
        <w:rPr>
          <w:rFonts w:ascii="Times New Roman" w:hAnsi="Times New Roman"/>
          <w:sz w:val="20"/>
        </w:rPr>
        <w:t xml:space="preserve">, the parties hereto have caused their respective duly authorized representatives to execute this Agreement as of the date and year first above written. </w:t>
      </w:r>
    </w:p>
    <w:p w14:paraId="7080DE7C" w14:textId="77777777" w:rsidR="001B461C" w:rsidRDefault="00435552">
      <w:pPr>
        <w:pStyle w:val="BodyText"/>
        <w:spacing w:after="0"/>
      </w:pPr>
      <w:r>
        <w:t> </w:t>
      </w:r>
    </w:p>
    <w:tbl>
      <w:tblPr>
        <w:tblW w:w="2000" w:type="pct"/>
        <w:jc w:val="right"/>
        <w:tblCellMar>
          <w:left w:w="0" w:type="dxa"/>
          <w:right w:w="0" w:type="dxa"/>
        </w:tblCellMar>
        <w:tblLook w:val="0000" w:firstRow="0" w:lastRow="0" w:firstColumn="0" w:lastColumn="0" w:noHBand="0" w:noVBand="0"/>
      </w:tblPr>
      <w:tblGrid>
        <w:gridCol w:w="390"/>
        <w:gridCol w:w="60"/>
        <w:gridCol w:w="3632"/>
      </w:tblGrid>
      <w:tr w:rsidR="001B461C" w14:paraId="2E3CF981" w14:textId="77777777">
        <w:trPr>
          <w:jc w:val="right"/>
        </w:trPr>
        <w:tc>
          <w:tcPr>
            <w:tcW w:w="390" w:type="dxa"/>
            <w:vAlign w:val="center"/>
          </w:tcPr>
          <w:p w14:paraId="1AE43F99" w14:textId="77777777" w:rsidR="001B461C" w:rsidRDefault="001B461C">
            <w:pPr>
              <w:pStyle w:val="TableContents"/>
              <w:rPr>
                <w:sz w:val="4"/>
                <w:szCs w:val="4"/>
              </w:rPr>
            </w:pPr>
          </w:p>
        </w:tc>
        <w:tc>
          <w:tcPr>
            <w:tcW w:w="60" w:type="dxa"/>
            <w:vAlign w:val="bottom"/>
          </w:tcPr>
          <w:p w14:paraId="4168907F" w14:textId="77777777" w:rsidR="001B461C" w:rsidRDefault="001B461C">
            <w:pPr>
              <w:pStyle w:val="TableContents"/>
              <w:rPr>
                <w:sz w:val="4"/>
                <w:szCs w:val="4"/>
              </w:rPr>
            </w:pPr>
          </w:p>
        </w:tc>
        <w:tc>
          <w:tcPr>
            <w:tcW w:w="3632" w:type="dxa"/>
            <w:vAlign w:val="center"/>
          </w:tcPr>
          <w:p w14:paraId="637C2FA7" w14:textId="77777777" w:rsidR="001B461C" w:rsidRDefault="001B461C">
            <w:pPr>
              <w:pStyle w:val="TableContents"/>
              <w:rPr>
                <w:sz w:val="4"/>
                <w:szCs w:val="4"/>
              </w:rPr>
            </w:pPr>
          </w:p>
        </w:tc>
      </w:tr>
      <w:tr w:rsidR="001B461C" w14:paraId="5175CF32" w14:textId="77777777">
        <w:trPr>
          <w:jc w:val="right"/>
        </w:trPr>
        <w:tc>
          <w:tcPr>
            <w:tcW w:w="4082" w:type="dxa"/>
            <w:gridSpan w:val="3"/>
          </w:tcPr>
          <w:p w14:paraId="743C898D" w14:textId="77777777" w:rsidR="001B461C" w:rsidRDefault="00435552">
            <w:pPr>
              <w:pStyle w:val="TableContents"/>
              <w:spacing w:after="20"/>
              <w:rPr>
                <w:rFonts w:ascii="Times New Roman" w:hAnsi="Times New Roman"/>
                <w:b/>
                <w:sz w:val="20"/>
              </w:rPr>
            </w:pPr>
            <w:r>
              <w:rPr>
                <w:rFonts w:ascii="Times New Roman" w:hAnsi="Times New Roman"/>
                <w:b/>
                <w:sz w:val="20"/>
              </w:rPr>
              <w:t>THE INVESTOR:</w:t>
            </w:r>
          </w:p>
        </w:tc>
      </w:tr>
      <w:tr w:rsidR="001B461C" w14:paraId="59969738" w14:textId="77777777">
        <w:trPr>
          <w:trHeight w:val="240"/>
          <w:jc w:val="right"/>
        </w:trPr>
        <w:tc>
          <w:tcPr>
            <w:tcW w:w="4082" w:type="dxa"/>
            <w:gridSpan w:val="3"/>
            <w:vAlign w:val="center"/>
          </w:tcPr>
          <w:p w14:paraId="2F9A9D70" w14:textId="77777777" w:rsidR="001B461C" w:rsidRDefault="001B461C">
            <w:pPr>
              <w:pStyle w:val="TableContents"/>
              <w:rPr>
                <w:sz w:val="4"/>
                <w:szCs w:val="4"/>
              </w:rPr>
            </w:pPr>
          </w:p>
        </w:tc>
      </w:tr>
      <w:tr w:rsidR="001B461C" w14:paraId="49F2CC80" w14:textId="77777777">
        <w:trPr>
          <w:jc w:val="right"/>
        </w:trPr>
        <w:tc>
          <w:tcPr>
            <w:tcW w:w="4082" w:type="dxa"/>
            <w:gridSpan w:val="3"/>
          </w:tcPr>
          <w:p w14:paraId="01342EC4" w14:textId="77777777" w:rsidR="001B461C" w:rsidRDefault="00435552">
            <w:pPr>
              <w:pStyle w:val="TableContents"/>
              <w:rPr>
                <w:b/>
              </w:rPr>
            </w:pPr>
            <w:r>
              <w:rPr>
                <w:b/>
              </w:rPr>
              <w:t>MAOYAN ENTERTAINMENT</w:t>
            </w:r>
          </w:p>
        </w:tc>
      </w:tr>
      <w:tr w:rsidR="001B461C" w14:paraId="2E08DD8E" w14:textId="77777777">
        <w:trPr>
          <w:trHeight w:val="240"/>
          <w:jc w:val="right"/>
        </w:trPr>
        <w:tc>
          <w:tcPr>
            <w:tcW w:w="390" w:type="dxa"/>
            <w:vAlign w:val="center"/>
          </w:tcPr>
          <w:p w14:paraId="029C264B" w14:textId="77777777" w:rsidR="001B461C" w:rsidRDefault="001B461C">
            <w:pPr>
              <w:pStyle w:val="TableContents"/>
              <w:rPr>
                <w:sz w:val="4"/>
                <w:szCs w:val="4"/>
              </w:rPr>
            </w:pPr>
          </w:p>
        </w:tc>
        <w:tc>
          <w:tcPr>
            <w:tcW w:w="3692" w:type="dxa"/>
            <w:gridSpan w:val="2"/>
            <w:vAlign w:val="center"/>
          </w:tcPr>
          <w:p w14:paraId="3B75B761" w14:textId="77777777" w:rsidR="001B461C" w:rsidRDefault="001B461C">
            <w:pPr>
              <w:pStyle w:val="TableContents"/>
              <w:rPr>
                <w:sz w:val="4"/>
                <w:szCs w:val="4"/>
              </w:rPr>
            </w:pPr>
          </w:p>
        </w:tc>
      </w:tr>
      <w:tr w:rsidR="001B461C" w14:paraId="3989F3B1" w14:textId="77777777">
        <w:trPr>
          <w:jc w:val="right"/>
        </w:trPr>
        <w:tc>
          <w:tcPr>
            <w:tcW w:w="390" w:type="dxa"/>
          </w:tcPr>
          <w:p w14:paraId="25286ED9" w14:textId="77777777" w:rsidR="001B461C" w:rsidRDefault="00435552">
            <w:pPr>
              <w:pStyle w:val="TableContents"/>
            </w:pPr>
            <w:r>
              <w:t>By:</w:t>
            </w:r>
          </w:p>
        </w:tc>
        <w:tc>
          <w:tcPr>
            <w:tcW w:w="60" w:type="dxa"/>
            <w:tcBorders>
              <w:bottom w:val="single" w:sz="2" w:space="0" w:color="000000"/>
            </w:tcBorders>
            <w:tcMar>
              <w:bottom w:w="28" w:type="dxa"/>
            </w:tcMar>
            <w:vAlign w:val="bottom"/>
          </w:tcPr>
          <w:p w14:paraId="1B3141A4" w14:textId="77777777" w:rsidR="001B461C" w:rsidRDefault="00435552">
            <w:pPr>
              <w:pStyle w:val="TableContents"/>
            </w:pPr>
            <w:r>
              <w:t> </w:t>
            </w:r>
          </w:p>
        </w:tc>
        <w:tc>
          <w:tcPr>
            <w:tcW w:w="3632" w:type="dxa"/>
            <w:tcBorders>
              <w:bottom w:val="single" w:sz="2" w:space="0" w:color="000000"/>
            </w:tcBorders>
            <w:tcMar>
              <w:bottom w:w="28" w:type="dxa"/>
            </w:tcMar>
          </w:tcPr>
          <w:p w14:paraId="4BAFFD01" w14:textId="77777777" w:rsidR="001B461C" w:rsidRDefault="00435552">
            <w:pPr>
              <w:pStyle w:val="TableContents"/>
            </w:pPr>
            <w:r>
              <w:t xml:space="preserve">/s/ </w:t>
            </w:r>
            <w:r>
              <w:t>Authorized Signatory</w:t>
            </w:r>
          </w:p>
        </w:tc>
      </w:tr>
      <w:tr w:rsidR="001B461C" w14:paraId="573845AE" w14:textId="77777777">
        <w:trPr>
          <w:jc w:val="right"/>
        </w:trPr>
        <w:tc>
          <w:tcPr>
            <w:tcW w:w="390" w:type="dxa"/>
          </w:tcPr>
          <w:p w14:paraId="7C56AF74" w14:textId="77777777" w:rsidR="001B461C" w:rsidRDefault="001B461C">
            <w:pPr>
              <w:pStyle w:val="TableContents"/>
              <w:rPr>
                <w:sz w:val="4"/>
                <w:szCs w:val="4"/>
              </w:rPr>
            </w:pPr>
          </w:p>
        </w:tc>
        <w:tc>
          <w:tcPr>
            <w:tcW w:w="60" w:type="dxa"/>
            <w:vAlign w:val="bottom"/>
          </w:tcPr>
          <w:p w14:paraId="2495F366" w14:textId="77777777" w:rsidR="001B461C" w:rsidRDefault="00435552">
            <w:pPr>
              <w:pStyle w:val="TableContents"/>
            </w:pPr>
            <w:r>
              <w:t> </w:t>
            </w:r>
          </w:p>
        </w:tc>
        <w:tc>
          <w:tcPr>
            <w:tcW w:w="3632" w:type="dxa"/>
            <w:vAlign w:val="bottom"/>
          </w:tcPr>
          <w:p w14:paraId="27A74614" w14:textId="77777777" w:rsidR="001B461C" w:rsidRDefault="00435552">
            <w:pPr>
              <w:pStyle w:val="TableContents"/>
            </w:pPr>
            <w:r>
              <w:t>Name:</w:t>
            </w:r>
          </w:p>
        </w:tc>
      </w:tr>
      <w:tr w:rsidR="001B461C" w14:paraId="74D23CBA" w14:textId="77777777">
        <w:trPr>
          <w:jc w:val="right"/>
        </w:trPr>
        <w:tc>
          <w:tcPr>
            <w:tcW w:w="390" w:type="dxa"/>
          </w:tcPr>
          <w:p w14:paraId="24D60AF1" w14:textId="77777777" w:rsidR="001B461C" w:rsidRDefault="001B461C">
            <w:pPr>
              <w:pStyle w:val="TableContents"/>
              <w:rPr>
                <w:sz w:val="4"/>
                <w:szCs w:val="4"/>
              </w:rPr>
            </w:pPr>
          </w:p>
        </w:tc>
        <w:tc>
          <w:tcPr>
            <w:tcW w:w="60" w:type="dxa"/>
            <w:vAlign w:val="bottom"/>
          </w:tcPr>
          <w:p w14:paraId="426E7427" w14:textId="77777777" w:rsidR="001B461C" w:rsidRDefault="00435552">
            <w:pPr>
              <w:pStyle w:val="TableContents"/>
            </w:pPr>
            <w:r>
              <w:t> </w:t>
            </w:r>
          </w:p>
        </w:tc>
        <w:tc>
          <w:tcPr>
            <w:tcW w:w="3632" w:type="dxa"/>
            <w:vAlign w:val="bottom"/>
          </w:tcPr>
          <w:p w14:paraId="226AC347" w14:textId="77777777" w:rsidR="001B461C" w:rsidRDefault="00435552">
            <w:pPr>
              <w:pStyle w:val="TableContents"/>
            </w:pPr>
            <w:r>
              <w:t>Title:</w:t>
            </w:r>
          </w:p>
        </w:tc>
      </w:tr>
    </w:tbl>
    <w:p w14:paraId="4070A5C7" w14:textId="77777777" w:rsidR="001B461C" w:rsidRDefault="00435552">
      <w:pPr>
        <w:pStyle w:val="HorizontalLine"/>
        <w:pBdr>
          <w:bottom w:val="double" w:sz="6" w:space="0" w:color="808080"/>
        </w:pBdr>
      </w:pPr>
      <w:r>
        <w:br w:type="page"/>
      </w:r>
    </w:p>
    <w:p w14:paraId="3C94A706" w14:textId="77777777" w:rsidR="001B461C" w:rsidRDefault="00435552">
      <w:pPr>
        <w:pStyle w:val="BodyText"/>
        <w:spacing w:after="0"/>
        <w:jc w:val="center"/>
        <w:rPr>
          <w:rFonts w:ascii="Times New Roman" w:hAnsi="Times New Roman"/>
          <w:b/>
          <w:sz w:val="20"/>
          <w:u w:val="single"/>
        </w:rPr>
      </w:pPr>
      <w:r>
        <w:rPr>
          <w:rFonts w:ascii="Times New Roman" w:hAnsi="Times New Roman"/>
          <w:b/>
          <w:sz w:val="20"/>
          <w:u w:val="single"/>
        </w:rPr>
        <w:lastRenderedPageBreak/>
        <w:t xml:space="preserve">EXHIBIT A </w:t>
      </w:r>
    </w:p>
    <w:p w14:paraId="2DD861F4" w14:textId="77777777" w:rsidR="001B461C" w:rsidRDefault="00435552">
      <w:pPr>
        <w:pStyle w:val="BodyText"/>
        <w:spacing w:before="120" w:after="0"/>
        <w:jc w:val="center"/>
        <w:rPr>
          <w:rFonts w:ascii="Times New Roman" w:hAnsi="Times New Roman"/>
          <w:b/>
          <w:sz w:val="20"/>
          <w:u w:val="single"/>
        </w:rPr>
      </w:pPr>
      <w:r>
        <w:rPr>
          <w:rFonts w:ascii="Times New Roman" w:hAnsi="Times New Roman"/>
          <w:b/>
          <w:sz w:val="20"/>
          <w:u w:val="single"/>
        </w:rPr>
        <w:t xml:space="preserve">Notices </w:t>
      </w:r>
    </w:p>
    <w:p w14:paraId="6132A023" w14:textId="77777777" w:rsidR="001B461C" w:rsidRDefault="00435552">
      <w:pPr>
        <w:pStyle w:val="BodyText"/>
        <w:spacing w:before="240" w:after="0"/>
        <w:rPr>
          <w:rFonts w:ascii="Times New Roman" w:hAnsi="Times New Roman"/>
          <w:b/>
          <w:sz w:val="20"/>
          <w:u w:val="single"/>
        </w:rPr>
      </w:pPr>
      <w:r>
        <w:rPr>
          <w:rFonts w:ascii="Times New Roman" w:hAnsi="Times New Roman"/>
          <w:b/>
          <w:sz w:val="20"/>
          <w:u w:val="single"/>
        </w:rPr>
        <w:t xml:space="preserve">To the Company </w:t>
      </w:r>
    </w:p>
    <w:p w14:paraId="6E363807"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854"/>
        <w:gridCol w:w="9351"/>
      </w:tblGrid>
      <w:tr w:rsidR="001B461C" w14:paraId="0761F4D4" w14:textId="77777777">
        <w:tc>
          <w:tcPr>
            <w:tcW w:w="815" w:type="dxa"/>
          </w:tcPr>
          <w:p w14:paraId="3110522A" w14:textId="77777777" w:rsidR="001B461C" w:rsidRDefault="00435552">
            <w:pPr>
              <w:pStyle w:val="TableContents"/>
            </w:pPr>
            <w:r>
              <w:t>Address:</w:t>
            </w:r>
          </w:p>
        </w:tc>
        <w:tc>
          <w:tcPr>
            <w:tcW w:w="9389" w:type="dxa"/>
          </w:tcPr>
          <w:p w14:paraId="5A2CE534" w14:textId="77777777" w:rsidR="001B461C" w:rsidRDefault="00435552">
            <w:pPr>
              <w:pStyle w:val="TableContents"/>
              <w:rPr>
                <w:rFonts w:ascii="Times New Roman" w:hAnsi="Times New Roman"/>
                <w:sz w:val="20"/>
              </w:rPr>
            </w:pPr>
            <w:r>
              <w:rPr>
                <w:rFonts w:ascii="Times New Roman" w:hAnsi="Times New Roman"/>
                <w:sz w:val="20"/>
              </w:rPr>
              <w:t xml:space="preserve">23/F-25/F, Nexxus Building, 41 Connaught Road Central, Hong Kong </w:t>
            </w:r>
          </w:p>
        </w:tc>
      </w:tr>
    </w:tbl>
    <w:p w14:paraId="53FA22EF"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1000"/>
        <w:gridCol w:w="9205"/>
      </w:tblGrid>
      <w:tr w:rsidR="001B461C" w14:paraId="5FCF2B7F" w14:textId="77777777">
        <w:tc>
          <w:tcPr>
            <w:tcW w:w="925" w:type="dxa"/>
          </w:tcPr>
          <w:p w14:paraId="3E1B1453" w14:textId="77777777" w:rsidR="001B461C" w:rsidRDefault="00435552">
            <w:pPr>
              <w:pStyle w:val="TableContents"/>
            </w:pPr>
            <w:r>
              <w:t>Facsimile:</w:t>
            </w:r>
          </w:p>
        </w:tc>
        <w:tc>
          <w:tcPr>
            <w:tcW w:w="9280" w:type="dxa"/>
          </w:tcPr>
          <w:p w14:paraId="2FE78467" w14:textId="77777777" w:rsidR="001B461C" w:rsidRDefault="00435552">
            <w:pPr>
              <w:pStyle w:val="TableContents"/>
              <w:rPr>
                <w:rFonts w:ascii="Times New Roman" w:hAnsi="Times New Roman"/>
                <w:sz w:val="20"/>
              </w:rPr>
            </w:pPr>
            <w:r>
              <w:rPr>
                <w:rFonts w:ascii="Times New Roman" w:hAnsi="Times New Roman"/>
                <w:sz w:val="20"/>
              </w:rPr>
              <w:t xml:space="preserve">********************* </w:t>
            </w:r>
          </w:p>
        </w:tc>
      </w:tr>
    </w:tbl>
    <w:p w14:paraId="29C49D4D"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974"/>
        <w:gridCol w:w="9231"/>
      </w:tblGrid>
      <w:tr w:rsidR="001B461C" w14:paraId="10837D35" w14:textId="77777777">
        <w:tc>
          <w:tcPr>
            <w:tcW w:w="912" w:type="dxa"/>
          </w:tcPr>
          <w:p w14:paraId="76D3579B" w14:textId="77777777" w:rsidR="001B461C" w:rsidRDefault="00435552">
            <w:pPr>
              <w:pStyle w:val="TableContents"/>
            </w:pPr>
            <w:r>
              <w:t>Attention:</w:t>
            </w:r>
          </w:p>
        </w:tc>
        <w:tc>
          <w:tcPr>
            <w:tcW w:w="9293" w:type="dxa"/>
          </w:tcPr>
          <w:p w14:paraId="24D4BDD6" w14:textId="77777777" w:rsidR="001B461C" w:rsidRDefault="00435552">
            <w:pPr>
              <w:pStyle w:val="TableContents"/>
              <w:rPr>
                <w:rFonts w:ascii="Times New Roman" w:hAnsi="Times New Roman"/>
                <w:sz w:val="20"/>
              </w:rPr>
            </w:pPr>
            <w:r>
              <w:rPr>
                <w:rFonts w:ascii="Times New Roman" w:hAnsi="Times New Roman"/>
                <w:sz w:val="20"/>
              </w:rPr>
              <w:t xml:space="preserve">********************* </w:t>
            </w:r>
          </w:p>
        </w:tc>
      </w:tr>
    </w:tbl>
    <w:p w14:paraId="1F671227" w14:textId="77777777" w:rsidR="001B461C" w:rsidRDefault="00435552">
      <w:pPr>
        <w:pStyle w:val="BodyText"/>
        <w:spacing w:before="360" w:after="0"/>
        <w:rPr>
          <w:rFonts w:ascii="Times New Roman" w:hAnsi="Times New Roman"/>
          <w:b/>
          <w:sz w:val="20"/>
          <w:u w:val="single"/>
        </w:rPr>
      </w:pPr>
      <w:r>
        <w:rPr>
          <w:rFonts w:ascii="Times New Roman" w:hAnsi="Times New Roman"/>
          <w:b/>
          <w:sz w:val="20"/>
          <w:u w:val="single"/>
        </w:rPr>
        <w:t xml:space="preserve">To the Investor </w:t>
      </w:r>
    </w:p>
    <w:p w14:paraId="503028F9" w14:textId="77777777" w:rsidR="001B461C" w:rsidRDefault="00435552">
      <w:pPr>
        <w:pStyle w:val="BodyText"/>
        <w:spacing w:before="120" w:after="0"/>
        <w:rPr>
          <w:rFonts w:ascii="Times New Roman" w:hAnsi="Times New Roman"/>
          <w:sz w:val="20"/>
        </w:rPr>
      </w:pPr>
      <w:r>
        <w:rPr>
          <w:rFonts w:ascii="Times New Roman" w:hAnsi="Times New Roman"/>
          <w:sz w:val="20"/>
        </w:rPr>
        <w:t xml:space="preserve">Address: 1st floor, Building 3, Zhongguancun Yonghe Hangxing Science Park, No. 11 Hepingli East Street, Dongcheng District, Beijing, PRC </w:t>
      </w:r>
    </w:p>
    <w:p w14:paraId="62A0CB3F" w14:textId="77777777" w:rsidR="001B461C" w:rsidRDefault="00435552">
      <w:pPr>
        <w:pStyle w:val="BodyText"/>
        <w:spacing w:before="240" w:after="0"/>
        <w:rPr>
          <w:rFonts w:ascii="Times New Roman" w:hAnsi="Times New Roman"/>
          <w:sz w:val="20"/>
        </w:rPr>
      </w:pPr>
      <w:r>
        <w:rPr>
          <w:rFonts w:ascii="Times New Roman" w:hAnsi="Times New Roman"/>
          <w:sz w:val="20"/>
        </w:rPr>
        <w:t xml:space="preserve">Facsimile: </w:t>
      </w:r>
    </w:p>
    <w:p w14:paraId="4DA21437" w14:textId="77777777" w:rsidR="001B461C" w:rsidRDefault="00435552">
      <w:pPr>
        <w:pStyle w:val="BodyText"/>
        <w:spacing w:after="0"/>
      </w:pPr>
      <w:r>
        <w:t> </w:t>
      </w:r>
    </w:p>
    <w:tbl>
      <w:tblPr>
        <w:tblW w:w="5000" w:type="pct"/>
        <w:tblCellMar>
          <w:left w:w="0" w:type="dxa"/>
          <w:right w:w="0" w:type="dxa"/>
        </w:tblCellMar>
        <w:tblLook w:val="0000" w:firstRow="0" w:lastRow="0" w:firstColumn="0" w:lastColumn="0" w:noHBand="0" w:noVBand="0"/>
      </w:tblPr>
      <w:tblGrid>
        <w:gridCol w:w="974"/>
        <w:gridCol w:w="9231"/>
      </w:tblGrid>
      <w:tr w:rsidR="001B461C" w14:paraId="7BFA989E" w14:textId="77777777">
        <w:tc>
          <w:tcPr>
            <w:tcW w:w="912" w:type="dxa"/>
          </w:tcPr>
          <w:p w14:paraId="5DEE6423" w14:textId="77777777" w:rsidR="001B461C" w:rsidRDefault="00435552">
            <w:pPr>
              <w:pStyle w:val="TableContents"/>
            </w:pPr>
            <w:r>
              <w:t>Attention:</w:t>
            </w:r>
          </w:p>
        </w:tc>
        <w:tc>
          <w:tcPr>
            <w:tcW w:w="9293" w:type="dxa"/>
          </w:tcPr>
          <w:p w14:paraId="1D846A9C" w14:textId="77777777" w:rsidR="001B461C" w:rsidRDefault="00435552">
            <w:pPr>
              <w:pStyle w:val="TableContents"/>
              <w:rPr>
                <w:rFonts w:ascii="Times New Roman" w:hAnsi="Times New Roman"/>
                <w:sz w:val="20"/>
              </w:rPr>
            </w:pPr>
            <w:r>
              <w:rPr>
                <w:rFonts w:ascii="Times New Roman" w:hAnsi="Times New Roman"/>
                <w:sz w:val="20"/>
              </w:rPr>
              <w:t xml:space="preserve">********************* </w:t>
            </w:r>
          </w:p>
        </w:tc>
      </w:tr>
    </w:tbl>
    <w:p w14:paraId="57BDDD35" w14:textId="77777777" w:rsidR="001B461C" w:rsidRDefault="001B461C">
      <w:pPr>
        <w:pStyle w:val="BodyText"/>
      </w:pPr>
    </w:p>
    <w:sectPr w:rsidR="001B461C">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1C"/>
    <w:rsid w:val="001B461C"/>
    <w:rsid w:val="0043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B10E7"/>
  <w15:docId w15:val="{9FC18084-954F-2D4D-A3D9-A764C019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4271</Words>
  <Characters>22300</Characters>
  <Application>Microsoft Office Word</Application>
  <DocSecurity>0</DocSecurity>
  <Lines>398</Lines>
  <Paragraphs>138</Paragraphs>
  <ScaleCrop>false</ScaleCrop>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dc:description/>
  <cp:lastModifiedBy>Amit Sharma</cp:lastModifiedBy>
  <cp:revision>2</cp:revision>
  <dcterms:created xsi:type="dcterms:W3CDTF">2022-02-03T13:44:00Z</dcterms:created>
  <dcterms:modified xsi:type="dcterms:W3CDTF">2022-02-03T13:44:00Z</dcterms:modified>
  <dc:language>en-US</dc:language>
</cp:coreProperties>
</file>