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 w:after="0"/>
      </w:pPr>
    </w:p>
    <w:p>
      <w:pPr>
        <w:spacing w:before="0" w:after="80"/>
        <w:jc w:val="center"/>
      </w:pPr>
      <w:r>
        <w:rPr>
          <w:rFonts w:ascii="Arial" w:cs="Arial" w:eastAsia="Arial" w:hAnsi="Arial"/>
          <w:b/>
          <w:bCs/>
          <w:color w:val="1F4E79"/>
          <w:sz w:val="40"/>
          <w:szCs w:val="40"/>
        </w:rPr>
        <w:t xml:space="preserve">OFFRE DE SERVICES</w:t>
      </w:r>
    </w:p>
    <w:p>
      <w:pPr>
        <w:spacing w:before="60" w:after="0"/>
      </w:pPr>
    </w:p>
    <w:p>
      <w:pPr>
        <w:spacing w:before="0" w:after="40"/>
        <w:jc w:val="center"/>
      </w:pPr>
      <w:r>
        <w:rPr>
          <w:rFonts w:ascii="Arial" w:cs="Arial" w:eastAsia="Arial" w:hAnsi="Arial"/>
          <w:i/>
          <w:iCs/>
          <w:color w:val="595959"/>
          <w:sz w:val="22"/>
          <w:szCs w:val="22"/>
        </w:rPr>
        <w:t xml:space="preserve">Préparée pour</w:t>
      </w:r>
    </w:p>
    <w:p>
      <w:pPr>
        <w:spacing w:before="0" w:after="40"/>
        <w:jc w:val="center"/>
      </w:pPr>
      <w:r>
        <w:rPr>
          <w:rFonts w:ascii="Arial" w:cs="Arial" w:eastAsia="Arial" w:hAnsi="Arial"/>
          <w:b/>
          <w:bCs/>
          <w:sz w:val="28"/>
          <w:szCs w:val="28"/>
        </w:rPr>
        <w:t xml:space="preserve">[NOM DU CLIENT]</w:t>
      </w:r>
    </w:p>
    <w:p>
      <w:pPr>
        <w:spacing w:before="40" w:after="0"/>
      </w:pPr>
    </w:p>
    <w:p>
      <w:pPr>
        <w:spacing w:before="0" w:after="40"/>
        <w:jc w:val="center"/>
      </w:pPr>
      <w:r>
        <w:rPr>
          <w:rFonts w:ascii="Arial" w:cs="Arial" w:eastAsia="Arial" w:hAnsi="Arial"/>
          <w:i/>
          <w:iCs/>
          <w:color w:val="595959"/>
          <w:sz w:val="22"/>
          <w:szCs w:val="22"/>
        </w:rPr>
        <w:t xml:space="preserve">Par</w:t>
      </w:r>
    </w:p>
    <w:p>
      <w:pPr>
        <w:spacing w:before="0" w:after="40"/>
        <w:jc w:val="center"/>
      </w:pPr>
      <w:r>
        <w:rPr>
          <w:rFonts w:ascii="Arial" w:cs="Arial" w:eastAsia="Arial" w:hAnsi="Arial"/>
          <w:b/>
          <w:bCs/>
          <w:color w:val="1F4E79"/>
          <w:sz w:val="26"/>
          <w:szCs w:val="26"/>
        </w:rPr>
        <w:t xml:space="preserve">Somtech inc.</w:t>
      </w:r>
    </w:p>
    <w:p>
      <w:pPr>
        <w:spacing w:before="60" w:after="0"/>
      </w:pPr>
    </w:p>
    <w:p>
      <w:pPr>
        <w:spacing w:before="0" w:after="40"/>
        <w:jc w:val="center"/>
      </w:pPr>
      <w:r>
        <w:rPr>
          <w:rFonts w:ascii="Arial" w:cs="Arial" w:eastAsia="Arial" w:hAnsi="Arial"/>
          <w:sz w:val="22"/>
          <w:szCs w:val="22"/>
        </w:rPr>
        <w:t xml:space="preserve">Date : [DATE]</w:t>
      </w:r>
    </w:p>
    <w:p>
      <w:pPr>
        <w:spacing w:before="0" w:after="40"/>
        <w:jc w:val="center"/>
      </w:pPr>
      <w:r>
        <w:rPr>
          <w:rFonts w:ascii="Arial" w:cs="Arial" w:eastAsia="Arial" w:hAnsi="Arial"/>
          <w:sz w:val="22"/>
          <w:szCs w:val="22"/>
        </w:rPr>
        <w:t xml:space="preserve">Référence : ODS-[NUMÉRO]</w:t>
      </w:r>
    </w:p>
    <w:p>
      <w:pPr>
        <w:spacing w:before="40" w:after="0"/>
      </w:pPr>
    </w:p>
    <w:p>
      <w:pPr>
        <w:jc w:val="center"/>
      </w:pPr>
      <w:r>
        <w:rPr>
          <w:rFonts w:ascii="Arial" w:cs="Arial" w:eastAsia="Arial" w:hAnsi="Arial"/>
          <w:i/>
          <w:iCs/>
          <w:color w:val="595959"/>
          <w:sz w:val="20"/>
          <w:szCs w:val="20"/>
        </w:rPr>
        <w:t xml:space="preserve">Document confidentiel — Valide pour une période de 30 jours</w:t>
      </w:r>
    </w:p>
    <w:p>
      <w:r>
        <w:br w:type="page"/>
      </w:r>
    </w:p>
    <w:p>
      <w:pPr>
        <w:pStyle w:val="Heading1"/>
        <w:pBdr>
          <w:bottom w:val="single" w:color="1F4E79" w:sz="6" w:space="4"/>
        </w:pBdr>
        <w:spacing w:before="360" w:after="100"/>
      </w:pPr>
      <w:r>
        <w:rPr>
          <w:rFonts w:ascii="Arial" w:cs="Arial" w:eastAsia="Arial" w:hAnsi="Arial"/>
          <w:b/>
          <w:bCs/>
          <w:color w:val="1F4E79"/>
          <w:sz w:val="26"/>
          <w:szCs w:val="26"/>
        </w:rPr>
        <w:t xml:space="preserve">1. Présentation de Somtech Solutions</w:t>
      </w:r>
    </w:p>
    <w:p>
      <w:pPr>
        <w:spacing w:before="60" w:after="60"/>
      </w:pPr>
      <w:r>
        <w:rPr>
          <w:rFonts w:ascii="Arial" w:cs="Arial" w:eastAsia="Arial" w:hAnsi="Arial"/>
          <w:sz w:val="22"/>
          <w:szCs w:val="22"/>
        </w:rPr>
        <w:t xml:space="preserve">Somtech Solutions accompagne les PME visionnaires dans leur transformation numérique sans compromis sur leur identité. Nous combinons développement logiciel sur mesure, intelligence artificielle adaptative et hébergement sécurisé pour concevoir des solutions évolutives et alignées sur vos objectifs d'affaires.</w:t>
      </w:r>
    </w:p>
    <w:p>
      <w:pPr>
        <w:spacing w:before="60" w:after="0"/>
      </w:pPr>
    </w:p>
    <w:p>
      <w:pPr>
        <w:spacing w:before="60" w:after="60"/>
      </w:pPr>
      <w:r>
        <w:rPr>
          <w:rFonts w:ascii="Arial" w:cs="Arial" w:eastAsia="Arial" w:hAnsi="Arial"/>
          <w:sz w:val="22"/>
          <w:szCs w:val="22"/>
        </w:rPr>
        <w:t xml:space="preserve">La présente Offre de services est émise dans le cadre du Contrat-cadre de services (CCS) V4.0 signé entre Somtech inc. et le Client. Elle constitue le document d'engagement commercial pour le mandat décrit ci-après. En cas de contradiction, la hiérarchie documentaire suivante s'applique : CCS &gt; Cahier des charges &gt; Offre de services.</w:t>
      </w:r>
    </w:p>
    <w:p>
      <w:pPr>
        <w:pStyle w:val="Heading1"/>
        <w:pBdr>
          <w:bottom w:val="single" w:color="1F4E79" w:sz="6" w:space="4"/>
        </w:pBdr>
        <w:spacing w:before="360" w:after="100"/>
      </w:pPr>
      <w:r>
        <w:rPr>
          <w:rFonts w:ascii="Arial" w:cs="Arial" w:eastAsia="Arial" w:hAnsi="Arial"/>
          <w:b/>
          <w:bCs/>
          <w:color w:val="1F4E79"/>
          <w:sz w:val="26"/>
          <w:szCs w:val="26"/>
        </w:rPr>
        <w:t xml:space="preserve">2. Contexte et objectifs du mandat</w:t>
      </w:r>
    </w:p>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FFF8E1" w:val="clear"/>
            <w:tcMar>
              <w:top w:type="dxa" w:w="60"/>
              <w:left w:type="dxa" w:w="160"/>
              <w:bottom w:type="dxa" w:w="60"/>
              <w:right w:type="dxa" w:w="160"/>
            </w:tcMar>
          </w:tcPr>
          <w:p>
            <w:r>
              <w:rPr>
                <w:rFonts w:ascii="Arial" w:cs="Arial" w:eastAsia="Arial" w:hAnsi="Arial"/>
                <w:b/>
                <w:bCs/>
                <w:color w:val="5D4037"/>
                <w:sz w:val="20"/>
                <w:szCs w:val="20"/>
              </w:rPr>
              <w:t xml:space="preserve">📝 Note : </w:t>
            </w:r>
            <w:r>
              <w:rPr>
                <w:rFonts w:ascii="Arial" w:cs="Arial" w:eastAsia="Arial" w:hAnsi="Arial"/>
                <w:i/>
                <w:iCs/>
                <w:color w:val="5D4037"/>
                <w:sz w:val="20"/>
                <w:szCs w:val="20"/>
              </w:rPr>
              <w:t xml:space="preserve">Personnaliser cette section pour chaque client. Décrire le contexte, les enjeux actuels et les objectifs visés.</w:t>
            </w:r>
          </w:p>
        </w:tc>
      </w:tr>
    </w:tbl>
    <w:p>
      <w:pPr>
        <w:spacing w:before="60" w:after="0"/>
      </w:pPr>
    </w:p>
    <w:p>
      <w:pPr>
        <w:spacing w:before="60" w:after="60"/>
      </w:pPr>
      <w:r>
        <w:rPr>
          <w:rFonts w:ascii="Arial" w:cs="Arial" w:eastAsia="Arial" w:hAnsi="Arial"/>
          <w:i/>
          <w:iCs/>
          <w:color w:val="7F7F7F"/>
          <w:sz w:val="22"/>
          <w:szCs w:val="22"/>
        </w:rPr>
        <w:t xml:space="preserve">[Décrire ici le contexte du client, ses enjeux actuels et les objectifs visés par le présent mandat.]</w:t>
      </w:r>
    </w:p>
    <w:p>
      <w:pPr>
        <w:pStyle w:val="Heading1"/>
        <w:pBdr>
          <w:bottom w:val="single" w:color="1F4E79" w:sz="6" w:space="4"/>
        </w:pBdr>
        <w:spacing w:before="360" w:after="100"/>
      </w:pPr>
      <w:r>
        <w:rPr>
          <w:rFonts w:ascii="Arial" w:cs="Arial" w:eastAsia="Arial" w:hAnsi="Arial"/>
          <w:b/>
          <w:bCs/>
          <w:color w:val="1F4E79"/>
          <w:sz w:val="26"/>
          <w:szCs w:val="26"/>
        </w:rPr>
        <w:t xml:space="preserve">3. Description des services proposés</w:t>
      </w:r>
    </w:p>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FFF8E1" w:val="clear"/>
            <w:tcMar>
              <w:top w:type="dxa" w:w="60"/>
              <w:left w:type="dxa" w:w="160"/>
              <w:bottom w:type="dxa" w:w="60"/>
              <w:right w:type="dxa" w:w="160"/>
            </w:tcMar>
          </w:tcPr>
          <w:p>
            <w:r>
              <w:rPr>
                <w:rFonts w:ascii="Arial" w:cs="Arial" w:eastAsia="Arial" w:hAnsi="Arial"/>
                <w:b/>
                <w:bCs/>
                <w:color w:val="5D4037"/>
                <w:sz w:val="20"/>
                <w:szCs w:val="20"/>
              </w:rPr>
              <w:t xml:space="preserve">📝 Note : </w:t>
            </w:r>
            <w:r>
              <w:rPr>
                <w:rFonts w:ascii="Arial" w:cs="Arial" w:eastAsia="Arial" w:hAnsi="Arial"/>
                <w:i/>
                <w:iCs/>
                <w:color w:val="5D4037"/>
                <w:sz w:val="20"/>
                <w:szCs w:val="20"/>
              </w:rPr>
              <w:t xml:space="preserve">Détailler les modules, fonctionnalités et livrables spécifiques à ce mandat.</w:t>
            </w:r>
          </w:p>
        </w:tc>
      </w:tr>
    </w:tbl>
    <w:p>
      <w:pPr>
        <w:spacing w:before="60" w:after="0"/>
      </w:pPr>
    </w:p>
    <w:p>
      <w:pPr>
        <w:pStyle w:val="Heading2"/>
        <w:spacing w:before="200" w:after="60"/>
      </w:pPr>
      <w:r>
        <w:rPr>
          <w:rFonts w:ascii="Arial" w:cs="Arial" w:eastAsia="Arial" w:hAnsi="Arial"/>
          <w:b/>
          <w:bCs/>
          <w:color w:val="1F4E79"/>
          <w:sz w:val="23"/>
          <w:szCs w:val="23"/>
        </w:rPr>
        <w:t xml:space="preserve">3.1 [Nom du module 1]</w:t>
      </w:r>
    </w:p>
    <w:p>
      <w:pPr>
        <w:spacing w:before="60" w:after="60"/>
      </w:pPr>
      <w:r>
        <w:rPr>
          <w:rFonts w:ascii="Arial" w:cs="Arial" w:eastAsia="Arial" w:hAnsi="Arial"/>
          <w:i/>
          <w:iCs/>
          <w:color w:val="7F7F7F"/>
          <w:sz w:val="22"/>
          <w:szCs w:val="22"/>
        </w:rPr>
        <w:t xml:space="preserve">[Description détaillée du premier module, incluant les fonctionnalités, les intégrations prévues et les bénéfices pour le client.]</w:t>
      </w:r>
    </w:p>
    <w:p>
      <w:pPr>
        <w:spacing w:before="60" w:after="0"/>
      </w:pPr>
    </w:p>
    <w:p>
      <w:pPr>
        <w:pStyle w:val="Heading2"/>
        <w:spacing w:before="200" w:after="60"/>
      </w:pPr>
      <w:r>
        <w:rPr>
          <w:rFonts w:ascii="Arial" w:cs="Arial" w:eastAsia="Arial" w:hAnsi="Arial"/>
          <w:b/>
          <w:bCs/>
          <w:color w:val="1F4E79"/>
          <w:sz w:val="23"/>
          <w:szCs w:val="23"/>
        </w:rPr>
        <w:t xml:space="preserve">3.2 [Nom du module 2]</w:t>
      </w:r>
    </w:p>
    <w:p>
      <w:pPr>
        <w:spacing w:before="60" w:after="60"/>
      </w:pPr>
      <w:r>
        <w:rPr>
          <w:rFonts w:ascii="Arial" w:cs="Arial" w:eastAsia="Arial" w:hAnsi="Arial"/>
          <w:i/>
          <w:iCs/>
          <w:color w:val="7F7F7F"/>
          <w:sz w:val="22"/>
          <w:szCs w:val="22"/>
        </w:rPr>
        <w:t xml:space="preserve">[Description détaillée du deuxième module, le cas échéant.]</w:t>
      </w:r>
    </w:p>
    <w:p>
      <w:pPr>
        <w:spacing w:before="60" w:after="0"/>
      </w:pPr>
    </w:p>
    <w:p>
      <w:pPr>
        <w:pStyle w:val="Heading2"/>
        <w:spacing w:before="200" w:after="60"/>
      </w:pPr>
      <w:r>
        <w:rPr>
          <w:rFonts w:ascii="Arial" w:cs="Arial" w:eastAsia="Arial" w:hAnsi="Arial"/>
          <w:b/>
          <w:bCs/>
          <w:color w:val="1F4E79"/>
          <w:sz w:val="23"/>
          <w:szCs w:val="23"/>
        </w:rPr>
        <w:t xml:space="preserve">3.3 Hébergement infonuagique</w:t>
      </w:r>
    </w:p>
    <w:p>
      <w:pPr>
        <w:spacing w:before="60" w:after="60"/>
      </w:pPr>
      <w:r>
        <w:rPr>
          <w:rFonts w:ascii="Arial" w:cs="Arial" w:eastAsia="Arial" w:hAnsi="Arial"/>
          <w:sz w:val="22"/>
          <w:szCs w:val="22"/>
        </w:rPr>
        <w:t xml:space="preserve">Surveillance, sauvegardes, protection des données et accès réseau sur les infrastructures de Somtech ou de ses fournisseurs techniques autorisés, conformément à l'Annexe B (SLA Hébergement) du Contrat-cadre de services.</w:t>
      </w:r>
    </w:p>
    <w:p>
      <w:pPr>
        <w:spacing w:before="60" w:after="0"/>
      </w:pPr>
    </w:p>
    <w:p>
      <w:pPr>
        <w:pStyle w:val="Heading2"/>
        <w:spacing w:before="200" w:after="60"/>
      </w:pPr>
      <w:r>
        <w:rPr>
          <w:rFonts w:ascii="Arial" w:cs="Arial" w:eastAsia="Arial" w:hAnsi="Arial"/>
          <w:b/>
          <w:bCs/>
          <w:color w:val="1F4E79"/>
          <w:sz w:val="23"/>
          <w:szCs w:val="23"/>
        </w:rPr>
        <w:t xml:space="preserve">3.4 Accompagnement stratégique</w:t>
      </w:r>
    </w:p>
    <w:p>
      <w:pPr>
        <w:spacing w:before="60" w:after="60"/>
      </w:pPr>
      <w:r>
        <w:rPr>
          <w:rFonts w:ascii="Arial" w:cs="Arial" w:eastAsia="Arial" w:hAnsi="Arial"/>
          <w:sz w:val="22"/>
          <w:szCs w:val="22"/>
        </w:rPr>
        <w:t xml:space="preserve">Définition et amélioration des processus, ingénierie de données, gouvernance technologique et conseils stratégiques sur l'intégration de l'intelligence artificielle, selon le niveau d'implication requis.</w:t>
      </w:r>
    </w:p>
    <w:p>
      <w:pPr>
        <w:pStyle w:val="Heading1"/>
        <w:pBdr>
          <w:bottom w:val="single" w:color="1F4E79" w:sz="6" w:space="4"/>
        </w:pBdr>
        <w:spacing w:before="360" w:after="100"/>
      </w:pPr>
      <w:r>
        <w:rPr>
          <w:rFonts w:ascii="Arial" w:cs="Arial" w:eastAsia="Arial" w:hAnsi="Arial"/>
          <w:b/>
          <w:bCs/>
          <w:color w:val="1F4E79"/>
          <w:sz w:val="26"/>
          <w:szCs w:val="26"/>
        </w:rPr>
        <w:t xml:space="preserve">4. Responsabilités des Parties</w:t>
      </w:r>
    </w:p>
    <w:p>
      <w:pPr>
        <w:spacing w:before="60" w:after="60"/>
      </w:pPr>
      <w:r>
        <w:rPr>
          <w:rFonts w:ascii="Arial" w:cs="Arial" w:eastAsia="Arial" w:hAnsi="Arial"/>
          <w:sz w:val="22"/>
          <w:szCs w:val="22"/>
        </w:rPr>
        <w:t xml:space="preserve">Le succès du projet repose sur une collaboration étroite entre Somtech et le Client. Le tableau ci-dessous résume les principales responsabilités de chaque Partie.</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360"/>
        <w:gridCol w:w="1500"/>
        <w:gridCol w:w="1500"/>
      </w:tblGrid>
      <w:tr>
        <w:trPr>
          <w:tblHeader/>
        </w:trPr>
        <w:tc>
          <w:tcPr>
            <w:tcW w:type="dxa" w:w="63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left"/>
            </w:pPr>
            <w:r>
              <w:rPr>
                <w:rFonts w:ascii="Arial" w:cs="Arial" w:eastAsia="Arial" w:hAnsi="Arial"/>
                <w:b/>
                <w:bCs/>
                <w:color w:val="FFFFFF"/>
                <w:sz w:val="21"/>
                <w:szCs w:val="21"/>
              </w:rPr>
              <w:t xml:space="preserve">Responsabilité</w:t>
            </w:r>
          </w:p>
        </w:tc>
        <w:tc>
          <w:tcPr>
            <w:tcW w:type="dxa" w:w="1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1"/>
                <w:szCs w:val="21"/>
              </w:rPr>
              <w:t xml:space="preserve">Somtech</w:t>
            </w:r>
          </w:p>
        </w:tc>
        <w:tc>
          <w:tcPr>
            <w:tcW w:type="dxa" w:w="1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1"/>
                <w:szCs w:val="21"/>
              </w:rPr>
              <w:t xml:space="preserve">Client</w:t>
            </w:r>
          </w:p>
        </w:tc>
      </w:tr>
      <w:tr>
        <w:tc>
          <w:tcPr>
            <w:tcW w:type="dxa" w:w="63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left"/>
            </w:pPr>
            <w:r>
              <w:rPr>
                <w:rFonts w:ascii="Arial" w:cs="Arial" w:eastAsia="Arial" w:hAnsi="Arial"/>
                <w:b w:val="false"/>
                <w:bCs w:val="false"/>
                <w:sz w:val="21"/>
                <w:szCs w:val="21"/>
              </w:rPr>
              <w:t xml:space="preserve">Architecture et développement de la solution</w:t>
            </w:r>
          </w:p>
        </w:tc>
        <w:tc>
          <w:tcPr>
            <w:tcW w:type="dxa" w:w="1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center"/>
            </w:pPr>
            <w:r>
              <w:rPr>
                <w:rFonts w:ascii="Arial" w:cs="Arial" w:eastAsia="Arial" w:hAnsi="Arial"/>
                <w:b/>
                <w:bCs/>
                <w:sz w:val="21"/>
                <w:szCs w:val="21"/>
              </w:rPr>
              <w:t xml:space="preserve">✓</w:t>
            </w:r>
          </w:p>
        </w:tc>
        <w:tc>
          <w:tcPr>
            <w:tcW w:type="dxa" w:w="1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center"/>
            </w:pPr>
            <w:r>
              <w:rPr>
                <w:rFonts w:ascii="Arial" w:cs="Arial" w:eastAsia="Arial" w:hAnsi="Arial"/>
                <w:b w:val="false"/>
                <w:bCs w:val="false"/>
                <w:sz w:val="21"/>
                <w:szCs w:val="21"/>
              </w:rPr>
              <w:t xml:space="preserve"/>
            </w:r>
          </w:p>
        </w:tc>
      </w:tr>
      <w:tr>
        <w:tc>
          <w:tcPr>
            <w:tcW w:type="dxa" w:w="6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b w:val="false"/>
                <w:bCs w:val="false"/>
                <w:sz w:val="21"/>
                <w:szCs w:val="21"/>
              </w:rPr>
              <w:t xml:space="preserve">Identification et communication des sources / données à intégrer</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b w:val="false"/>
                <w:bCs w:val="false"/>
                <w:sz w:val="21"/>
                <w:szCs w:val="21"/>
              </w:rPr>
              <w:t xml:space="preserve"/>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b/>
                <w:bCs/>
                <w:sz w:val="21"/>
                <w:szCs w:val="21"/>
              </w:rPr>
              <w:t xml:space="preserve">✓</w:t>
            </w:r>
          </w:p>
        </w:tc>
      </w:tr>
      <w:tr>
        <w:tc>
          <w:tcPr>
            <w:tcW w:type="dxa" w:w="63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left"/>
            </w:pPr>
            <w:r>
              <w:rPr>
                <w:rFonts w:ascii="Arial" w:cs="Arial" w:eastAsia="Arial" w:hAnsi="Arial"/>
                <w:b w:val="false"/>
                <w:bCs w:val="false"/>
                <w:sz w:val="21"/>
                <w:szCs w:val="21"/>
              </w:rPr>
              <w:t xml:space="preserve">Fourniture des accès aux systèmes du Client requis</w:t>
            </w:r>
          </w:p>
        </w:tc>
        <w:tc>
          <w:tcPr>
            <w:tcW w:type="dxa" w:w="1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center"/>
            </w:pPr>
            <w:r>
              <w:rPr>
                <w:rFonts w:ascii="Arial" w:cs="Arial" w:eastAsia="Arial" w:hAnsi="Arial"/>
                <w:b w:val="false"/>
                <w:bCs w:val="false"/>
                <w:sz w:val="21"/>
                <w:szCs w:val="21"/>
              </w:rPr>
              <w:t xml:space="preserve"/>
            </w:r>
          </w:p>
        </w:tc>
        <w:tc>
          <w:tcPr>
            <w:tcW w:type="dxa" w:w="1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center"/>
            </w:pPr>
            <w:r>
              <w:rPr>
                <w:rFonts w:ascii="Arial" w:cs="Arial" w:eastAsia="Arial" w:hAnsi="Arial"/>
                <w:b/>
                <w:bCs/>
                <w:sz w:val="21"/>
                <w:szCs w:val="21"/>
              </w:rPr>
              <w:t xml:space="preserve">✓</w:t>
            </w:r>
          </w:p>
        </w:tc>
      </w:tr>
      <w:tr>
        <w:tc>
          <w:tcPr>
            <w:tcW w:type="dxa" w:w="6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b w:val="false"/>
                <w:bCs w:val="false"/>
                <w:sz w:val="21"/>
                <w:szCs w:val="21"/>
              </w:rPr>
              <w:t xml:space="preserve">Configuration et déploiement</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b/>
                <w:bCs/>
                <w:sz w:val="21"/>
                <w:szCs w:val="21"/>
              </w:rPr>
              <w:t xml:space="preserve">✓</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b w:val="false"/>
                <w:bCs w:val="false"/>
                <w:sz w:val="21"/>
                <w:szCs w:val="21"/>
              </w:rPr>
              <w:t xml:space="preserve"/>
            </w:r>
          </w:p>
        </w:tc>
      </w:tr>
      <w:tr>
        <w:tc>
          <w:tcPr>
            <w:tcW w:type="dxa" w:w="63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left"/>
            </w:pPr>
            <w:r>
              <w:rPr>
                <w:rFonts w:ascii="Arial" w:cs="Arial" w:eastAsia="Arial" w:hAnsi="Arial"/>
                <w:b w:val="false"/>
                <w:bCs w:val="false"/>
                <w:sz w:val="21"/>
                <w:szCs w:val="21"/>
              </w:rPr>
              <w:t xml:space="preserve">Désignation d'une personne-ressource interne (interlocuteur clé)</w:t>
            </w:r>
          </w:p>
        </w:tc>
        <w:tc>
          <w:tcPr>
            <w:tcW w:type="dxa" w:w="1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center"/>
            </w:pPr>
            <w:r>
              <w:rPr>
                <w:rFonts w:ascii="Arial" w:cs="Arial" w:eastAsia="Arial" w:hAnsi="Arial"/>
                <w:b w:val="false"/>
                <w:bCs w:val="false"/>
                <w:sz w:val="21"/>
                <w:szCs w:val="21"/>
              </w:rPr>
              <w:t xml:space="preserve"/>
            </w:r>
          </w:p>
        </w:tc>
        <w:tc>
          <w:tcPr>
            <w:tcW w:type="dxa" w:w="1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center"/>
            </w:pPr>
            <w:r>
              <w:rPr>
                <w:rFonts w:ascii="Arial" w:cs="Arial" w:eastAsia="Arial" w:hAnsi="Arial"/>
                <w:b/>
                <w:bCs/>
                <w:sz w:val="21"/>
                <w:szCs w:val="21"/>
              </w:rPr>
              <w:t xml:space="preserve">✓</w:t>
            </w:r>
          </w:p>
        </w:tc>
      </w:tr>
      <w:tr>
        <w:tc>
          <w:tcPr>
            <w:tcW w:type="dxa" w:w="6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b w:val="false"/>
                <w:bCs w:val="false"/>
                <w:sz w:val="21"/>
                <w:szCs w:val="21"/>
              </w:rPr>
              <w:t xml:space="preserve">Validation de la qualité des livrables</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b/>
                <w:bCs/>
                <w:sz w:val="21"/>
                <w:szCs w:val="21"/>
              </w:rPr>
              <w:t xml:space="preserve">✓</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b/>
                <w:bCs/>
                <w:sz w:val="21"/>
                <w:szCs w:val="21"/>
              </w:rPr>
              <w:t xml:space="preserve">✓</w:t>
            </w:r>
          </w:p>
        </w:tc>
      </w:tr>
      <w:tr>
        <w:tc>
          <w:tcPr>
            <w:tcW w:type="dxa" w:w="63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left"/>
            </w:pPr>
            <w:r>
              <w:rPr>
                <w:rFonts w:ascii="Arial" w:cs="Arial" w:eastAsia="Arial" w:hAnsi="Arial"/>
                <w:b w:val="false"/>
                <w:bCs w:val="false"/>
                <w:sz w:val="21"/>
                <w:szCs w:val="21"/>
              </w:rPr>
              <w:t xml:space="preserve">Formation des utilisateurs</w:t>
            </w:r>
          </w:p>
        </w:tc>
        <w:tc>
          <w:tcPr>
            <w:tcW w:type="dxa" w:w="1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center"/>
            </w:pPr>
            <w:r>
              <w:rPr>
                <w:rFonts w:ascii="Arial" w:cs="Arial" w:eastAsia="Arial" w:hAnsi="Arial"/>
                <w:b/>
                <w:bCs/>
                <w:sz w:val="21"/>
                <w:szCs w:val="21"/>
              </w:rPr>
              <w:t xml:space="preserve">✓</w:t>
            </w:r>
          </w:p>
        </w:tc>
        <w:tc>
          <w:tcPr>
            <w:tcW w:type="dxa" w:w="1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center"/>
            </w:pPr>
            <w:r>
              <w:rPr>
                <w:rFonts w:ascii="Arial" w:cs="Arial" w:eastAsia="Arial" w:hAnsi="Arial"/>
                <w:b w:val="false"/>
                <w:bCs w:val="false"/>
                <w:sz w:val="21"/>
                <w:szCs w:val="21"/>
              </w:rPr>
              <w:t xml:space="preserve"/>
            </w:r>
          </w:p>
        </w:tc>
      </w:tr>
      <w:tr>
        <w:tc>
          <w:tcPr>
            <w:tcW w:type="dxa" w:w="6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b w:val="false"/>
                <w:bCs w:val="false"/>
                <w:sz w:val="21"/>
                <w:szCs w:val="21"/>
              </w:rPr>
              <w:t xml:space="preserve">Maintenance et support technique post-livraison</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b/>
                <w:bCs/>
                <w:sz w:val="21"/>
                <w:szCs w:val="21"/>
              </w:rPr>
              <w:t xml:space="preserve">✓</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b w:val="false"/>
                <w:bCs w:val="false"/>
                <w:sz w:val="21"/>
                <w:szCs w:val="21"/>
              </w:rPr>
              <w:t xml:space="preserve"/>
            </w:r>
          </w:p>
        </w:tc>
      </w:tr>
      <w:tr>
        <w:tc>
          <w:tcPr>
            <w:tcW w:type="dxa" w:w="63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left"/>
            </w:pPr>
            <w:r>
              <w:rPr>
                <w:rFonts w:ascii="Arial" w:cs="Arial" w:eastAsia="Arial" w:hAnsi="Arial"/>
                <w:b w:val="false"/>
                <w:bCs w:val="false"/>
                <w:sz w:val="21"/>
                <w:szCs w:val="21"/>
              </w:rPr>
              <w:t xml:space="preserve">Mise à jour et gestion des données / contenus sources</w:t>
            </w:r>
          </w:p>
        </w:tc>
        <w:tc>
          <w:tcPr>
            <w:tcW w:type="dxa" w:w="1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center"/>
            </w:pPr>
            <w:r>
              <w:rPr>
                <w:rFonts w:ascii="Arial" w:cs="Arial" w:eastAsia="Arial" w:hAnsi="Arial"/>
                <w:b w:val="false"/>
                <w:bCs w:val="false"/>
                <w:sz w:val="21"/>
                <w:szCs w:val="21"/>
              </w:rPr>
              <w:t xml:space="preserve"/>
            </w:r>
          </w:p>
        </w:tc>
        <w:tc>
          <w:tcPr>
            <w:tcW w:type="dxa" w:w="1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center"/>
            </w:pPr>
            <w:r>
              <w:rPr>
                <w:rFonts w:ascii="Arial" w:cs="Arial" w:eastAsia="Arial" w:hAnsi="Arial"/>
                <w:b/>
                <w:bCs/>
                <w:sz w:val="21"/>
                <w:szCs w:val="21"/>
              </w:rPr>
              <w:t xml:space="preserve">✓</w:t>
            </w:r>
          </w:p>
        </w:tc>
      </w:tr>
    </w:tbl>
    <w:p>
      <w:pPr>
        <w:spacing w:before="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FFF8E1" w:val="clear"/>
            <w:tcMar>
              <w:top w:type="dxa" w:w="60"/>
              <w:left w:type="dxa" w:w="160"/>
              <w:bottom w:type="dxa" w:w="60"/>
              <w:right w:type="dxa" w:w="160"/>
            </w:tcMar>
          </w:tcPr>
          <w:p>
            <w:r>
              <w:rPr>
                <w:rFonts w:ascii="Arial" w:cs="Arial" w:eastAsia="Arial" w:hAnsi="Arial"/>
                <w:b/>
                <w:bCs/>
                <w:color w:val="5D4037"/>
                <w:sz w:val="20"/>
                <w:szCs w:val="20"/>
              </w:rPr>
              <w:t xml:space="preserve">📝 Note : </w:t>
            </w:r>
            <w:r>
              <w:rPr>
                <w:rFonts w:ascii="Arial" w:cs="Arial" w:eastAsia="Arial" w:hAnsi="Arial"/>
                <w:i/>
                <w:iCs/>
                <w:color w:val="5D4037"/>
                <w:sz w:val="20"/>
                <w:szCs w:val="20"/>
              </w:rPr>
              <w:t xml:space="preserve">Adapter ce tableau au contexte spécifique du mandat. Ajouter ou retirer des lignes selon les responsabilités convenues.</w:t>
            </w:r>
          </w:p>
        </w:tc>
      </w:tr>
    </w:tbl>
    <w:p>
      <w:pPr>
        <w:pStyle w:val="Heading1"/>
        <w:pBdr>
          <w:bottom w:val="single" w:color="1F4E79" w:sz="6" w:space="4"/>
        </w:pBdr>
        <w:spacing w:before="360" w:after="100"/>
      </w:pPr>
      <w:r>
        <w:rPr>
          <w:rFonts w:ascii="Arial" w:cs="Arial" w:eastAsia="Arial" w:hAnsi="Arial"/>
          <w:b/>
          <w:bCs/>
          <w:color w:val="1F4E79"/>
          <w:sz w:val="26"/>
          <w:szCs w:val="26"/>
        </w:rPr>
        <w:t xml:space="preserve">5. Prérequis techniques</w:t>
      </w:r>
    </w:p>
    <w:p>
      <w:pPr>
        <w:spacing w:before="60" w:after="60"/>
      </w:pPr>
      <w:r>
        <w:rPr>
          <w:rFonts w:ascii="Arial" w:cs="Arial" w:eastAsia="Arial" w:hAnsi="Arial"/>
          <w:sz w:val="22"/>
          <w:szCs w:val="22"/>
        </w:rPr>
        <w:t xml:space="preserve">Les éléments suivants doivent être fournis ou confirmés par le Client avant le début des travaux :</w:t>
      </w:r>
    </w:p>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FFF8E1" w:val="clear"/>
            <w:tcMar>
              <w:top w:type="dxa" w:w="60"/>
              <w:left w:type="dxa" w:w="160"/>
              <w:bottom w:type="dxa" w:w="60"/>
              <w:right w:type="dxa" w:w="160"/>
            </w:tcMar>
          </w:tcPr>
          <w:p>
            <w:r>
              <w:rPr>
                <w:rFonts w:ascii="Arial" w:cs="Arial" w:eastAsia="Arial" w:hAnsi="Arial"/>
                <w:b/>
                <w:bCs/>
                <w:color w:val="5D4037"/>
                <w:sz w:val="20"/>
                <w:szCs w:val="20"/>
              </w:rPr>
              <w:t xml:space="preserve">📝 Note : </w:t>
            </w:r>
            <w:r>
              <w:rPr>
                <w:rFonts w:ascii="Arial" w:cs="Arial" w:eastAsia="Arial" w:hAnsi="Arial"/>
                <w:i/>
                <w:iCs/>
                <w:color w:val="5D4037"/>
                <w:sz w:val="20"/>
                <w:szCs w:val="20"/>
              </w:rPr>
              <w:t xml:space="preserve">Adapter cette liste aux besoins spécifiques du mandat.</w:t>
            </w:r>
          </w:p>
        </w:tc>
      </w:tr>
    </w:tbl>
    <w:p>
      <w:pPr>
        <w:spacing w:before="60" w:after="0"/>
      </w:pPr>
    </w:p>
    <w:p>
      <w:pPr>
        <w:pStyle w:val="ListParagraph"/>
        <w:numPr>
          <w:ilvl w:val="0"/>
          <w:numId w:val="2"/>
        </w:numPr>
        <w:spacing w:before="40" w:after="40"/>
      </w:pPr>
      <w:r>
        <w:rPr>
          <w:rFonts w:ascii="Arial" w:cs="Arial" w:eastAsia="Arial" w:hAnsi="Arial"/>
          <w:sz w:val="22"/>
          <w:szCs w:val="22"/>
        </w:rPr>
        <w:t xml:space="preserve">[Accès aux systèmes requis (ex. comptes, permissions de lecture/écriture)]</w:t>
      </w:r>
    </w:p>
    <w:p>
      <w:pPr>
        <w:pStyle w:val="ListParagraph"/>
        <w:numPr>
          <w:ilvl w:val="0"/>
          <w:numId w:val="2"/>
        </w:numPr>
        <w:spacing w:before="40" w:after="40"/>
      </w:pPr>
      <w:r>
        <w:rPr>
          <w:rFonts w:ascii="Arial" w:cs="Arial" w:eastAsia="Arial" w:hAnsi="Arial"/>
          <w:sz w:val="22"/>
          <w:szCs w:val="22"/>
        </w:rPr>
        <w:t xml:space="preserve">[Identification précise des données ou sources à intégrer]</w:t>
      </w:r>
    </w:p>
    <w:p>
      <w:pPr>
        <w:pStyle w:val="ListParagraph"/>
        <w:numPr>
          <w:ilvl w:val="0"/>
          <w:numId w:val="2"/>
        </w:numPr>
        <w:spacing w:before="40" w:after="40"/>
      </w:pPr>
      <w:r>
        <w:rPr>
          <w:rFonts w:ascii="Arial" w:cs="Arial" w:eastAsia="Arial" w:hAnsi="Arial"/>
          <w:sz w:val="22"/>
          <w:szCs w:val="22"/>
        </w:rPr>
        <w:t xml:space="preserve">[Désignation d'une personne-ressource pour la validation et les tests]</w:t>
      </w:r>
    </w:p>
    <w:p>
      <w:pPr>
        <w:pStyle w:val="ListParagraph"/>
        <w:numPr>
          <w:ilvl w:val="0"/>
          <w:numId w:val="2"/>
        </w:numPr>
        <w:spacing w:before="40" w:after="40"/>
      </w:pPr>
      <w:r>
        <w:rPr>
          <w:rFonts w:ascii="Arial" w:cs="Arial" w:eastAsia="Arial" w:hAnsi="Arial"/>
          <w:sz w:val="22"/>
          <w:szCs w:val="22"/>
        </w:rPr>
        <w:t xml:space="preserve">[Infrastructure ou outils du Client nécessaires au déploiement]</w:t>
      </w:r>
    </w:p>
    <w:p>
      <w:pPr>
        <w:pStyle w:val="ListParagraph"/>
        <w:numPr>
          <w:ilvl w:val="0"/>
          <w:numId w:val="2"/>
        </w:numPr>
        <w:spacing w:before="40" w:after="40"/>
      </w:pPr>
      <w:r>
        <w:rPr>
          <w:rFonts w:ascii="Arial" w:cs="Arial" w:eastAsia="Arial" w:hAnsi="Arial"/>
          <w:sz w:val="22"/>
          <w:szCs w:val="22"/>
        </w:rPr>
        <w:t xml:space="preserve">[Disponibilité de l'équipe du Client pour les phases de validation et de formation]</w:t>
      </w:r>
    </w:p>
    <w:p>
      <w:pPr>
        <w:pStyle w:val="Heading1"/>
        <w:pBdr>
          <w:bottom w:val="single" w:color="1F4E79" w:sz="6" w:space="4"/>
        </w:pBdr>
        <w:spacing w:before="360" w:after="100"/>
      </w:pPr>
      <w:r>
        <w:rPr>
          <w:rFonts w:ascii="Arial" w:cs="Arial" w:eastAsia="Arial" w:hAnsi="Arial"/>
          <w:b/>
          <w:bCs/>
          <w:color w:val="1F4E79"/>
          <w:sz w:val="26"/>
          <w:szCs w:val="26"/>
        </w:rPr>
        <w:t xml:space="preserve">6. Échéancier prévisionnel</w:t>
      </w:r>
    </w:p>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FFF8E1" w:val="clear"/>
            <w:tcMar>
              <w:top w:type="dxa" w:w="60"/>
              <w:left w:type="dxa" w:w="160"/>
              <w:bottom w:type="dxa" w:w="60"/>
              <w:right w:type="dxa" w:w="160"/>
            </w:tcMar>
          </w:tcPr>
          <w:p>
            <w:r>
              <w:rPr>
                <w:rFonts w:ascii="Arial" w:cs="Arial" w:eastAsia="Arial" w:hAnsi="Arial"/>
                <w:b/>
                <w:bCs/>
                <w:color w:val="5D4037"/>
                <w:sz w:val="20"/>
                <w:szCs w:val="20"/>
              </w:rPr>
              <w:t xml:space="preserve">📝 Note : </w:t>
            </w:r>
            <w:r>
              <w:rPr>
                <w:rFonts w:ascii="Arial" w:cs="Arial" w:eastAsia="Arial" w:hAnsi="Arial"/>
                <w:i/>
                <w:iCs/>
                <w:color w:val="5D4037"/>
                <w:sz w:val="20"/>
                <w:szCs w:val="20"/>
              </w:rPr>
              <w:t xml:space="preserve">Présenter les grandes étapes du projet avec les dates prévisionnelles.</w:t>
            </w:r>
          </w:p>
        </w:tc>
      </w:tr>
    </w:tbl>
    <w:p>
      <w:pPr>
        <w:spacing w:before="60" w:after="0"/>
      </w:pPr>
    </w:p>
    <w:p>
      <w:pPr>
        <w:spacing w:before="60" w:after="60"/>
      </w:pPr>
      <w:r>
        <w:rPr>
          <w:rFonts w:ascii="Arial" w:cs="Arial" w:eastAsia="Arial" w:hAnsi="Arial"/>
          <w:i/>
          <w:iCs/>
          <w:color w:val="7F7F7F"/>
          <w:sz w:val="22"/>
          <w:szCs w:val="22"/>
        </w:rPr>
        <w:t xml:space="preserve">[Phase 1 — [Description] : du [DATE] au [DATE]]</w:t>
      </w:r>
    </w:p>
    <w:p>
      <w:pPr>
        <w:spacing w:before="60" w:after="60"/>
      </w:pPr>
      <w:r>
        <w:rPr>
          <w:rFonts w:ascii="Arial" w:cs="Arial" w:eastAsia="Arial" w:hAnsi="Arial"/>
          <w:i/>
          <w:iCs/>
          <w:color w:val="7F7F7F"/>
          <w:sz w:val="22"/>
          <w:szCs w:val="22"/>
        </w:rPr>
        <w:t xml:space="preserve">[Phase 2 — [Description] : du [DATE] au [DATE]]</w:t>
      </w:r>
    </w:p>
    <w:p>
      <w:pPr>
        <w:spacing w:before="60" w:after="60"/>
      </w:pPr>
      <w:r>
        <w:rPr>
          <w:rFonts w:ascii="Arial" w:cs="Arial" w:eastAsia="Arial" w:hAnsi="Arial"/>
          <w:i/>
          <w:iCs/>
          <w:color w:val="7F7F7F"/>
          <w:sz w:val="22"/>
          <w:szCs w:val="22"/>
        </w:rPr>
        <w:t xml:space="preserve">[Phase 3 — Déploiement et formation : du [DATE] au [DATE]]</w:t>
      </w:r>
    </w:p>
    <w:p>
      <w:pPr>
        <w:pStyle w:val="Heading1"/>
        <w:pBdr>
          <w:bottom w:val="single" w:color="1F4E79" w:sz="6" w:space="4"/>
        </w:pBdr>
        <w:spacing w:before="360" w:after="100"/>
      </w:pPr>
      <w:r>
        <w:rPr>
          <w:rFonts w:ascii="Arial" w:cs="Arial" w:eastAsia="Arial" w:hAnsi="Arial"/>
          <w:b/>
          <w:bCs/>
          <w:color w:val="1F4E79"/>
          <w:sz w:val="26"/>
          <w:szCs w:val="26"/>
        </w:rPr>
        <w:t xml:space="preserve">7. Tarification</w:t>
      </w:r>
    </w:p>
    <w:p>
      <w:pPr>
        <w:spacing w:before="60" w:after="60"/>
      </w:pPr>
      <w:r>
        <w:rPr>
          <w:rFonts w:ascii="Arial" w:cs="Arial" w:eastAsia="Arial" w:hAnsi="Arial"/>
          <w:sz w:val="22"/>
          <w:szCs w:val="22"/>
        </w:rPr>
        <w:t xml:space="preserve">Comme Somtech adopte un modèle de tarification fondé sur une évaluation continue des besoins, la présente offre couvre les frais liés à la phase de démarrage des travaux. Cette approche garantit une flexibilité maximale et une adéquation constante entre les investissements et les priorités réelles du projet.</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4160"/>
        <w:gridCol w:w="2000"/>
      </w:tblGrid>
      <w:tr>
        <w:trPr>
          <w:tblHeader/>
        </w:trPr>
        <w:tc>
          <w:tcPr>
            <w:tcW w:type="dxa" w:w="3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1"/>
                <w:szCs w:val="21"/>
              </w:rPr>
              <w:t xml:space="preserve">Étape / Module</w:t>
            </w:r>
          </w:p>
        </w:tc>
        <w:tc>
          <w:tcPr>
            <w:tcW w:type="dxa" w:w="41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1"/>
                <w:szCs w:val="21"/>
              </w:rPr>
              <w:t xml:space="preserve">Description</w:t>
            </w:r>
          </w:p>
        </w:tc>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1"/>
                <w:szCs w:val="21"/>
              </w:rPr>
              <w:t xml:space="preserve">Prix</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i/>
                <w:iCs/>
                <w:sz w:val="21"/>
                <w:szCs w:val="21"/>
              </w:rPr>
              <w:t xml:space="preserve">[Nom du module 1]</w:t>
            </w:r>
          </w:p>
        </w:tc>
        <w:tc>
          <w:tcPr>
            <w:tcW w:type="dxa" w:w="4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i/>
                <w:iCs/>
                <w:sz w:val="21"/>
                <w:szCs w:val="21"/>
              </w:rPr>
              <w:t xml:space="preserve">[Brève description du module et de ses principaux livrables]</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i/>
                <w:iCs/>
                <w:sz w:val="21"/>
                <w:szCs w:val="21"/>
              </w:rPr>
              <w:t xml:space="preserve">[xxxx,xx $]</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i/>
                <w:iCs/>
                <w:sz w:val="21"/>
                <w:szCs w:val="21"/>
              </w:rPr>
              <w:t xml:space="preserve">[Nom du module 2]</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iCs/>
                <w:sz w:val="21"/>
                <w:szCs w:val="21"/>
              </w:rPr>
              <w:t xml:space="preserve">[Brève description du module et de ses principaux livrables]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iCs/>
                <w:sz w:val="21"/>
                <w:szCs w:val="21"/>
              </w:rPr>
              <w:t xml:space="preserve">[xxxx,xx $]</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i w:val="false"/>
                <w:iCs w:val="false"/>
                <w:sz w:val="21"/>
                <w:szCs w:val="21"/>
              </w:rPr>
              <w:t xml:space="preserve">Accompagnement stratégique</w:t>
            </w:r>
          </w:p>
        </w:tc>
        <w:tc>
          <w:tcPr>
            <w:tcW w:type="dxa" w:w="4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i/>
                <w:iCs/>
                <w:sz w:val="21"/>
                <w:szCs w:val="21"/>
              </w:rPr>
              <w:t xml:space="preserve">[Décrire l'accompagnement inclus, le cas échéant]</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i w:val="false"/>
                <w:iCs w:val="false"/>
                <w:sz w:val="21"/>
                <w:szCs w:val="21"/>
              </w:rPr>
              <w:t xml:space="preserve">Inclus ou [xxx $]</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i w:val="false"/>
                <w:iCs w:val="false"/>
                <w:sz w:val="21"/>
                <w:szCs w:val="21"/>
              </w:rPr>
              <w:t xml:space="preserve">Hébergement infonuagique</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sz w:val="21"/>
                <w:szCs w:val="21"/>
              </w:rPr>
              <w:t xml:space="preserve">Hébergement, surveillance, sauvegardes, protection des données et accès réseau.</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iCs/>
                <w:sz w:val="21"/>
                <w:szCs w:val="21"/>
              </w:rPr>
              <w:t xml:space="preserve">[xxx $] / mois</w:t>
            </w:r>
          </w:p>
        </w:tc>
      </w:tr>
    </w:tbl>
    <w:p>
      <w:pPr>
        <w:spacing w:before="60" w:after="0"/>
      </w:pPr>
    </w:p>
    <w:p>
      <w:pPr>
        <w:spacing w:before="60" w:after="60"/>
      </w:pPr>
      <w:r>
        <w:rPr>
          <w:rFonts w:ascii="Arial" w:cs="Arial" w:eastAsia="Arial" w:hAnsi="Arial"/>
          <w:sz w:val="22"/>
          <w:szCs w:val="22"/>
        </w:rPr>
        <w:t xml:space="preserve">Note : </w:t>
      </w:r>
      <w:r>
        <w:rPr>
          <w:rFonts w:ascii="Arial" w:cs="Arial" w:eastAsia="Arial" w:hAnsi="Arial"/>
          <w:i/>
          <w:iCs/>
          <w:sz w:val="22"/>
          <w:szCs w:val="22"/>
        </w:rPr>
        <w:t xml:space="preserve">Les taxes applicables (TPS et TVQ) sont en sus de tous les montants indiqués.</w:t>
      </w:r>
    </w:p>
    <w:p>
      <w:pPr>
        <w:pStyle w:val="Heading1"/>
        <w:pBdr>
          <w:bottom w:val="single" w:color="1F4E79" w:sz="6" w:space="4"/>
        </w:pBdr>
        <w:spacing w:before="360" w:after="100"/>
      </w:pPr>
      <w:r>
        <w:rPr>
          <w:rFonts w:ascii="Arial" w:cs="Arial" w:eastAsia="Arial" w:hAnsi="Arial"/>
          <w:b/>
          <w:bCs/>
          <w:color w:val="1F4E79"/>
          <w:sz w:val="26"/>
          <w:szCs w:val="26"/>
        </w:rPr>
        <w:t xml:space="preserve">8. Modalités de paiement</w:t>
      </w:r>
    </w:p>
    <w:p>
      <w:pPr>
        <w:spacing w:before="60" w:after="60"/>
      </w:pPr>
      <w:r>
        <w:rPr>
          <w:rFonts w:ascii="Arial" w:cs="Arial" w:eastAsia="Arial" w:hAnsi="Arial"/>
          <w:sz w:val="22"/>
          <w:szCs w:val="22"/>
        </w:rPr>
        <w:t xml:space="preserve">Sauf entente contraire, les modalités de paiement suivantes s'appliquent :</w:t>
      </w:r>
    </w:p>
    <w:p>
      <w:pPr>
        <w:spacing w:before="40" w:after="0"/>
      </w:pPr>
    </w:p>
    <w:p>
      <w:pPr>
        <w:pStyle w:val="ListParagraph"/>
        <w:numPr>
          <w:ilvl w:val="0"/>
          <w:numId w:val="2"/>
        </w:numPr>
        <w:spacing w:before="40" w:after="40"/>
      </w:pPr>
      <w:r>
        <w:rPr>
          <w:rFonts w:ascii="Arial" w:cs="Arial" w:eastAsia="Arial" w:hAnsi="Arial"/>
          <w:sz w:val="22"/>
          <w:szCs w:val="22"/>
        </w:rPr>
        <w:t xml:space="preserve">Acompte de cinquante pour cent (50 %) du montant total de développement, payable à la signature de la présente Offre de services, et constituant la condition de démarrage des travaux ;</w:t>
      </w:r>
    </w:p>
    <w:p>
      <w:pPr>
        <w:pStyle w:val="ListParagraph"/>
        <w:numPr>
          <w:ilvl w:val="0"/>
          <w:numId w:val="2"/>
        </w:numPr>
        <w:spacing w:before="40" w:after="40"/>
      </w:pPr>
      <w:r>
        <w:rPr>
          <w:rFonts w:ascii="Arial" w:cs="Arial" w:eastAsia="Arial" w:hAnsi="Arial"/>
          <w:sz w:val="22"/>
          <w:szCs w:val="22"/>
        </w:rPr>
        <w:t xml:space="preserve">Versements aux jalons convenus dans le Cahier des charges ;</w:t>
      </w:r>
    </w:p>
    <w:p>
      <w:pPr>
        <w:pStyle w:val="ListParagraph"/>
        <w:numPr>
          <w:ilvl w:val="0"/>
          <w:numId w:val="2"/>
        </w:numPr>
        <w:spacing w:before="40" w:after="40"/>
      </w:pPr>
      <w:r>
        <w:rPr>
          <w:rFonts w:ascii="Arial" w:cs="Arial" w:eastAsia="Arial" w:hAnsi="Arial"/>
          <w:sz w:val="22"/>
          <w:szCs w:val="22"/>
        </w:rPr>
        <w:t xml:space="preserve">Solde à la livraison et à l'acceptation finale, conformément aux critères d'acceptation définis à la clause 10 ci-après.</w:t>
      </w:r>
    </w:p>
    <w:p>
      <w:pPr>
        <w:spacing w:before="60" w:after="0"/>
      </w:pPr>
    </w:p>
    <w:p>
      <w:pPr>
        <w:spacing w:before="60" w:after="60"/>
      </w:pPr>
      <w:r>
        <w:rPr>
          <w:rFonts w:ascii="Arial" w:cs="Arial" w:eastAsia="Arial" w:hAnsi="Arial"/>
          <w:sz w:val="22"/>
          <w:szCs w:val="22"/>
        </w:rPr>
        <w:t xml:space="preserve">Les frais mensuels d'hébergement sont facturés par carte de crédit, à terme à échoir, à compter de la mise en production. La première mensualité d'hébergement est payable à la signature de la présente Offre.</w:t>
      </w:r>
    </w:p>
    <w:p>
      <w:pPr>
        <w:spacing w:before="60" w:after="0"/>
      </w:pPr>
    </w:p>
    <w:p>
      <w:pPr>
        <w:spacing w:before="60" w:after="60"/>
      </w:pPr>
      <w:r>
        <w:rPr>
          <w:rFonts w:ascii="Arial" w:cs="Arial" w:eastAsia="Arial" w:hAnsi="Arial"/>
          <w:sz w:val="22"/>
          <w:szCs w:val="22"/>
        </w:rPr>
        <w:t xml:space="preserve">Les conditions complètes de paiement et de facturation sont définies à la clause 14 du Contrat-cadre de services (CCS).</w:t>
      </w:r>
    </w:p>
    <w:p>
      <w:pPr>
        <w:pStyle w:val="Heading1"/>
        <w:pBdr>
          <w:bottom w:val="single" w:color="1F4E79" w:sz="6" w:space="4"/>
        </w:pBdr>
        <w:spacing w:before="360" w:after="100"/>
      </w:pPr>
      <w:r>
        <w:rPr>
          <w:rFonts w:ascii="Arial" w:cs="Arial" w:eastAsia="Arial" w:hAnsi="Arial"/>
          <w:b/>
          <w:bCs/>
          <w:color w:val="1F4E79"/>
          <w:sz w:val="26"/>
          <w:szCs w:val="26"/>
        </w:rPr>
        <w:t xml:space="preserve">9. Conditions générales applicables</w:t>
      </w:r>
    </w:p>
    <w:p>
      <w:pPr>
        <w:spacing w:before="60" w:after="60"/>
      </w:pPr>
      <w:r>
        <w:rPr>
          <w:rFonts w:ascii="Arial" w:cs="Arial" w:eastAsia="Arial" w:hAnsi="Arial"/>
          <w:sz w:val="22"/>
          <w:szCs w:val="22"/>
        </w:rPr>
        <w:t xml:space="preserve">La présente Offre de services est assujettie aux termes et conditions du Contrat-cadre de services (CCS) V4.0 conclu entre Somtech inc. et le Client. En cas de contradiction entre la présente Offre de services et le CCS, les dispositions du CCS prévaudront, sauf stipulation contraire expresse et écrite.</w:t>
      </w:r>
    </w:p>
    <w:p>
      <w:pPr>
        <w:spacing w:before="60" w:after="0"/>
      </w:pPr>
    </w:p>
    <w:p>
      <w:pPr>
        <w:spacing w:before="60" w:after="60"/>
      </w:pPr>
      <w:r>
        <w:rPr>
          <w:rFonts w:ascii="Arial" w:cs="Arial" w:eastAsia="Arial" w:hAnsi="Arial"/>
          <w:sz w:val="22"/>
          <w:szCs w:val="22"/>
        </w:rPr>
        <w:t xml:space="preserve">Sans limiter la généralité de ce qui précède, les clauses suivantes du CCS s'appliquent intégralement à la présente offre :</w:t>
      </w:r>
    </w:p>
    <w:p>
      <w:pPr>
        <w:spacing w:before="40" w:after="0"/>
      </w:pPr>
    </w:p>
    <w:p>
      <w:pPr>
        <w:pStyle w:val="ListParagraph"/>
        <w:numPr>
          <w:ilvl w:val="0"/>
          <w:numId w:val="2"/>
        </w:numPr>
        <w:spacing w:before="40" w:after="40"/>
      </w:pPr>
      <w:r>
        <w:rPr>
          <w:rFonts w:ascii="Arial" w:cs="Arial" w:eastAsia="Arial" w:hAnsi="Arial"/>
          <w:sz w:val="22"/>
          <w:szCs w:val="22"/>
        </w:rPr>
        <w:t xml:space="preserve">Propriété intellectuelle (clause 9)</w:t>
      </w:r>
    </w:p>
    <w:p>
      <w:pPr>
        <w:pStyle w:val="ListParagraph"/>
        <w:numPr>
          <w:ilvl w:val="0"/>
          <w:numId w:val="2"/>
        </w:numPr>
        <w:spacing w:before="40" w:after="40"/>
      </w:pPr>
      <w:r>
        <w:rPr>
          <w:rFonts w:ascii="Arial" w:cs="Arial" w:eastAsia="Arial" w:hAnsi="Arial"/>
          <w:sz w:val="22"/>
          <w:szCs w:val="22"/>
        </w:rPr>
        <w:t xml:space="preserve">Confidentialité (clause 16)</w:t>
      </w:r>
    </w:p>
    <w:p>
      <w:pPr>
        <w:pStyle w:val="ListParagraph"/>
        <w:numPr>
          <w:ilvl w:val="0"/>
          <w:numId w:val="2"/>
        </w:numPr>
        <w:spacing w:before="40" w:after="40"/>
      </w:pPr>
      <w:r>
        <w:rPr>
          <w:rFonts w:ascii="Arial" w:cs="Arial" w:eastAsia="Arial" w:hAnsi="Arial"/>
          <w:sz w:val="22"/>
          <w:szCs w:val="22"/>
        </w:rPr>
        <w:t xml:space="preserve">Responsabilité et garanties (clause 15)</w:t>
      </w:r>
    </w:p>
    <w:p>
      <w:pPr>
        <w:pStyle w:val="ListParagraph"/>
        <w:numPr>
          <w:ilvl w:val="0"/>
          <w:numId w:val="2"/>
        </w:numPr>
        <w:spacing w:before="40" w:after="40"/>
      </w:pPr>
      <w:r>
        <w:rPr>
          <w:rFonts w:ascii="Arial" w:cs="Arial" w:eastAsia="Arial" w:hAnsi="Arial"/>
          <w:sz w:val="22"/>
          <w:szCs w:val="22"/>
        </w:rPr>
        <w:t xml:space="preserve">Réversibilité et sortie (clause 12)</w:t>
      </w:r>
    </w:p>
    <w:p>
      <w:pPr>
        <w:pStyle w:val="ListParagraph"/>
        <w:numPr>
          <w:ilvl w:val="0"/>
          <w:numId w:val="2"/>
        </w:numPr>
        <w:spacing w:before="40" w:after="40"/>
      </w:pPr>
      <w:r>
        <w:rPr>
          <w:rFonts w:ascii="Arial" w:cs="Arial" w:eastAsia="Arial" w:hAnsi="Arial"/>
          <w:sz w:val="22"/>
          <w:szCs w:val="22"/>
        </w:rPr>
        <w:t xml:space="preserve">Protection des renseignements personnels (clause 20.1)</w:t>
      </w:r>
    </w:p>
    <w:p>
      <w:pPr>
        <w:pStyle w:val="Heading1"/>
        <w:pBdr>
          <w:bottom w:val="single" w:color="1F4E79" w:sz="6" w:space="4"/>
        </w:pBdr>
        <w:spacing w:before="360" w:after="100"/>
      </w:pPr>
      <w:r>
        <w:rPr>
          <w:rFonts w:ascii="Arial" w:cs="Arial" w:eastAsia="Arial" w:hAnsi="Arial"/>
          <w:b/>
          <w:bCs/>
          <w:color w:val="1F4E79"/>
          <w:sz w:val="26"/>
          <w:szCs w:val="26"/>
        </w:rPr>
        <w:t xml:space="preserve">10. Critères d'acceptation des livrables</w:t>
      </w:r>
    </w:p>
    <w:p>
      <w:pPr>
        <w:spacing w:before="60" w:after="60"/>
      </w:pPr>
      <w:r>
        <w:rPr>
          <w:rFonts w:ascii="Arial" w:cs="Arial" w:eastAsia="Arial" w:hAnsi="Arial"/>
          <w:sz w:val="22"/>
          <w:szCs w:val="22"/>
        </w:rPr>
        <w:t xml:space="preserve">Le projet sera considéré comme livré et accepté lorsque les critères définis dans le tableau suivant seront satisfaits :</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4560"/>
        <w:gridCol w:w="1200"/>
      </w:tblGrid>
      <w:tr>
        <w:trPr>
          <w:tblHeader/>
        </w:trPr>
        <w:tc>
          <w:tcPr>
            <w:tcW w:type="dxa" w:w="3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1"/>
                <w:szCs w:val="21"/>
              </w:rPr>
              <w:t xml:space="preserve">Critère</w:t>
            </w:r>
          </w:p>
        </w:tc>
        <w:tc>
          <w:tcPr>
            <w:tcW w:type="dxa" w:w="45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1"/>
                <w:szCs w:val="21"/>
              </w:rPr>
              <w:t xml:space="preserve">Condition d'acceptation</w:t>
            </w:r>
          </w:p>
        </w:tc>
        <w:tc>
          <w:tcPr>
            <w:tcW w:type="dxa" w:w="1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1"/>
                <w:szCs w:val="21"/>
              </w:rPr>
              <w:t xml:space="preserve">Validé par</w:t>
            </w:r>
          </w:p>
        </w:tc>
      </w:tr>
      <w:tr>
        <w:tc>
          <w:tcPr>
            <w:tcW w:type="dxa" w:w="3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i/>
                <w:iCs/>
                <w:sz w:val="20"/>
                <w:szCs w:val="20"/>
              </w:rPr>
              <w:t xml:space="preserve">[Critère 1 — ex. Fonctionnalité principale]</w:t>
            </w:r>
          </w:p>
        </w:tc>
        <w:tc>
          <w:tcPr>
            <w:tcW w:type="dxa" w:w="4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i/>
                <w:iCs/>
                <w:sz w:val="20"/>
                <w:szCs w:val="20"/>
              </w:rPr>
              <w:t xml:space="preserve">[Décrire la condition mesurable, ex. : le système traite X avec un taux de succès de Y %]</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i w:val="false"/>
                <w:iCs w:val="false"/>
                <w:sz w:val="20"/>
                <w:szCs w:val="20"/>
              </w:rPr>
              <w:t xml:space="preserve">Les deux Parties</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i/>
                <w:iCs/>
                <w:sz w:val="20"/>
                <w:szCs w:val="20"/>
              </w:rPr>
              <w:t xml:space="preserve">[Critère 2 — ex. Performance]</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i/>
                <w:iCs/>
                <w:sz w:val="20"/>
                <w:szCs w:val="20"/>
              </w:rPr>
              <w:t xml:space="preserve">[ex. : Le temps de réponse moyen est inférieur à X secondes]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i w:val="false"/>
                <w:iCs w:val="false"/>
                <w:sz w:val="20"/>
                <w:szCs w:val="20"/>
              </w:rPr>
              <w:t xml:space="preserve">Les deux Parties</w:t>
            </w:r>
          </w:p>
        </w:tc>
      </w:tr>
      <w:tr>
        <w:tc>
          <w:tcPr>
            <w:tcW w:type="dxa" w:w="3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i/>
                <w:iCs/>
                <w:sz w:val="20"/>
                <w:szCs w:val="20"/>
              </w:rPr>
              <w:t xml:space="preserve">[Critère 3 — ex. Accessibilité]</w:t>
            </w:r>
          </w:p>
        </w:tc>
        <w:tc>
          <w:tcPr>
            <w:tcW w:type="dxa" w:w="4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i/>
                <w:iCs/>
                <w:sz w:val="20"/>
                <w:szCs w:val="20"/>
              </w:rPr>
              <w:t xml:space="preserve">[ex. : L'interface est accessible depuis les navigateurs web courants sur ordinateur, tablette et téléphone]</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i w:val="false"/>
                <w:iCs w:val="false"/>
                <w:sz w:val="20"/>
                <w:szCs w:val="20"/>
              </w:rPr>
              <w:t xml:space="preserve">Les deux Parties</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i w:val="false"/>
                <w:iCs w:val="false"/>
                <w:sz w:val="20"/>
                <w:szCs w:val="20"/>
              </w:rPr>
              <w:t xml:space="preserve">Formation</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i w:val="false"/>
                <w:iCs w:val="false"/>
                <w:sz w:val="20"/>
                <w:szCs w:val="20"/>
              </w:rPr>
              <w:t xml:space="preserve">Les utilisateurs clés et les administrateurs ont été formés à l'utilisation du système.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i w:val="false"/>
                <w:iCs w:val="false"/>
                <w:sz w:val="20"/>
                <w:szCs w:val="20"/>
              </w:rPr>
              <w:t xml:space="preserve">Les deux Parties</w:t>
            </w:r>
          </w:p>
        </w:tc>
      </w:tr>
    </w:tbl>
    <w:p>
      <w:pPr>
        <w:spacing w:before="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FFF8E1" w:val="clear"/>
            <w:tcMar>
              <w:top w:type="dxa" w:w="60"/>
              <w:left w:type="dxa" w:w="160"/>
              <w:bottom w:type="dxa" w:w="60"/>
              <w:right w:type="dxa" w:w="160"/>
            </w:tcMar>
          </w:tcPr>
          <w:p>
            <w:r>
              <w:rPr>
                <w:rFonts w:ascii="Arial" w:cs="Arial" w:eastAsia="Arial" w:hAnsi="Arial"/>
                <w:b/>
                <w:bCs/>
                <w:color w:val="5D4037"/>
                <w:sz w:val="20"/>
                <w:szCs w:val="20"/>
              </w:rPr>
              <w:t xml:space="preserve">📝 Note : </w:t>
            </w:r>
            <w:r>
              <w:rPr>
                <w:rFonts w:ascii="Arial" w:cs="Arial" w:eastAsia="Arial" w:hAnsi="Arial"/>
                <w:i/>
                <w:iCs/>
                <w:color w:val="5D4037"/>
                <w:sz w:val="20"/>
                <w:szCs w:val="20"/>
              </w:rPr>
              <w:t xml:space="preserve">Adapter les critères à chaque mandat. Les critères doivent être mesurables et vérifiables objectivement.</w:t>
            </w:r>
          </w:p>
        </w:tc>
      </w:tr>
    </w:tbl>
    <w:p>
      <w:pPr>
        <w:spacing w:before="80" w:after="0"/>
      </w:pPr>
    </w:p>
    <w:p>
      <w:pPr>
        <w:pStyle w:val="Heading2"/>
        <w:spacing w:before="200" w:after="60"/>
      </w:pPr>
      <w:r>
        <w:rPr>
          <w:rFonts w:ascii="Arial" w:cs="Arial" w:eastAsia="Arial" w:hAnsi="Arial"/>
          <w:b/>
          <w:bCs/>
          <w:color w:val="1F4E79"/>
          <w:sz w:val="23"/>
          <w:szCs w:val="23"/>
        </w:rPr>
        <w:t xml:space="preserve">10.1 Processus d'acceptation</w:t>
      </w:r>
    </w:p>
    <w:p>
      <w:pPr>
        <w:spacing w:before="60" w:after="60"/>
      </w:pPr>
      <w:r>
        <w:rPr>
          <w:rFonts w:ascii="Arial" w:cs="Arial" w:eastAsia="Arial" w:hAnsi="Arial"/>
          <w:sz w:val="22"/>
          <w:szCs w:val="22"/>
        </w:rPr>
        <w:t xml:space="preserve">À la livraison de chaque module ou livrable, Somtech notifie le Client par écrit. Le Client dispose alors de dix (10) jours ouvrables pour tester les livrables et formuler, par écrit, ses réserves motivées en référence aux critères d'acceptation définis ci-dessus.</w:t>
      </w:r>
    </w:p>
    <w:p>
      <w:pPr>
        <w:spacing w:before="60" w:after="0"/>
      </w:pPr>
    </w:p>
    <w:p>
      <w:pPr>
        <w:spacing w:before="60" w:after="60"/>
      </w:pPr>
      <w:r>
        <w:rPr>
          <w:rFonts w:ascii="Arial" w:cs="Arial" w:eastAsia="Arial" w:hAnsi="Arial"/>
          <w:sz w:val="22"/>
          <w:szCs w:val="22"/>
        </w:rPr>
        <w:t xml:space="preserve">Passé ce délai de dix (10) jours ouvrables sans réponse écrite du Client, la livraison est réputée acceptée. En cas de réserves motivées, Somtech dispose de quinze (15) jours ouvrables pour y remédier, après quoi un nouveau cycle de validation de dix (10) jours s'engage.</w:t>
      </w:r>
    </w:p>
    <w:p>
      <w:pPr>
        <w:spacing w:before="60" w:after="0"/>
      </w:pPr>
    </w:p>
    <w:p>
      <w:pPr>
        <w:spacing w:before="60" w:after="60"/>
      </w:pPr>
      <w:r>
        <w:rPr>
          <w:rFonts w:ascii="Arial" w:cs="Arial" w:eastAsia="Arial" w:hAnsi="Arial"/>
          <w:sz w:val="22"/>
          <w:szCs w:val="22"/>
        </w:rPr>
        <w:t xml:space="preserve">L'acceptation finale déclenche le paiement du solde conformément à la clause 8 ci-dessus.</w:t>
      </w:r>
    </w:p>
    <w:p>
      <w:pPr>
        <w:pStyle w:val="Heading1"/>
        <w:pBdr>
          <w:bottom w:val="single" w:color="1F4E79" w:sz="6" w:space="4"/>
        </w:pBdr>
        <w:spacing w:before="360" w:after="100"/>
      </w:pPr>
      <w:r>
        <w:rPr>
          <w:rFonts w:ascii="Arial" w:cs="Arial" w:eastAsia="Arial" w:hAnsi="Arial"/>
          <w:b/>
          <w:bCs/>
          <w:color w:val="1F4E79"/>
          <w:sz w:val="26"/>
          <w:szCs w:val="26"/>
        </w:rPr>
        <w:t xml:space="preserve">11. Services d'accompagnement post-implantation (3 mois)</w:t>
      </w:r>
    </w:p>
    <w:p>
      <w:pPr>
        <w:spacing w:before="60" w:after="60"/>
      </w:pPr>
      <w:r>
        <w:rPr>
          <w:rFonts w:ascii="Arial" w:cs="Arial" w:eastAsia="Arial" w:hAnsi="Arial"/>
          <w:sz w:val="22"/>
          <w:szCs w:val="22"/>
        </w:rPr>
        <w:t xml:space="preserve">Les services suivants sont inclus sans frais additionnels durant les trois (3) mois suivant l'acceptation finale :</w:t>
      </w:r>
    </w:p>
    <w:p>
      <w:pPr>
        <w:spacing w:before="40" w:after="0"/>
      </w:pPr>
    </w:p>
    <w:p>
      <w:pPr>
        <w:pStyle w:val="ListParagraph"/>
        <w:numPr>
          <w:ilvl w:val="0"/>
          <w:numId w:val="2"/>
        </w:numPr>
        <w:spacing w:before="40" w:after="40"/>
      </w:pPr>
      <w:r>
        <w:rPr>
          <w:rFonts w:ascii="Arial" w:cs="Arial" w:eastAsia="Arial" w:hAnsi="Arial"/>
          <w:sz w:val="22"/>
          <w:szCs w:val="22"/>
        </w:rPr>
        <w:t xml:space="preserve">Support technique : assistance pour les questions techniques et les problèmes d'utilisation ;</w:t>
      </w:r>
    </w:p>
    <w:p>
      <w:pPr>
        <w:pStyle w:val="ListParagraph"/>
        <w:numPr>
          <w:ilvl w:val="0"/>
          <w:numId w:val="2"/>
        </w:numPr>
        <w:spacing w:before="40" w:after="40"/>
      </w:pPr>
      <w:r>
        <w:rPr>
          <w:rFonts w:ascii="Arial" w:cs="Arial" w:eastAsia="Arial" w:hAnsi="Arial"/>
          <w:sz w:val="22"/>
          <w:szCs w:val="22"/>
        </w:rPr>
        <w:t xml:space="preserve">Corrections de bugs : résolution sans frais des anomalies conformément à la définition de « correction » du CCS (clause 11) ;</w:t>
      </w:r>
    </w:p>
    <w:p>
      <w:pPr>
        <w:pStyle w:val="ListParagraph"/>
        <w:numPr>
          <w:ilvl w:val="0"/>
          <w:numId w:val="2"/>
        </w:numPr>
        <w:spacing w:before="40" w:after="40"/>
      </w:pPr>
      <w:r>
        <w:rPr>
          <w:rFonts w:ascii="Arial" w:cs="Arial" w:eastAsia="Arial" w:hAnsi="Arial"/>
          <w:sz w:val="22"/>
          <w:szCs w:val="22"/>
        </w:rPr>
        <w:t xml:space="preserve">Ajustements de configuration : optimisation des paramètres du système selon les retours d'utilisation réels ;</w:t>
      </w:r>
    </w:p>
    <w:p>
      <w:pPr>
        <w:pStyle w:val="ListParagraph"/>
        <w:numPr>
          <w:ilvl w:val="0"/>
          <w:numId w:val="2"/>
        </w:numPr>
        <w:spacing w:before="40" w:after="40"/>
      </w:pPr>
      <w:r>
        <w:rPr>
          <w:rFonts w:ascii="Arial" w:cs="Arial" w:eastAsia="Arial" w:hAnsi="Arial"/>
          <w:sz w:val="22"/>
          <w:szCs w:val="22"/>
        </w:rPr>
        <w:t xml:space="preserve">Rapports d'utilisation : suivi de l'adoption et recommandations d'amélioration.</w:t>
      </w:r>
    </w:p>
    <w:p>
      <w:pPr>
        <w:spacing w:before="60" w:after="0"/>
      </w:pPr>
    </w:p>
    <w:p>
      <w:pPr>
        <w:spacing w:before="60" w:after="60"/>
      </w:pPr>
      <w:r>
        <w:rPr>
          <w:rFonts w:ascii="Arial" w:cs="Arial" w:eastAsia="Arial" w:hAnsi="Arial"/>
          <w:sz w:val="22"/>
          <w:szCs w:val="22"/>
        </w:rPr>
        <w:t xml:space="preserve">Passé cette période de trois (3) mois, toute correction ou intervention fera l'objet d'un devis séparé, sauf si elle survient dans la période de garantie de quatre-vingt-dix (90) jours prévue à la clause 15.1 du CCS.</w:t>
      </w:r>
    </w:p>
    <w:p>
      <w:pPr>
        <w:pStyle w:val="Heading1"/>
        <w:pBdr>
          <w:bottom w:val="single" w:color="1F4E79" w:sz="6" w:space="4"/>
        </w:pBdr>
        <w:spacing w:before="360" w:after="100"/>
      </w:pPr>
      <w:r>
        <w:rPr>
          <w:rFonts w:ascii="Arial" w:cs="Arial" w:eastAsia="Arial" w:hAnsi="Arial"/>
          <w:b/>
          <w:bCs/>
          <w:color w:val="1F4E79"/>
          <w:sz w:val="26"/>
          <w:szCs w:val="26"/>
        </w:rPr>
        <w:t xml:space="preserve">12. Validité de l'offre</w:t>
      </w:r>
    </w:p>
    <w:p>
      <w:pPr>
        <w:spacing w:before="60" w:after="60"/>
      </w:pPr>
      <w:r>
        <w:rPr>
          <w:rFonts w:ascii="Arial" w:cs="Arial" w:eastAsia="Arial" w:hAnsi="Arial"/>
          <w:sz w:val="22"/>
          <w:szCs w:val="22"/>
        </w:rPr>
        <w:t xml:space="preserve">La présente Offre de services est valide pour une période de trente (30) jours à compter de sa date d'émission. Passé ce délai, Somtech se réserve le droit de réviser les tarifs et les échéanciers proposés.</w:t>
      </w:r>
    </w:p>
    <w:p>
      <w:pPr>
        <w:pStyle w:val="Heading1"/>
        <w:pBdr>
          <w:bottom w:val="single" w:color="1F4E79" w:sz="6" w:space="4"/>
        </w:pBdr>
        <w:spacing w:before="360" w:after="100"/>
      </w:pPr>
      <w:r>
        <w:rPr>
          <w:rFonts w:ascii="Arial" w:cs="Arial" w:eastAsia="Arial" w:hAnsi="Arial"/>
          <w:b/>
          <w:bCs/>
          <w:color w:val="1F4E79"/>
          <w:sz w:val="26"/>
          <w:szCs w:val="26"/>
        </w:rPr>
        <w:t xml:space="preserve">. Acceptation</w:t>
      </w:r>
    </w:p>
    <w:p>
      <w:pPr>
        <w:spacing w:before="200" w:after="0"/>
      </w:pPr>
    </w:p>
    <w:p>
      <w:pPr>
        <w:spacing w:before="0" w:after="120"/>
      </w:pPr>
      <w:r>
        <w:rPr>
          <w:rFonts w:ascii="Arial" w:cs="Arial" w:eastAsia="Arial" w:hAnsi="Arial"/>
          <w:sz w:val="22"/>
          <w:szCs w:val="22"/>
        </w:rPr>
        <w:t xml:space="preserve">Signé à __________________________ (Ville), le __________________________ (date).</w:t>
      </w:r>
    </w:p>
    <w:p>
      <w:pPr>
        <w:spacing w:before="60" w:after="0"/>
      </w:pPr>
    </w:p>
    <w:p>
      <w:pPr>
        <w:spacing w:before="60" w:after="60"/>
      </w:pPr>
      <w:r>
        <w:rPr>
          <w:rFonts w:ascii="Arial" w:cs="Arial" w:eastAsia="Arial" w:hAnsi="Arial"/>
          <w:sz w:val="22"/>
          <w:szCs w:val="22"/>
        </w:rPr>
        <w:t xml:space="preserve">En signant la présente Offre de services, le Client confirme avoir pris connaissance du Contrat-cadre de services (CCS) V4.0 et en accepter les termes et conditions.</w:t>
      </w:r>
    </w:p>
    <w:p>
      <w:pPr>
        <w:spacing w:before="12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60"/>
        <w:gridCol w:w="4800"/>
      </w:tblGrid>
      <w:tr>
        <w:tc>
          <w:tcPr>
            <w:tcW w:type="dxa" w:w="4560"/>
            <w:tcBorders>
              <w:top w:val="none" w:color="FFFFFF" w:sz="0"/>
              <w:left w:val="none" w:color="FFFFFF" w:sz="0"/>
              <w:bottom w:val="none" w:color="FFFFFF" w:sz="0"/>
              <w:right w:val="none" w:color="FFFFFF" w:sz="0"/>
            </w:tcBorders>
            <w:tcMar>
              <w:top w:type="dxa" w:w="0"/>
              <w:left w:type="dxa" w:w="0"/>
              <w:bottom w:type="dxa" w:w="80"/>
              <w:right w:type="dxa" w:w="120"/>
            </w:tcMar>
          </w:tcPr>
          <w:p>
            <w:r>
              <w:rPr>
                <w:rFonts w:ascii="Arial" w:cs="Arial" w:eastAsia="Arial" w:hAnsi="Arial"/>
                <w:b/>
                <w:bCs/>
                <w:sz w:val="22"/>
                <w:szCs w:val="22"/>
              </w:rPr>
              <w:t xml:space="preserve">Pour Somtech inc. :</w:t>
            </w:r>
          </w:p>
          <w:p>
            <w:pPr>
              <w:spacing w:before="80" w:after="0"/>
            </w:pPr>
          </w:p>
          <w:p>
            <w:r>
              <w:rPr>
                <w:rFonts w:ascii="Arial" w:cs="Arial" w:eastAsia="Arial" w:hAnsi="Arial"/>
                <w:sz w:val="22"/>
                <w:szCs w:val="22"/>
              </w:rPr>
              <w:t xml:space="preserve">_________________________________</w:t>
            </w:r>
          </w:p>
          <w:p>
            <w:r>
              <w:rPr>
                <w:rFonts w:ascii="Arial" w:cs="Arial" w:eastAsia="Arial" w:hAnsi="Arial"/>
                <w:sz w:val="22"/>
                <w:szCs w:val="22"/>
              </w:rPr>
              <w:t xml:space="preserve">Nom : Bruno Potvin</w:t>
            </w:r>
          </w:p>
          <w:p>
            <w:r>
              <w:rPr>
                <w:rFonts w:ascii="Arial" w:cs="Arial" w:eastAsia="Arial" w:hAnsi="Arial"/>
                <w:sz w:val="22"/>
                <w:szCs w:val="22"/>
              </w:rPr>
              <w:t xml:space="preserve">Titre : Co-Propriétaire</w:t>
            </w:r>
          </w:p>
        </w:tc>
        <w:tc>
          <w:tcPr>
            <w:tcW w:type="dxa" w:w="4800"/>
            <w:tcBorders>
              <w:top w:val="none" w:color="FFFFFF" w:sz="0"/>
              <w:left w:val="none" w:color="FFFFFF" w:sz="0"/>
              <w:bottom w:val="none" w:color="FFFFFF" w:sz="0"/>
              <w:right w:val="none" w:color="FFFFFF" w:sz="0"/>
            </w:tcBorders>
            <w:tcMar>
              <w:top w:type="dxa" w:w="0"/>
              <w:left w:type="dxa" w:w="120"/>
              <w:bottom w:type="dxa" w:w="80"/>
              <w:right w:type="dxa" w:w="0"/>
            </w:tcMar>
          </w:tcPr>
          <w:p>
            <w:r>
              <w:rPr>
                <w:rFonts w:ascii="Arial" w:cs="Arial" w:eastAsia="Arial" w:hAnsi="Arial"/>
                <w:b/>
                <w:bCs/>
                <w:sz w:val="22"/>
                <w:szCs w:val="22"/>
              </w:rPr>
              <w:t xml:space="preserve">Pour [Nom du Client] :</w:t>
            </w:r>
          </w:p>
          <w:p>
            <w:pPr>
              <w:spacing w:before="80" w:after="0"/>
            </w:pPr>
          </w:p>
          <w:p>
            <w:r>
              <w:rPr>
                <w:rFonts w:ascii="Arial" w:cs="Arial" w:eastAsia="Arial" w:hAnsi="Arial"/>
                <w:sz w:val="22"/>
                <w:szCs w:val="22"/>
              </w:rPr>
              <w:t xml:space="preserve">_________________________________</w:t>
            </w:r>
          </w:p>
          <w:p>
            <w:r>
              <w:rPr>
                <w:rFonts w:ascii="Arial" w:cs="Arial" w:eastAsia="Arial" w:hAnsi="Arial"/>
                <w:sz w:val="22"/>
                <w:szCs w:val="22"/>
              </w:rPr>
              <w:t xml:space="preserve">Nom : ____________________________</w:t>
            </w:r>
          </w:p>
          <w:p>
            <w:r>
              <w:rPr>
                <w:rFonts w:ascii="Arial" w:cs="Arial" w:eastAsia="Arial" w:hAnsi="Arial"/>
                <w:sz w:val="22"/>
                <w:szCs w:val="22"/>
              </w:rPr>
              <w:t xml:space="preserve">Titre : ___________________________</w:t>
            </w:r>
          </w:p>
        </w:tc>
      </w:tr>
    </w:tbl>
    <w:sectPr>
      <w:headerReference w:type="default" r:id="rId6"/>
      <w:footerReference w:type="default" r:id="rId7"/>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F4E79" w:sz="4" w:space="4"/>
      </w:pBdr>
      <w:spacing w:before="80" w:after="0"/>
      <w:jc w:val="center"/>
    </w:pPr>
    <w:r>
      <w:rPr>
        <w:rFonts w:ascii="Arial" w:cs="Arial" w:eastAsia="Arial" w:hAnsi="Arial"/>
        <w:color w:val="595959"/>
        <w:sz w:val="18"/>
        <w:szCs w:val="18"/>
      </w:rPr>
      <w:t xml:space="preserve">Somtech inc.  |  Page </w:t>
    </w:r>
    <w:r>
      <w:rPr>
        <w:rFonts w:ascii="Arial" w:cs="Arial" w:eastAsia="Arial" w:hAnsi="Arial"/>
        <w:color w:val="59595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4E79" w:sz="4" w:space="4"/>
      </w:pBdr>
      <w:tabs>
        <w:tab w:val="right" w:pos="9026"/>
      </w:tabs>
      <w:spacing w:before="0" w:after="80"/>
    </w:pPr>
    <w:r>
      <w:rPr>
        <w:rFonts w:ascii="Arial" w:cs="Arial" w:eastAsia="Arial" w:hAnsi="Arial"/>
        <w:color w:val="595959"/>
        <w:sz w:val="18"/>
        <w:szCs w:val="18"/>
      </w:rPr>
      <w:t xml:space="preserve">OFFRE DE SERVICES — Somtech inc. — Gabarit V2.0</w:t>
    </w:r>
    <w:r>
      <w:rPr>
        <w:rFonts w:ascii="Arial" w:cs="Arial" w:eastAsia="Arial" w:hAnsi="Arial"/>
        <w:i/>
        <w:iCs/>
        <w:color w:val="595959"/>
        <w:sz w:val="18"/>
        <w:szCs w:val="18"/>
      </w:rPr>
      <w:t xml:space="preserve">	Confidentiel — Valide 30 jours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00"/>
      <w:outlineLvl w:val="0"/>
    </w:pPr>
    <w:rPr>
      <w:rFonts w:ascii="Arial" w:cs="Arial" w:eastAsia="Arial" w:hAnsi="Arial"/>
      <w:b/>
      <w:bCs/>
      <w:color w:val="1F4E79"/>
      <w:sz w:val="26"/>
      <w:szCs w:val="26"/>
    </w:rPr>
  </w:style>
  <w:style w:type="paragraph" w:styleId="Heading2">
    <w:name w:val="Heading 2"/>
    <w:basedOn w:val="Normal"/>
    <w:next w:val="Normal"/>
    <w:qFormat/>
    <w:pPr>
      <w:spacing w:before="200" w:after="60"/>
      <w:outlineLvl w:val="1"/>
    </w:pPr>
    <w:rPr>
      <w:rFonts w:ascii="Arial" w:cs="Arial" w:eastAsia="Arial" w:hAnsi="Arial"/>
      <w:b/>
      <w:bCs/>
      <w:color w:val="1F4E79"/>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2026-02-27T20:26:21.564Z</dcterms:created>
  <dcterms:modified xsi:type="dcterms:W3CDTF">2026-02-27T20:26:21.564Z</dcterms:modified>
</cp:coreProperties>
</file>

<file path=docProps/custom.xml><?xml version="1.0" encoding="utf-8"?>
<Properties xmlns="http://schemas.openxmlformats.org/officeDocument/2006/custom-properties" xmlns:vt="http://schemas.openxmlformats.org/officeDocument/2006/docPropsVTypes"/>
</file>