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DD6B" w14:textId="3DA1F38D" w:rsidR="00BC7918" w:rsidRPr="00FC1F36" w:rsidRDefault="00FC1F36" w:rsidP="00FC1F36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FC1F36">
        <w:rPr>
          <w:rFonts w:ascii="Times New Roman" w:hAnsi="Times New Roman" w:cs="Times New Roman"/>
          <w:b/>
          <w:bCs/>
          <w:sz w:val="34"/>
          <w:szCs w:val="34"/>
          <w:u w:val="single"/>
        </w:rPr>
        <w:t>Data Science Assignment: eCommerce</w:t>
      </w:r>
      <w:r w:rsidRPr="00FC1F36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 </w:t>
      </w:r>
      <w:r w:rsidRPr="00FC1F36">
        <w:rPr>
          <w:rFonts w:ascii="Times New Roman" w:hAnsi="Times New Roman" w:cs="Times New Roman"/>
          <w:b/>
          <w:bCs/>
          <w:sz w:val="34"/>
          <w:szCs w:val="34"/>
          <w:u w:val="single"/>
        </w:rPr>
        <w:t>Transactions Dataset</w:t>
      </w:r>
    </w:p>
    <w:p w14:paraId="59CFA257" w14:textId="5CB4AE11" w:rsidR="00FC1F36" w:rsidRDefault="00FC1F36" w:rsidP="00FC1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Task -1 </w:t>
      </w:r>
    </w:p>
    <w:p w14:paraId="48F1CEA9" w14:textId="5200B972" w:rsidR="00FC1F36" w:rsidRDefault="00FC1F36" w:rsidP="00FC1F36">
      <w:pPr>
        <w:jc w:val="both"/>
        <w:rPr>
          <w:rFonts w:ascii="Times New Roman" w:hAnsi="Times New Roman" w:cs="Times New Roman"/>
        </w:rPr>
      </w:pPr>
      <w:r w:rsidRPr="00FC1F36">
        <w:rPr>
          <w:rFonts w:ascii="Times New Roman" w:hAnsi="Times New Roman" w:cs="Times New Roman"/>
        </w:rPr>
        <w:t>The provided dataset includes information on customers, products, and transactions for an eCommerce platform. The analysis focuses on understanding trends, customer behavio</w:t>
      </w:r>
      <w:r>
        <w:rPr>
          <w:rFonts w:ascii="Times New Roman" w:hAnsi="Times New Roman" w:cs="Times New Roman"/>
        </w:rPr>
        <w:t>u</w:t>
      </w:r>
      <w:r w:rsidRPr="00FC1F36">
        <w:rPr>
          <w:rFonts w:ascii="Times New Roman" w:hAnsi="Times New Roman" w:cs="Times New Roman"/>
        </w:rPr>
        <w:t>r, and sales performance to derive actionable insights that can drive strategic decisions.</w:t>
      </w:r>
    </w:p>
    <w:p w14:paraId="34B0206C" w14:textId="75DA5CA1" w:rsidR="00FC1F36" w:rsidRP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8"/>
          <w:szCs w:val="28"/>
        </w:rPr>
        <w:t>Insight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C1F36">
        <w:rPr>
          <w:rFonts w:ascii="Times New Roman" w:hAnsi="Times New Roman" w:cs="Times New Roman"/>
          <w:b/>
          <w:bCs/>
          <w:sz w:val="28"/>
          <w:szCs w:val="28"/>
        </w:rPr>
        <w:t xml:space="preserve"> Monthly Sales Trends</w:t>
      </w:r>
    </w:p>
    <w:p w14:paraId="75D1EE14" w14:textId="77777777" w:rsidR="00FC1F36" w:rsidRPr="00FC1F36" w:rsidRDefault="00FC1F36" w:rsidP="00FC1F36">
      <w:pPr>
        <w:jc w:val="both"/>
        <w:rPr>
          <w:rFonts w:ascii="Times New Roman" w:hAnsi="Times New Roman" w:cs="Times New Roman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FC1F36">
        <w:rPr>
          <w:rFonts w:ascii="Times New Roman" w:hAnsi="Times New Roman" w:cs="Times New Roman"/>
        </w:rPr>
        <w:t xml:space="preserve"> Analysis of monthly sales trends revealed consistent growth in total sales over time, with noticeable spikes during specific months.</w:t>
      </w:r>
    </w:p>
    <w:p w14:paraId="11A77279" w14:textId="77777777" w:rsidR="00FC1F36" w:rsidRDefault="00FC1F36" w:rsidP="00FC1F36">
      <w:pPr>
        <w:jc w:val="both"/>
        <w:rPr>
          <w:rFonts w:ascii="Times New Roman" w:hAnsi="Times New Roman" w:cs="Times New Roman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Business Insight:</w:t>
      </w:r>
      <w:r w:rsidRPr="00FC1F36">
        <w:rPr>
          <w:rFonts w:ascii="Times New Roman" w:hAnsi="Times New Roman" w:cs="Times New Roman"/>
        </w:rPr>
        <w:t xml:space="preserve"> This trend suggests the presence of seasonality or promotional events driving sales. The company can leverage this insight to plan targeted marketing campaigns during high-performing months to maximize revenue.</w:t>
      </w:r>
    </w:p>
    <w:p w14:paraId="4888553F" w14:textId="77777777" w:rsidR="00FC1F36" w:rsidRP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8"/>
          <w:szCs w:val="28"/>
        </w:rPr>
        <w:t>Insight 2: Top-Selling Products</w:t>
      </w:r>
    </w:p>
    <w:p w14:paraId="10C58DFA" w14:textId="77777777" w:rsidR="00FC1F36" w:rsidRPr="00FC1F36" w:rsidRDefault="00FC1F36" w:rsidP="00FC1F36">
      <w:pPr>
        <w:jc w:val="both"/>
        <w:rPr>
          <w:rFonts w:ascii="Times New Roman" w:hAnsi="Times New Roman" w:cs="Times New Roman"/>
        </w:rPr>
      </w:pPr>
      <w:r w:rsidRPr="00FC1F36">
        <w:rPr>
          <w:rFonts w:ascii="Times New Roman" w:hAnsi="Times New Roman" w:cs="Times New Roman"/>
          <w:b/>
          <w:bCs/>
        </w:rPr>
        <w:t>Observation:</w:t>
      </w:r>
      <w:r w:rsidRPr="00FC1F36">
        <w:rPr>
          <w:rFonts w:ascii="Times New Roman" w:hAnsi="Times New Roman" w:cs="Times New Roman"/>
        </w:rPr>
        <w:t xml:space="preserve"> The top 10 selling products contributed significantly to overall sales volume, with a few products dominating the list.</w:t>
      </w:r>
    </w:p>
    <w:p w14:paraId="05E4591C" w14:textId="77777777" w:rsidR="00FC1F36" w:rsidRPr="00FC1F36" w:rsidRDefault="00FC1F36" w:rsidP="00FC1F36">
      <w:pPr>
        <w:jc w:val="both"/>
        <w:rPr>
          <w:rFonts w:ascii="Times New Roman" w:hAnsi="Times New Roman" w:cs="Times New Roman"/>
        </w:rPr>
      </w:pPr>
      <w:r w:rsidRPr="00FC1F36">
        <w:rPr>
          <w:rFonts w:ascii="Times New Roman" w:hAnsi="Times New Roman" w:cs="Times New Roman"/>
          <w:b/>
          <w:bCs/>
        </w:rPr>
        <w:t>Business Insight:</w:t>
      </w:r>
      <w:r w:rsidRPr="00FC1F36">
        <w:rPr>
          <w:rFonts w:ascii="Times New Roman" w:hAnsi="Times New Roman" w:cs="Times New Roman"/>
        </w:rPr>
        <w:t xml:space="preserve"> Focusing inventory and marketing resources on these high-demand products can improve profitability. Additionally, bundling these products with slower-moving items may help clear less popular inventory.</w:t>
      </w:r>
    </w:p>
    <w:p w14:paraId="3D6F0F8F" w14:textId="77777777" w:rsid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8"/>
          <w:szCs w:val="28"/>
        </w:rPr>
        <w:t>Insight 3: Regional Sales Distribution</w:t>
      </w:r>
    </w:p>
    <w:p w14:paraId="77A55D5E" w14:textId="77777777" w:rsidR="00FC1F36" w:rsidRP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FC1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F36">
        <w:rPr>
          <w:rFonts w:ascii="Times New Roman" w:hAnsi="Times New Roman" w:cs="Times New Roman"/>
        </w:rPr>
        <w:t>Regions differ significantly in terms of total sales contribution, with some regions consistently outperforming others.</w:t>
      </w:r>
    </w:p>
    <w:p w14:paraId="1DFBCBA6" w14:textId="77777777" w:rsidR="00FC1F36" w:rsidRPr="00FC1F36" w:rsidRDefault="00FC1F36" w:rsidP="00FC1F36">
      <w:pPr>
        <w:jc w:val="both"/>
        <w:rPr>
          <w:rFonts w:ascii="Times New Roman" w:hAnsi="Times New Roman" w:cs="Times New Roman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Business Insight:</w:t>
      </w:r>
      <w:r w:rsidRPr="00FC1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F36">
        <w:rPr>
          <w:rFonts w:ascii="Times New Roman" w:hAnsi="Times New Roman" w:cs="Times New Roman"/>
        </w:rPr>
        <w:t>High-performing regions could be prioritized for expansion or the introduction of new products. Low-performing regions may require localized marketing strategies or promotional offers to increase engagement.</w:t>
      </w:r>
    </w:p>
    <w:p w14:paraId="373B7C20" w14:textId="77777777" w:rsid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8"/>
          <w:szCs w:val="28"/>
        </w:rPr>
        <w:t>Insight 4: Category-Wise Performance</w:t>
      </w:r>
    </w:p>
    <w:p w14:paraId="0DC0B12D" w14:textId="77777777" w:rsidR="00FC1F36" w:rsidRP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FC1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F36">
        <w:rPr>
          <w:rFonts w:ascii="Times New Roman" w:hAnsi="Times New Roman" w:cs="Times New Roman"/>
        </w:rPr>
        <w:t>Certain product categories account for a substantial share of revenue, while others have limited sales.</w:t>
      </w:r>
    </w:p>
    <w:p w14:paraId="3459D407" w14:textId="77777777" w:rsidR="00FC1F36" w:rsidRDefault="00FC1F36" w:rsidP="00FC1F36">
      <w:pPr>
        <w:jc w:val="both"/>
        <w:rPr>
          <w:rFonts w:ascii="Times New Roman" w:hAnsi="Times New Roman" w:cs="Times New Roman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Business Insight:</w:t>
      </w:r>
      <w:r w:rsidRPr="00FC1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F36">
        <w:rPr>
          <w:rFonts w:ascii="Times New Roman" w:hAnsi="Times New Roman" w:cs="Times New Roman"/>
        </w:rPr>
        <w:t>Investing in expanding the range or promotion of high-performing categories can maximize returns. For underperforming categories, the company should assess their relevance to the target audience and consider repositioning or phasing them out.</w:t>
      </w:r>
    </w:p>
    <w:p w14:paraId="5FA39BCB" w14:textId="77777777" w:rsid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8"/>
          <w:szCs w:val="28"/>
        </w:rPr>
        <w:t>Insight 5: High-Value Customers</w:t>
      </w:r>
    </w:p>
    <w:p w14:paraId="0CE426AD" w14:textId="77777777" w:rsidR="00FC1F36" w:rsidRP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FC1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F36">
        <w:rPr>
          <w:rFonts w:ascii="Times New Roman" w:hAnsi="Times New Roman" w:cs="Times New Roman"/>
        </w:rPr>
        <w:t>A small group of customers (top 10) contributes disproportionately to total revenue.</w:t>
      </w:r>
    </w:p>
    <w:p w14:paraId="27AC71D9" w14:textId="77777777" w:rsidR="00FC1F36" w:rsidRPr="00FC1F36" w:rsidRDefault="00FC1F36" w:rsidP="00FC1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F36">
        <w:rPr>
          <w:rFonts w:ascii="Times New Roman" w:hAnsi="Times New Roman" w:cs="Times New Roman"/>
          <w:b/>
          <w:bCs/>
          <w:sz w:val="24"/>
          <w:szCs w:val="24"/>
        </w:rPr>
        <w:t>Business Insight:</w:t>
      </w:r>
      <w:r w:rsidRPr="00FC1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F36">
        <w:rPr>
          <w:rFonts w:ascii="Times New Roman" w:hAnsi="Times New Roman" w:cs="Times New Roman"/>
        </w:rPr>
        <w:t>These high-value customers should be nurtured through loyalty programs, exclusive offers, or personalized recommendations to retain their business. Identifying common traits among these customers can help attract similar high-spending individuals.</w:t>
      </w:r>
    </w:p>
    <w:sectPr w:rsidR="00FC1F36" w:rsidRPr="00FC1F36" w:rsidSect="00FC1F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6"/>
    <w:rsid w:val="000D56D9"/>
    <w:rsid w:val="00272831"/>
    <w:rsid w:val="00377C70"/>
    <w:rsid w:val="00BC7918"/>
    <w:rsid w:val="00FC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13F6"/>
  <w15:chartTrackingRefBased/>
  <w15:docId w15:val="{917E75D1-1A18-441B-8A29-C56EEE01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LIKITHA</dc:creator>
  <cp:keywords/>
  <dc:description/>
  <cp:lastModifiedBy>SOMU LIKITHA</cp:lastModifiedBy>
  <cp:revision>2</cp:revision>
  <dcterms:created xsi:type="dcterms:W3CDTF">2025-01-27T15:20:00Z</dcterms:created>
  <dcterms:modified xsi:type="dcterms:W3CDTF">2025-01-27T15:20:00Z</dcterms:modified>
</cp:coreProperties>
</file>