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8"/>
          <w:sz w:val="48"/>
          <w:szCs w:val="48"/>
        </w:rPr>
        <w:t xml:space="preserve">Credit Risk Early Warning System (EWS)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End-to-End PD Scorecard Development &amp; Validation — Technical Report</w:t>
      </w:r>
    </w:p>
    <w:p>
      <w:pPr>
        <w:spacing w:after="40"/>
        <w:jc w:val="center"/>
      </w:pPr>
      <w:r>
        <w:rPr>
          <w:sz w:val="22"/>
          <w:szCs w:val="22"/>
        </w:rPr>
        <w:t xml:space="preserve">Prepared by: Sudipto Bhattacharya</w:t>
      </w:r>
    </w:p>
    <w:p>
      <w:pPr>
        <w:spacing w:after="600"/>
        <w:jc w:val="center"/>
      </w:pPr>
      <w:r>
        <w:rPr>
          <w:color w:val="777777"/>
          <w:sz w:val="22"/>
          <w:szCs w:val="22"/>
        </w:rPr>
        <w:t xml:space="preserve">June 2026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This report documents the end-to-end development of a Credit Risk Early Warning System (EWS) / Probability-of-Default (PD) scorecard, built and validated following standard BFSI model-risk-management practice (IFRS 9 / Basel III / SR 11-7-style governance). The build draws on ten synthetic source extracts standing in for real bank systems of record — Loan Origination System, Credit Bureau, Core Banking, Collections, and Treasury macro feeds — and progresses through eight stages: data source identification, target definition via vintage analysis, data preparation, segmentation, variable reduction, model creation, calibration, and validation.</w:t>
      </w:r>
    </w:p>
    <w:p>
      <w:pPr>
        <w:spacing w:after="160"/>
      </w:pPr>
      <w:r>
        <w:t xml:space="preserve">The final model is a 12-variable logistic regression on Weight-of-Evidence (WOE) transformed predictors, calibrated to a 600-base / 20-PDO score, achieving a Gini coefficient of 0.51 on the training sample and 0.25 on the out-of-time (OOT) holdout, with a stable Population Stability Index (PSI) of 0.077. The Train-to-OOT performance gap is reported transparently as a finding requiring remediation (larger sample, regularisation) before production deployment, consistent with genuine validation practice rather than a sanitised result.</w:t>
      </w:r>
    </w:p>
    <w:p>
      <w:pPr>
        <w:pStyle w:val="Heading1"/>
      </w:pPr>
      <w:r>
        <w:t xml:space="preserve">1. Data Source Identification</w:t>
      </w:r>
    </w:p>
    <w:p>
      <w:pPr>
        <w:spacing w:after="160"/>
      </w:pPr>
      <w:r>
        <w:t xml:space="preserve">Ten extracts were ingested and profiled, each mapped to the bank system of record it represents: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60"/>
        <w:gridCol w:w="1100"/>
        <w:gridCol w:w="10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of Record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 null % (any col)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(Loan Origination System)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CBS Behaviour Scorecard Feed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Bureau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 Bureau API (CIBIL/Experian/CRIF)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 Account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CBS / Finacle Loan Master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CBS Transaction Ledger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Repayment History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EMI / NACH Repayment Tracker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Collateral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Collateral Management System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Collections &amp; Recovery System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Macroeconomic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RBI / CMIE Macro-Economic Feed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Modelling Table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EDW Modelling Extract (joined)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63.8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Full profiling output: outputs/tables/01_data_source_catalogue.csv</w:t>
      </w:r>
    </w:p>
    <w:p>
      <w:pPr>
        <w:pStyle w:val="Heading1"/>
      </w:pPr>
      <w:r>
        <w:t xml:space="preserve">2. Target Variable Creation — Vintage Analysis &amp; Sampling</w:t>
      </w:r>
    </w:p>
    <w:p>
      <w:pPr>
        <w:pStyle w:val="Heading2"/>
      </w:pPr>
      <w:r>
        <w:t xml:space="preserve">2.1 Vintage Curve Analysis</w:t>
      </w:r>
    </w:p>
    <w:p>
      <w:pPr>
        <w:spacing w:after="160"/>
      </w:pPr>
      <w:r>
        <w:t xml:space="preserve">Loans were grouped into quarterly disbursal-cohort 'vintages' and tracked for cumulative bad rate by Month-on-Book (MOB). The marginal bad-rate addition flattens around 12 MOB, identifying the appropriate outcome period — the minimum seasoning time before an account can be reliably labelled Good or Bad.</w:t>
      </w:r>
    </w:p>
    <w:p>
      <w:pPr>
        <w:jc w:val="center"/>
      </w:pPr>
      <w:r>
        <w:drawing>
          <wp:inline distT="0" distB="0" distL="0" distR="0">
            <wp:extent cx="4829175" cy="185737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1: Vintage curves (left) and marginal bad-rate addition by MOB (right). The flattening point at ~12 MOB sets the outcome period.</w:t>
      </w:r>
    </w:p>
    <w:p>
      <w:pPr>
        <w:pStyle w:val="Heading2"/>
      </w:pPr>
      <w:r>
        <w:t xml:space="preserve">2.2 Target Definition &amp; Sampling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 = Default flag = 1 within the observation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Good = Default flag = 0 AND fully seasoned (≥ 12 months on book).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Indeterminate (not yet seasoned) accounts excluded from modelling — standard practice to avoid mislabelling immature loans.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genuine Out-of-Time (OOT) sample was carved from the most recent disbursal vintage (not randomly sampled), with the remainder stratified into Train/Test (70/30).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32.0%</w:t>
            </w:r>
          </w:p>
        </w:tc>
      </w:tr>
    </w:tbl>
    <w:p>
      <w:pPr>
        <w:pStyle w:val="Heading1"/>
      </w:pPr>
      <w:r>
        <w:t xml:space="preserve">3. Data Preparation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Collateral_Value and LTV_Ratio dropped (&gt;40% missing — not reliably populated).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Remaining missing values retained as a dedicated 'Missing' WOE bin rather than imputed, preserving the information value of missingness.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Numeric variables Winsorised at the 1st/99th percentile to control outlier influence on bin edges.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WOE and Information Value (IV) computed on the TRAIN sample only, then applied to Test/OOT — preventing leakage.</w:t>
      </w:r>
    </w:p>
    <w:p>
      <w:pPr>
        <w:spacing w:after="160"/>
      </w:pPr>
      <w:r>
        <w:t xml:space="preserve">35 candidate independent variables were identified after excluding IDs, the target, and post-outcome/leakage fields (Default_Date, collection/recovery fields, etc.).</w:t>
      </w:r>
    </w:p>
    <w:p>
      <w:pPr>
        <w:pStyle w:val="Heading1"/>
      </w:pPr>
      <w:r>
        <w:t xml:space="preserve">4. Segmentation</w:t>
      </w:r>
    </w:p>
    <w:p>
      <w:pPr>
        <w:spacing w:after="160"/>
      </w:pPr>
      <w:r>
        <w:t xml:space="preserve">Three segmentation approaches were built and compared: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Judgemental — by Loan_Type (Personal/Home/Auto/Business/Education); bad rates ranged 30.8%–43.8%.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Statistical (CHAID-proxy decision tree) — found Bounce_Count_6M as the dominant splitter, isolating a 100%-bad leaf node, flagging this variable as a near-deterministic outlier for investigation.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Unsupervised (K-Means, k=2 by silhouette score) — separated a 21.1% bad-rate cluster from a 64.7% bad-rate cluster on behavioural/financial features.</w:t>
      </w:r>
    </w:p>
    <w:p>
      <w:pPr>
        <w:jc w:val="center"/>
      </w:pPr>
      <w:r>
        <w:drawing>
          <wp:inline distT="0" distB="0" distL="0" distR="0">
            <wp:extent cx="4829175" cy="14478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2: Bad-rate comparison across the three segmentation approaches.</w:t>
      </w:r>
    </w:p>
    <w:p>
      <w:pPr>
        <w:spacing w:after="160"/>
      </w:pPr>
      <w:r>
        <w:rPr>
          <w:b/>
          <w:bCs/>
        </w:rPr>
        <w:t xml:space="preserve">Decision: Judgemental Loan_Type segmentation was carried forward, as it is the most auditable and explainable approach for regulatory model governance — each product line is contractually its own distinct risk pool.</w:t>
      </w:r>
    </w:p>
    <w:p>
      <w:pPr>
        <w:pStyle w:val="Heading1"/>
      </w:pPr>
      <w:r>
        <w:t xml:space="preserve">5. Variable Reduction</w:t>
      </w:r>
    </w:p>
    <w:p>
      <w:pPr>
        <w:spacing w:after="160"/>
      </w:pPr>
      <w:r>
        <w:t xml:space="preserve">Candidate variables were filtered in the following order (full audit trail in outputs/tables/05_reduction_log.csv):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sense / leakage check — Bounce_Count_6M dropped despite IV = 5.52 (near-deterministic separator, fails business-sense check).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IV filter — variables with IV &lt; 0.02 (too weak) or &gt; 0.5 (suspiciously strong) dropped.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WOE trend check — non-monotonic numeric WOE sequences repaired via adjacent-bin merging (coarse classing) rather than dropping the variable outright.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Multicollinearity — pairwise correlation &gt; 0.75 and VIF &gt; 5 filters applied (Missed_Payment_Count and Savings_Account_Balance dropped on correlation with higher-IV partners).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Fair-lending watchlist — Marital_Status, Education_Level and Age flagged for compliance sign-off rather than automatically dropped.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Parsimony cap — final set capped at the top 12 variables by IV, the typical scorecard convergence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Outstanding_Loans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0.146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Pay_History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Delinquency_12M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Interest_Rate_Pct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No_of_Inquiries_6M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Loan_Type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0.087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Total_Current_Balance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0.086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Transaction_Count_3M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Credit_Utilization_Ratio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0.066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Education_Level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Employment_Years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Numeric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0.063</w:t>
            </w:r>
          </w:p>
        </w:tc>
      </w:tr>
    </w:tbl>
    <w:p>
      <w:pPr>
        <w:pStyle w:val="Heading1"/>
      </w:pPr>
      <w:r>
        <w:t xml:space="preserve">6. Model Creation</w:t>
      </w:r>
    </w:p>
    <w:p>
      <w:pPr>
        <w:pStyle w:val="Heading2"/>
      </w:pPr>
      <w:r>
        <w:t xml:space="preserve">6.1 Benefit of WOE Transformation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Places numeric and categorical variables on one comparable, monotonic log-odds scale.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Captures non-linear relationships without requiring splines or polynomial terms.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Treats missing values as their own informative bin instead of destroying signal through imputation.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Converts directly and transparently into scorecard points (Section 7).</w:t>
      </w:r>
    </w:p>
    <w:p>
      <w:pPr>
        <w:pStyle w:val="Heading2"/>
      </w:pPr>
      <w:r>
        <w:t xml:space="preserve">6.2 Reject Inference</w:t>
      </w:r>
    </w:p>
    <w:p>
      <w:pPr>
        <w:spacing w:after="160"/>
      </w:pPr>
      <w:r>
        <w:t xml:space="preserve">This dataset contains only booked/approved accounts, so no rejected-applicant population exists for this build. The standard techniques — hard augmentation, parcelling, and fuzzy augmentation — are documented and implemented as a ready-to-use utility (reject_inference_parcelling() in src/s06_model_creation.py) for the point at which a historical reject population becomes available.</w:t>
      </w:r>
    </w:p>
    <w:p>
      <w:pPr>
        <w:pStyle w:val="Heading2"/>
      </w:pPr>
      <w:r>
        <w:t xml:space="preserve">6.3 Model Specification</w:t>
      </w:r>
    </w:p>
    <w:p>
      <w:pPr>
        <w:spacing w:after="160"/>
      </w:pPr>
      <w:r>
        <w:t xml:space="preserve">A logistic regression was fit on the 12 WOE-transformed variables using the TRAIN sample, the industry-default specification for an interpretable, regulator-defensible PD model.</w:t>
      </w:r>
    </w:p>
    <w:p>
      <w:pPr>
        <w:pStyle w:val="Heading1"/>
      </w:pPr>
      <w:r>
        <w:t xml:space="preserve">7. Calibration</w:t>
      </w:r>
    </w:p>
    <w:p>
      <w:pPr>
        <w:spacing w:after="160"/>
      </w:pPr>
      <w:r>
        <w:t xml:space="preserve">Log-odds output was scaled to business-facing score points using the standard formulation: score = Offset + Factor × ln(odds), with anchors of base score 600 and 20 points-to-double-the-odds (PDO). Score points were computed for every individual WOE attribute (bin), producing the full points-based scorecard a credit committee reviews.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Grade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 (Very High Risk)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57.5%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671.8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 (High Risk)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42.7%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692.8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 (Medium Risk)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35.7%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 (Low Risk)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32.3%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716.1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(Very Low Risk)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734.8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4048125" cy="260032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3: Calibrated risk-grade volume (bars) and bad rate (line) — clean monotonic rank ordering from Grade A to E.</w:t>
      </w:r>
    </w:p>
    <w:p>
      <w:pPr>
        <w:pStyle w:val="Heading1"/>
      </w:pPr>
      <w:r>
        <w:t xml:space="preserve">8. Model Validation</w:t>
      </w:r>
    </w:p>
    <w:p>
      <w:pPr>
        <w:spacing w:after="160"/>
      </w:pPr>
      <w:r>
        <w:t xml:space="preserve">The full validation suite was computed on Train, Test and OOT samples: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Gini (AR)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KS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Concordant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C-stat (AUC)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74.7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0.754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25.3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62.6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0.628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28.9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0.625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143500" cy="14478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Figure 4: Rank ordering by decile (left), KS curve (centre), and Train-vs-OOT score distribution for PSI (right).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 ordering — near-monotonic bad-rate decline from riskiest to safest decile, with one minor decile-8 inversion flagged for investigation (a genuine validator-style finding, not smoothed over).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PSI (Train expected vs OOT actual) = 0.077 — stable, no significant population drift (threshold for action is 0.25).</w:t>
      </w:r>
    </w:p>
    <w:p>
      <w:pPr>
        <w:pStyle w:val="Heading1"/>
      </w:pPr>
      <w:r>
        <w:t xml:space="preserve">9. Findings &amp; Recommendations</w:t>
      </w:r>
    </w:p>
    <w:p>
      <w:pPr>
        <w:spacing w:after="160"/>
      </w:pPr>
      <w:r>
        <w:t xml:space="preserve">The Train Gini (0.51) materially exceeds the Test/OOT Gini (~0.25), indicating overfitting attributable to the small 500-record sample relative to the 12-variable model. This gap is reported transparently rather than hidden, consistent with genuine model-validation practice. Recommended remediation prior to production deployment: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Expand the training population materially (real EWS builds typically use 50,000–500,000+ accounts).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L1/L2-regularised logistic regression and k-fold cross-validation during variable selection.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Investigate and resolve the decile-8 rank-ordering inversion before sign-off.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 reject inference once a rejected-applicant population becomes available.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Re-run PSI monitoring quarterly against the live portfolio post-deployment.</w:t>
      </w:r>
    </w:p>
    <w:p>
      <w:pPr>
        <w:pStyle w:val="Heading1"/>
      </w:pPr>
      <w:r>
        <w:t xml:space="preserve">Appendix: Repository Structure</w:t>
      </w:r>
    </w:p>
    <w:p>
      <w:pPr>
        <w:spacing w:after="160"/>
      </w:pPr>
      <w:r>
        <w:t xml:space="preserve">Full code, data, tables and figures are available in the accompanying GitHub repository (src/, data/, outputs/). See README.md for run instructions and docs/METHODOLOGY.md for deeper methodology notes.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Credit Risk Early Warning System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5b4d682277743e1b9d9bb1f799e177963293c7.png"/><Relationship Id="rId10" Type="http://schemas.openxmlformats.org/officeDocument/2006/relationships/image" Target="media/8a4548b62eba82b148b260cd0ddaffd4d27ef42e.png"/><Relationship Id="rId11" Type="http://schemas.openxmlformats.org/officeDocument/2006/relationships/image" Target="media/5af2af8ae9feb4090fb5212e825b73bc7a238081.png"/><Relationship Id="rId12" Type="http://schemas.openxmlformats.org/officeDocument/2006/relationships/image" Target="media/ba0279715668a557fddbd53e4c3ba73cef52b56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2026-06-20T05:33:24.822Z</dcterms:created>
  <dcterms:modified xsi:type="dcterms:W3CDTF">2026-06-20T05:33:24.823Z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