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Reasoning Traces — Case H2</w:t>
      </w:r>
    </w:p>
    <w:p>
      <w:r>
        <w:rPr>
          <w:b w:val="0"/>
          <w:i/>
        </w:rPr>
        <w:t>What the teacher and students actually reasoned, and how each project phase changed it — L-DRL, for the meeting with Prof. Rao.</w:t>
      </w:r>
    </w:p>
    <w:p>
      <w:pPr>
        <w:pStyle w:val="Heading1"/>
      </w:pPr>
      <w:r>
        <w:t>What you're looking at</w:t>
      </w:r>
    </w:p>
    <w:p>
      <w:r>
        <w:rPr>
          <w:b w:val="0"/>
          <w:i w:val="0"/>
        </w:rPr>
        <w:t>Each legal analysis is represented as a graph with six layers — Facts, Issues, Rules, Application, Conclusion, Obligations (FIRACO) — connected by typed edges. The teacher (Claude) writes the reference analysis for a case; each student attempts the same case; the L-GED metric measures how far a student's graph is from the teacher's (lower = closer = better).</w:t>
      </w:r>
    </w:p>
    <w:p>
      <w:r>
        <w:rPr>
          <w:b w:val="0"/>
          <w:i w:val="0"/>
        </w:rPr>
        <w:t>Why H2? Of all six cases, H2 shows the largest L-GED movement at every phase — the biggest metric correction (Phase 1), the biggest apparent patch win (Phase 2), and the biggest collapse of that win under scrutiny (Phase 3). It is the clearest single case to see what each phase did.</w:t>
      </w:r>
    </w:p>
    <w:p>
      <w:r>
        <w:rPr>
          <w:b w:val="0"/>
          <w:i w:val="0"/>
        </w:rPr>
        <w:t>The case: “AutoApprove” is a two-stage AI lending system (Stage 1 fully automated, Stage 2 human-reviewed). The legal question is whether it is a high-risk AI system under the Colorado AI Act, whether the vendor is a deployer or a developer, and what must be fixed by June 30, 2026.</w:t>
      </w:r>
    </w:p>
    <w:p>
      <w:pPr>
        <w:pStyle w:val="Heading1"/>
      </w:pPr>
      <w:r>
        <w:t>1. The three analyses at a glance</w:t>
      </w:r>
    </w:p>
    <w:p>
      <w:r>
        <w:rPr>
          <w:b w:val="0"/>
          <w:i w:val="0"/>
        </w:rPr>
        <w:t>Before any intervention, under the trustworthy embedding-based scoring: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Teacher (Claude)</w:t>
            </w:r>
          </w:p>
        </w:tc>
        <w:tc>
          <w:tcPr>
            <w:tcW w:type="dxa" w:w="2160"/>
          </w:tcPr>
          <w:p>
            <w:r/>
            <w:r>
              <w:rPr>
                <w:b/>
              </w:rPr>
              <w:t>GPT-5 (frontier)</w:t>
            </w:r>
          </w:p>
        </w:tc>
        <w:tc>
          <w:tcPr>
            <w:tcW w:type="dxa" w:w="2160"/>
          </w:tcPr>
          <w:p>
            <w:r/>
            <w:r>
              <w:rPr>
                <w:b/>
              </w:rPr>
              <w:t>Llama-3B (weak)</w:t>
            </w:r>
          </w:p>
        </w:tc>
      </w:tr>
      <w:tr>
        <w:tc>
          <w:tcPr>
            <w:tcW w:type="dxa" w:w="2160"/>
          </w:tcPr>
          <w:p>
            <w:r>
              <w:t>Total nodes</w:t>
            </w:r>
          </w:p>
        </w:tc>
        <w:tc>
          <w:tcPr>
            <w:tcW w:type="dxa" w:w="2160"/>
          </w:tcPr>
          <w:p>
            <w:r>
              <w:t>77</w:t>
            </w:r>
          </w:p>
        </w:tc>
        <w:tc>
          <w:tcPr>
            <w:tcW w:type="dxa" w:w="2160"/>
          </w:tcPr>
          <w:p>
            <w:r>
              <w:t>68</w:t>
            </w:r>
          </w:p>
        </w:tc>
        <w:tc>
          <w:tcPr>
            <w:tcW w:type="dxa" w:w="2160"/>
          </w:tcPr>
          <w:p>
            <w:r>
              <w:t>14</w:t>
            </w:r>
          </w:p>
        </w:tc>
      </w:tr>
      <w:tr>
        <w:tc>
          <w:tcPr>
            <w:tcW w:type="dxa" w:w="2160"/>
          </w:tcPr>
          <w:p>
            <w:r>
              <w:t>Issues</w:t>
            </w:r>
          </w:p>
        </w:tc>
        <w:tc>
          <w:tcPr>
            <w:tcW w:type="dxa" w:w="2160"/>
          </w:tcPr>
          <w:p>
            <w:r>
              <w:t>7</w:t>
            </w:r>
          </w:p>
        </w:tc>
        <w:tc>
          <w:tcPr>
            <w:tcW w:type="dxa" w:w="2160"/>
          </w:tcPr>
          <w:p>
            <w:r>
              <w:t>5</w:t>
            </w:r>
          </w:p>
        </w:tc>
        <w:tc>
          <w:tcPr>
            <w:tcW w:type="dxa" w:w="2160"/>
          </w:tcPr>
          <w:p>
            <w:r>
              <w:t>1</w:t>
            </w:r>
          </w:p>
        </w:tc>
      </w:tr>
      <w:tr>
        <w:tc>
          <w:tcPr>
            <w:tcW w:type="dxa" w:w="2160"/>
          </w:tcPr>
          <w:p>
            <w:r>
              <w:t>Rules</w:t>
            </w:r>
          </w:p>
        </w:tc>
        <w:tc>
          <w:tcPr>
            <w:tcW w:type="dxa" w:w="2160"/>
          </w:tcPr>
          <w:p>
            <w:r>
              <w:t>20</w:t>
            </w:r>
          </w:p>
        </w:tc>
        <w:tc>
          <w:tcPr>
            <w:tcW w:type="dxa" w:w="2160"/>
          </w:tcPr>
          <w:p>
            <w:r>
              <w:t>10</w:t>
            </w:r>
          </w:p>
        </w:tc>
        <w:tc>
          <w:tcPr>
            <w:tcW w:type="dxa" w:w="2160"/>
          </w:tcPr>
          <w:p>
            <w:r>
              <w:t>3</w:t>
            </w:r>
          </w:p>
        </w:tc>
      </w:tr>
      <w:tr>
        <w:tc>
          <w:tcPr>
            <w:tcW w:type="dxa" w:w="2160"/>
          </w:tcPr>
          <w:p>
            <w:r>
              <w:t>Application steps</w:t>
            </w:r>
          </w:p>
        </w:tc>
        <w:tc>
          <w:tcPr>
            <w:tcW w:type="dxa" w:w="2160"/>
          </w:tcPr>
          <w:p>
            <w:r>
              <w:t>16</w:t>
            </w:r>
          </w:p>
        </w:tc>
        <w:tc>
          <w:tcPr>
            <w:tcW w:type="dxa" w:w="2160"/>
          </w:tcPr>
          <w:p>
            <w:r>
              <w:t>14</w:t>
            </w:r>
          </w:p>
        </w:tc>
        <w:tc>
          <w:tcPr>
            <w:tcW w:type="dxa" w:w="2160"/>
          </w:tcPr>
          <w:p>
            <w:r>
              <w:t>1</w:t>
            </w:r>
          </w:p>
        </w:tc>
      </w:tr>
      <w:tr>
        <w:tc>
          <w:tcPr>
            <w:tcW w:type="dxa" w:w="2160"/>
          </w:tcPr>
          <w:p>
            <w:r>
              <w:t>Obligations</w:t>
            </w:r>
          </w:p>
        </w:tc>
        <w:tc>
          <w:tcPr>
            <w:tcW w:type="dxa" w:w="2160"/>
          </w:tcPr>
          <w:p>
            <w:r>
              <w:t>10</w:t>
            </w:r>
          </w:p>
        </w:tc>
        <w:tc>
          <w:tcPr>
            <w:tcW w:type="dxa" w:w="2160"/>
          </w:tcPr>
          <w:p>
            <w:r>
              <w:t>14</w:t>
            </w:r>
          </w:p>
        </w:tc>
        <w:tc>
          <w:tcPr>
            <w:tcW w:type="dxa" w:w="2160"/>
          </w:tcPr>
          <w:p>
            <w:r>
              <w:t>1</w:t>
            </w:r>
          </w:p>
        </w:tc>
      </w:tr>
      <w:tr>
        <w:tc>
          <w:tcPr>
            <w:tcW w:type="dxa" w:w="2160"/>
          </w:tcPr>
          <w:p>
            <w:r>
              <w:t>L-GED (embedding)</w:t>
            </w:r>
          </w:p>
        </w:tc>
        <w:tc>
          <w:tcPr>
            <w:tcW w:type="dxa" w:w="2160"/>
          </w:tcPr>
          <w:p>
            <w:r>
              <w:t>— (reference)</w:t>
            </w:r>
          </w:p>
        </w:tc>
        <w:tc>
          <w:tcPr>
            <w:tcW w:type="dxa" w:w="2160"/>
          </w:tcPr>
          <w:p>
            <w:r>
              <w:t>125.5</w:t>
            </w:r>
          </w:p>
        </w:tc>
        <w:tc>
          <w:tcPr>
            <w:tcW w:type="dxa" w:w="2160"/>
          </w:tcPr>
          <w:p>
            <w:r>
              <w:t>162.5</w:t>
            </w:r>
          </w:p>
        </w:tc>
      </w:tr>
    </w:tbl>
    <w:p>
      <w:pPr>
        <w:pStyle w:val="ListBullet"/>
      </w:pPr>
      <w:r>
        <w:t>The teacher builds the full analysis: Stage-1 vs Stage-2 high-risk, deployer-vs-developer, the memo-vs-statute authority conflict, and a June-2026 compliance-gap inventory.</w:t>
      </w:r>
    </w:p>
    <w:p>
      <w:pPr>
        <w:pStyle w:val="ListBullet"/>
      </w:pPr>
      <w:r>
        <w:t>GPT-5 tracks that spine (5 of 7 issues) but more compactly.</w:t>
      </w:r>
    </w:p>
    <w:p>
      <w:pPr>
        <w:pStyle w:val="ListBullet"/>
      </w:pPr>
      <w:r>
        <w:t>Llama collapses the case to 1 issue and 1 application step — and grounds its lead rule in NYC law on a Colorado case. Its large L-GED is almost all missing nodes (63), not wrong ones (0 hallucinations).</w:t>
      </w:r>
    </w:p>
    <w:p>
      <w:pPr>
        <w:pStyle w:val="Heading1"/>
      </w:pPr>
      <w:r>
        <w:t>2. The full reasoning traces</w:t>
      </w:r>
    </w:p>
    <w:p>
      <w:r>
        <w:rPr>
          <w:b w:val="0"/>
          <w:i w:val="0"/>
        </w:rPr>
        <w:t>The complete FIRACO analysis each model produced for H2. This is the “show me the traces” part — every node, full text.</w:t>
      </w:r>
    </w:p>
    <w:p>
      <w:pPr>
        <w:pStyle w:val="Heading2"/>
      </w:pPr>
      <w:r>
        <w:t>2.1 Teacher (Claude) — the reference</w:t>
      </w:r>
    </w:p>
    <w:p>
      <w:r>
        <w:rPr>
          <w:b/>
          <w:color w:val="2F4058"/>
          <w:sz w:val="26"/>
        </w:rPr>
        <w:t>Teacher · Claude</w:t>
      </w:r>
    </w:p>
    <w:p>
      <w:r>
        <w:rPr>
          <w:b w:val="0"/>
          <w:i/>
          <w:sz w:val="18"/>
        </w:rPr>
        <w:t>claude-opus-4-6  ·  77 nodes  (F18 I7 R20 A16 C6 O10 · E52)</w:t>
      </w:r>
    </w:p>
    <w:p>
      <w:r>
        <w:rPr>
          <w:b/>
          <w:i w:val="0"/>
        </w:rPr>
        <w:t>Facts (18)</w:t>
      </w:r>
    </w:p>
    <w:p>
      <w:pPr>
        <w:pStyle w:val="ListBullet"/>
      </w:pPr>
      <w:r>
        <w:t>F1: Helix Credit is a Colorado-based fintech lender headquartered in Denver with 310 employees, operating exclusively in Colorado</w:t>
      </w:r>
    </w:p>
    <w:p>
      <w:pPr>
        <w:pStyle w:val="ListBullet"/>
      </w:pPr>
      <w:r>
        <w:t>F2: Helix deployed AutoApprove, an AI-powered underwriting system developed by FinLogic AI</w:t>
      </w:r>
    </w:p>
    <w:p>
      <w:pPr>
        <w:pStyle w:val="ListBullet"/>
      </w:pPr>
      <w:r>
        <w:t>F3: Stage 1: 62% of applications are auto-approved or auto-denied with no human review</w:t>
      </w:r>
    </w:p>
    <w:p>
      <w:pPr>
        <w:pStyle w:val="ListBullet"/>
      </w:pPr>
      <w:r>
        <w:t>F4: Stage 2: 38% of applications routed to human underwriter who receives AI score, AI risk narrative, and raw data</w:t>
      </w:r>
    </w:p>
    <w:p>
      <w:pPr>
        <w:pStyle w:val="ListBullet"/>
      </w:pPr>
      <w:r>
        <w:t>F5: Human underwriters agree with AutoApprove direction in 71% of Stage 2 cases</w:t>
      </w:r>
    </w:p>
    <w:p>
      <w:pPr>
        <w:pStyle w:val="ListBullet"/>
      </w:pPr>
      <w:r>
        <w:t>F6: GC memo argues AutoApprove is not a substantial factor due to independent human analysis  (disputed)</w:t>
      </w:r>
    </w:p>
    <w:p>
      <w:pPr>
        <w:pStyle w:val="ListBullet"/>
      </w:pPr>
      <w:r>
        <w:t>F7: Morrison &amp; Partners memo concludes AutoApprove is a substantial factor requiring full deployer obligations</w:t>
      </w:r>
    </w:p>
    <w:p>
      <w:pPr>
        <w:pStyle w:val="ListBullet"/>
      </w:pPr>
      <w:r>
        <w:t>F8: Helix has NIST AI 100-1 aligned risk management program documented January 2026</w:t>
      </w:r>
    </w:p>
    <w:p>
      <w:pPr>
        <w:pStyle w:val="ListBullet"/>
      </w:pPr>
      <w:r>
        <w:t>F9: Helix completed impact assessment of AutoApprove in February 2026</w:t>
      </w:r>
    </w:p>
    <w:p>
      <w:pPr>
        <w:pStyle w:val="ListBullet"/>
      </w:pPr>
      <w:r>
        <w:t>F10: FinLogic AI provided model card and training data summary</w:t>
      </w:r>
    </w:p>
    <w:p>
      <w:pPr>
        <w:pStyle w:val="ListBullet"/>
      </w:pPr>
      <w:r>
        <w:t>F11: Helix has NOT issued consumer notices to loan applicants regarding AI involvement</w:t>
      </w:r>
    </w:p>
    <w:p>
      <w:pPr>
        <w:pStyle w:val="ListBullet"/>
      </w:pPr>
      <w:r>
        <w:t>F12: Helix has NOT established a data correction process for applicants</w:t>
      </w:r>
    </w:p>
    <w:p>
      <w:pPr>
        <w:pStyle w:val="ListBullet"/>
      </w:pPr>
      <w:r>
        <w:t>F13: Helix has NOT established an appeal process for AI-involved adverse decisions</w:t>
      </w:r>
    </w:p>
    <w:p>
      <w:pPr>
        <w:pStyle w:val="ListBullet"/>
      </w:pPr>
      <w:r>
        <w:t>F14: AutoApprove is used for lending decisions - financial or lending services</w:t>
      </w:r>
    </w:p>
    <w:p>
      <w:pPr>
        <w:pStyle w:val="ListBullet"/>
      </w:pPr>
      <w:r>
        <w:t>F15: Helix has 310 employees, far exceeding the 50-employee small deployer threshold</w:t>
      </w:r>
    </w:p>
    <w:p>
      <w:pPr>
        <w:pStyle w:val="ListBullet"/>
      </w:pPr>
      <w:r>
        <w:t>F16: FinLogic AI is San Francisco-based but sells AutoApprove for use in Colorado</w:t>
      </w:r>
    </w:p>
    <w:p>
      <w:pPr>
        <w:pStyle w:val="ListBullet"/>
      </w:pPr>
      <w:r>
        <w:t>F17: Colorado AI Act effective date is June 30, 2026; analysis date is April 16, 2026</w:t>
      </w:r>
    </w:p>
    <w:p>
      <w:pPr>
        <w:pStyle w:val="ListBullet"/>
      </w:pPr>
      <w:r>
        <w:t>F18: Stage 1 auto-approves above 70th percentile and auto-denies below 40th percentile with no human review</w:t>
      </w:r>
    </w:p>
    <w:p>
      <w:r>
        <w:rPr>
          <w:b/>
          <w:i w:val="0"/>
        </w:rPr>
        <w:t>Issues (7)</w:t>
      </w:r>
    </w:p>
    <w:p>
      <w:pPr>
        <w:pStyle w:val="ListBullet"/>
      </w:pPr>
      <w:r>
        <w:t>I1: Whether AutoApprove Stage 1 (fully automated) constitutes a high-risk AI system under CO AIA 6-1-1701(7)  (dispositive)</w:t>
      </w:r>
    </w:p>
    <w:p>
      <w:pPr>
        <w:pStyle w:val="ListBullet"/>
      </w:pPr>
      <w:r>
        <w:t>I2: Whether AutoApprove Stage 2 (human-reviewed) constitutes a high-risk AI system and whether AI is a substantial factor under 6-1-1701(9)  (dispositive)</w:t>
      </w:r>
    </w:p>
    <w:p>
      <w:pPr>
        <w:pStyle w:val="ListBullet"/>
      </w:pPr>
      <w:r>
        <w:t>I3: How to resolve the conflict between GC memo and Morrison memo - authority hierarchy relative to statutory text  (dispositive)</w:t>
      </w:r>
    </w:p>
    <w:p>
      <w:pPr>
        <w:pStyle w:val="ListBullet"/>
      </w:pPr>
      <w:r>
        <w:t>I4: Whether Helix is a deployer, developer, or both under CO AIA  (dispositive)</w:t>
      </w:r>
    </w:p>
    <w:p>
      <w:pPr>
        <w:pStyle w:val="ListBullet"/>
      </w:pPr>
      <w:r>
        <w:t>I5: Complete inventory of compliance gaps and required remedial actions by June 30, 2026  (dispositive)</w:t>
      </w:r>
    </w:p>
    <w:p>
      <w:pPr>
        <w:pStyle w:val="ListBullet"/>
      </w:pPr>
      <w:r>
        <w:t>I6: Whether FinLogic AI has separate developer obligations and whether current documentation is sufficient  (dispositive)</w:t>
      </w:r>
    </w:p>
    <w:p>
      <w:pPr>
        <w:pStyle w:val="ListBullet"/>
      </w:pPr>
      <w:r>
        <w:t>I7: Whether Helix qualifies for the small deployer exception under 6-1-1703(6)  (collateral)</w:t>
      </w:r>
    </w:p>
    <w:p>
      <w:r>
        <w:rPr>
          <w:b/>
          <w:i w:val="0"/>
        </w:rPr>
        <w:t>Rules (20)</w:t>
      </w:r>
    </w:p>
    <w:p>
      <w:pPr>
        <w:pStyle w:val="ListBullet"/>
      </w:pPr>
      <w:r>
        <w:t>R1  [CO AIA 6-1-1701(2)] — Definition of AI system: machine-based system processing inputs to produce outputs such as predictions, recommendations, decisions  (binding, Colorado)</w:t>
      </w:r>
    </w:p>
    <w:p>
      <w:pPr>
        <w:pStyle w:val="ListBullet"/>
      </w:pPr>
      <w:r>
        <w:t>R2  [CO AIA 6-1-1701(3)(c)] — Consequential decision includes material legal or significant effect on provision or denial of financial or lending services  (binding, Colorado)</w:t>
      </w:r>
    </w:p>
    <w:p>
      <w:pPr>
        <w:pStyle w:val="ListBullet"/>
      </w:pPr>
      <w:r>
        <w:t>R3  [CO AIA 6-1-1701(7)] — High-risk AI system: AI system that when deployed makes or is a substantial factor in making a consequential decision  (binding, Colorado)</w:t>
      </w:r>
    </w:p>
    <w:p>
      <w:pPr>
        <w:pStyle w:val="ListBullet"/>
      </w:pPr>
      <w:r>
        <w:t>R4  [CO AIA 6-1-1701(9)] — Substantial factor: materially contributed to consequential decision; human review does not negate if based primarily on AI output  (binding, Colorado)</w:t>
      </w:r>
    </w:p>
    <w:p>
      <w:pPr>
        <w:pStyle w:val="ListBullet"/>
      </w:pPr>
      <w:r>
        <w:t>R5  [CO AIA 6-1-1701(5)] — Deployer: person doing business in the state that deploys a high-risk AI system  (binding, Colorado)</w:t>
      </w:r>
    </w:p>
    <w:p>
      <w:pPr>
        <w:pStyle w:val="ListBullet"/>
      </w:pPr>
      <w:r>
        <w:t>R6  [CO AIA 6-1-1701(6)] — Developer: person doing business in the state that develops or substantially modifies an AI system intended or known to be used as high-risk  (binding, Colorado)</w:t>
      </w:r>
    </w:p>
    <w:p>
      <w:pPr>
        <w:pStyle w:val="ListBullet"/>
      </w:pPr>
      <w:r>
        <w:t>R7  [CO AIA 6-1-1703(2)(a)] — Deployer must implement risk management policy consistent with NIST AI 100-1 or substantially equivalent framework  (binding, Colorado)</w:t>
      </w:r>
    </w:p>
    <w:p>
      <w:pPr>
        <w:pStyle w:val="ListBullet"/>
      </w:pPr>
      <w:r>
        <w:t>R8  [CO AIA 6-1-1703(2)(b)] — Deployer must complete impact assessment prior to deployment or within 90 days for pre-existing systems, annually thereafter  (binding, Colorado)</w:t>
      </w:r>
    </w:p>
    <w:p>
      <w:pPr>
        <w:pStyle w:val="ListBullet"/>
      </w:pPr>
      <w:r>
        <w:t>R9  [CO AIA 6-1-1703(2)(c)] — Deployer must review deployment at least annually to ensure no algorithmic discrimination  (binding, Colorado)</w:t>
      </w:r>
    </w:p>
    <w:p>
      <w:pPr>
        <w:pStyle w:val="ListBullet"/>
      </w:pPr>
      <w:r>
        <w:t>R10  [CO AIA 6-1-1703(2)(d)] — Deployer must publish website statement summarizing high-risk AI systems and discrimination risk management  (binding, Colorado)</w:t>
      </w:r>
    </w:p>
    <w:p>
      <w:pPr>
        <w:pStyle w:val="ListBullet"/>
      </w:pPr>
      <w:r>
        <w:t>R11  [CO AIA 6-1-1703(2)(e)] — Deployer must provide pre-decision consumer notice of AI use, purpose, contact info, description, and website statement access  (binding, Colorado)</w:t>
      </w:r>
    </w:p>
    <w:p>
      <w:pPr>
        <w:pStyle w:val="ListBullet"/>
      </w:pPr>
      <w:r>
        <w:t>R12  [CO AIA 6-1-1703(2)(f)] — Deployer must provide consumer opportunity to correct incorrect personal data processed by AI system  (binding, Colorado)</w:t>
      </w:r>
    </w:p>
    <w:p>
      <w:pPr>
        <w:pStyle w:val="ListBullet"/>
      </w:pPr>
      <w:r>
        <w:t>R13  [CO AIA 6-1-1703(2)(g)] — Deployer must provide consumer meaningful opportunity to appeal consequential decision where AI was substantial factor  (binding, Colorado)</w:t>
      </w:r>
    </w:p>
    <w:p>
      <w:pPr>
        <w:pStyle w:val="ListBullet"/>
      </w:pPr>
      <w:r>
        <w:t>R14  [CO AIA 6-1-1703(6)] — Small deployer exception: fewer than 50 employees AND does not use own data to train; both conditions required  (binding, Colorado)</w:t>
      </w:r>
    </w:p>
    <w:p>
      <w:pPr>
        <w:pStyle w:val="ListBullet"/>
      </w:pPr>
      <w:r>
        <w:t>R15  [CO AIA 6-1-1702(2)] — Developer must provide deployer documentation on limitations, training data, intended uses, monitoring guidance, and impact assessment support  (binding, Colorado)</w:t>
      </w:r>
    </w:p>
    <w:p>
      <w:pPr>
        <w:pStyle w:val="ListBullet"/>
      </w:pPr>
      <w:r>
        <w:t>R16  [CO AIA 6-1-1702(3)] — Developer must publish public statement summarizing high-risk AI systems developed or substantially modified  (binding, Colorado)</w:t>
      </w:r>
    </w:p>
    <w:p>
      <w:pPr>
        <w:pStyle w:val="ListBullet"/>
      </w:pPr>
      <w:r>
        <w:t>R17  [CO AIA 6-1-1704] — Deployer or developer must notify AG and affected consumers within 90 days of discovering algorithmic discrimination  (binding, Colorado)</w:t>
      </w:r>
    </w:p>
    <w:p>
      <w:pPr>
        <w:pStyle w:val="ListBullet"/>
      </w:pPr>
      <w:r>
        <w:t>R18  [CO AIA 6-1-1706] — Violations are deceptive trade practices; AG exclusive enforcement; up to $20,000 per violation; rebuttable presumption for self-discovery and cure within 60 days  (binding, Colorado)</w:t>
      </w:r>
    </w:p>
    <w:p>
      <w:pPr>
        <w:pStyle w:val="ListBullet"/>
      </w:pPr>
      <w:r>
        <w:t>R19  [CO AIA 6-1-1703(3)] — Deployer rebuttable presumption of reasonable care if complied with 6-1-1703 and AG requirements  (binding, Colorado)</w:t>
      </w:r>
    </w:p>
    <w:p>
      <w:pPr>
        <w:pStyle w:val="ListBullet"/>
      </w:pPr>
      <w:r>
        <w:t>R20  [CO AIA 6-1-1701(8)] — Impact assessment must include purpose, discrimination risk analysis, training data categories, output description, known limitations, and oversight processes  (binding, Colorado)</w:t>
      </w:r>
    </w:p>
    <w:p>
      <w:r>
        <w:rPr>
          <w:b/>
          <w:i w:val="0"/>
        </w:rPr>
        <w:t>Application (16 steps)</w:t>
      </w:r>
    </w:p>
    <w:p>
      <w:pPr>
        <w:pStyle w:val="ListBullet"/>
      </w:pPr>
      <w:r>
        <w:t>A1 [satisfied] — applies R1 to facts F2 for I1: AutoApprove is a machine-based system that processes loan application inputs and produces credit-risk scores, risk narratives, and approval/denial decisions - outputs that influence real environments. Squarely meets the AI system definition.</w:t>
      </w:r>
    </w:p>
    <w:p>
      <w:pPr>
        <w:pStyle w:val="ListBullet"/>
      </w:pPr>
      <w:r>
        <w:t>A2 [satisfied] — applies R2 to facts F14, F18 for I1: Loan approval/denial decisions have material legal or similarly significant effect on provision or denial of financial or lending services under 6-1-1701(3)(c). AutoApprove decisions directly determine whether consumers receive loans.</w:t>
      </w:r>
    </w:p>
    <w:p>
      <w:pPr>
        <w:pStyle w:val="ListBullet"/>
      </w:pPr>
      <w:r>
        <w:t>A3 [satisfied] — applies R3 to facts F3, F18 for I1: In Stage 1, AutoApprove directly makes the consequential decision - auto-approving or auto-denying with no human review. The AI system makes the decision, not merely contributes to it. No exceptions under 6-1-1701(7)(a)-(d) apply: it is not a narrow procedural task, does not improve prior human activity, does not merely detect patterns, and is not preparatory.</w:t>
      </w:r>
    </w:p>
    <w:p>
      <w:pPr>
        <w:pStyle w:val="ListBullet"/>
      </w:pPr>
      <w:r>
        <w:t>A4 [satisfied] — applies R4 to facts F4, F5 for I2: In Stage 2, AutoApprove is a substantial factor: the underwriter receives the AI risk score and AI-generated risk narrative as 2 of 3 inputs. The 71% agreement rate indicates material contribution. Under 6-1-1701(9), human review does not negate substantial factor status when review is based primarily on AI output. The AI narrative frames the analysis by identifying key factors, creating anchoring effects. The anti-rubber-stamping provision directly applies.</w:t>
      </w:r>
    </w:p>
    <w:p>
      <w:pPr>
        <w:pStyle w:val="ListBullet"/>
      </w:pPr>
      <w:r>
        <w:t>A5 [satisfied] — applies R5 to facts F1, F2 for I4: Helix is doing business in Colorado (headquartered in Denver, operates exclusively in Colorado) and deploys AutoApprove, a high-risk AI system. Helix is unambiguously a deployer under 6-1-1701(5).</w:t>
      </w:r>
    </w:p>
    <w:p>
      <w:pPr>
        <w:pStyle w:val="ListBullet"/>
      </w:pPr>
      <w:r>
        <w:t>A6 [satisfied] — applies R6 to facts F1, F2 for I4: Helix did not develop or substantially modify AutoApprove - FinLogic AI developed it. No facts indicate Helix retrained or substantially modified the model. Helix is not a developer under 6-1-1701(6).</w:t>
      </w:r>
    </w:p>
    <w:p>
      <w:pPr>
        <w:pStyle w:val="ListBullet"/>
      </w:pPr>
      <w:r>
        <w:t>A7 [violated] — applies R14 to facts F15 for I7: The small deployer exception requires BOTH fewer than 50 employees AND not using own data to train. Helix has 310 employees, failing condition (a). The exception does not apply regardless of condition (b). All deployer obligations apply in full.</w:t>
      </w:r>
    </w:p>
    <w:p>
      <w:pPr>
        <w:pStyle w:val="ListBullet"/>
      </w:pPr>
      <w:r>
        <w:t>A8 [satisfied] — applies R7 to facts F8 for I5: Helix has implemented a risk management program aligned with NIST AI 100-1, documented in January 2026. This satisfies 6-1-1703(2)(a)(III) which requires consistency with NIST AI RMF or substantially equivalent framework.</w:t>
      </w:r>
    </w:p>
    <w:p>
      <w:pPr>
        <w:pStyle w:val="ListBullet"/>
      </w:pPr>
      <w:r>
        <w:t>A9 [satisfied] — applies R8 to facts F9 for I5: Helix completed an impact assessment in February 2026. For systems deployed before June 30, 2026, the assessment must be completed within 90 days after the effective date (by September 28, 2026). The February 2026 assessment satisfies this timeline, though content should be verified against 6-1-1701(8) requirements.</w:t>
      </w:r>
    </w:p>
    <w:p>
      <w:pPr>
        <w:pStyle w:val="ListBullet"/>
      </w:pPr>
      <w:r>
        <w:t>A10 [violated] — applies R11 to facts F11 for I5: Helix has NOT issued consumer notices to loan applicants regarding AI involvement. Section 6-1-1703(2)(e) requires pre-decision notice of AI use, purpose, contact info, plain-language description, and website statement access instructions. This is a critical compliance gap.</w:t>
      </w:r>
    </w:p>
    <w:p>
      <w:pPr>
        <w:pStyle w:val="ListBullet"/>
      </w:pPr>
      <w:r>
        <w:t>A11 [violated] — applies R12 to facts F12 for I5: Helix has NOT established a data correction process. Section 6-1-1703(2)(f) requires providing consumers opportunity to correct incorrect personal data processed by the AI system. This is a compliance gap.</w:t>
      </w:r>
    </w:p>
    <w:p>
      <w:pPr>
        <w:pStyle w:val="ListBullet"/>
      </w:pPr>
      <w:r>
        <w:t>A12 [violated] — applies R13 to facts F13 for I5: Helix has NOT established an appeal process. Section 6-1-1703(2)(g) requires providing consumers a meaningful opportunity to appeal consequential decisions where AI was a substantial factor. Particularly critical for Stage 1 auto-denials. This is a compliance gap.</w:t>
      </w:r>
    </w:p>
    <w:p>
      <w:pPr>
        <w:pStyle w:val="ListBullet"/>
      </w:pPr>
      <w:r>
        <w:t>A13 [violated] — applies R10 to facts F11 for I5: No facts indicate Helix has published a website statement summarizing its high-risk AI systems and algorithmic discrimination risk management as required by 6-1-1703(2)(d). This is a compliance gap.</w:t>
      </w:r>
    </w:p>
    <w:p>
      <w:pPr>
        <w:pStyle w:val="ListBullet"/>
      </w:pPr>
      <w:r>
        <w:t>A14 [partial] — applies R15 to facts F10, F16 for I6: FinLogic provided a model card and training data summary, likely covering 6-1-1702(2)(b) training data description and possibly (c) intended uses. However, no indication FinLogic provided: (a) algorithmic discrimination limitation documentation, (d) human monitoring guidance for consequential decisions, or (e) additional impact assessment support materials. Documentation is necessary but insufficient.</w:t>
      </w:r>
    </w:p>
    <w:p>
      <w:pPr>
        <w:pStyle w:val="ListBullet"/>
      </w:pPr>
      <w:r>
        <w:t>A15 [requires-fact] — applies R16 to facts F16 for I6: No facts indicate whether FinLogic has published a public use case inventory as required by 6-1-1702(3). FinLogic must do so if it is doing business in Colorado. The doing-business-in-state question for a San Francisco company selling to Colorado deployers requires further factual analysis.</w:t>
      </w:r>
    </w:p>
    <w:p>
      <w:pPr>
        <w:pStyle w:val="ListBullet"/>
      </w:pPr>
      <w:r>
        <w:t>A16 [satisfied] — applies R4 to facts F6, F7 for I3: The statutory text of 6-1-1701(9) controls over both memos. The GC memo fails to engage with the anti-rubber-stamping provision and ignores that 62% of decisions are fully automated. The Morrison memo correctly applies the statute. Neither memo is binding authority - the statute is the supreme authority. The GC memo is legally deficient; the Morrison memo is persuasive because it correctly interprets binding statutory text.</w:t>
      </w:r>
    </w:p>
    <w:p>
      <w:r>
        <w:rPr>
          <w:b/>
          <w:i w:val="0"/>
        </w:rPr>
        <w:t>Conclusions (6)</w:t>
      </w:r>
    </w:p>
    <w:p>
      <w:pPr>
        <w:pStyle w:val="ListBullet"/>
      </w:pPr>
      <w:r>
        <w:t>C1: non-compliant / high  (supported by A3)</w:t>
      </w:r>
    </w:p>
    <w:p>
      <w:pPr>
        <w:pStyle w:val="ListBullet"/>
      </w:pPr>
      <w:r>
        <w:t>C2: non-compliant / high  (supported by A4)</w:t>
      </w:r>
    </w:p>
    <w:p>
      <w:pPr>
        <w:pStyle w:val="ListBullet"/>
      </w:pPr>
      <w:r>
        <w:t>C3: non-compliant / high  (supported by A10, A11, A12, A13)</w:t>
      </w:r>
    </w:p>
    <w:p>
      <w:pPr>
        <w:pStyle w:val="ListBullet"/>
      </w:pPr>
      <w:r>
        <w:t>C4: compliant / high  (supported by A8, A9)</w:t>
      </w:r>
    </w:p>
    <w:p>
      <w:pPr>
        <w:pStyle w:val="ListBullet"/>
      </w:pPr>
      <w:r>
        <w:t>C5: conditional / medium  (supported by A14, A15)</w:t>
      </w:r>
    </w:p>
    <w:p>
      <w:pPr>
        <w:pStyle w:val="ListBullet"/>
      </w:pPr>
      <w:r>
        <w:t>C6: non-compliant / high  (supported by A16)</w:t>
      </w:r>
    </w:p>
    <w:p>
      <w:r>
        <w:rPr>
          <w:b/>
          <w:i w:val="0"/>
        </w:rPr>
        <w:t>Obligations (10)</w:t>
      </w:r>
    </w:p>
    <w:p>
      <w:pPr>
        <w:pStyle w:val="ListBullet"/>
      </w:pPr>
      <w:r>
        <w:t>O1: Implement pre-decision consumer notice system informing all loan applicants of AI use, purpose, contact info, plain-language description, and website statement access per 6-1-1703(2)(e)(I)-(V)  (mandatory, Colorado, by 2026-06-30)</w:t>
      </w:r>
    </w:p>
    <w:p>
      <w:pPr>
        <w:pStyle w:val="ListBullet"/>
      </w:pPr>
      <w:r>
        <w:t>O2: Establish documented process for consumers to correct incorrect personal data processed by AutoApprove per 6-1-1703(2)(f)  (mandatory, Colorado, by 2026-06-30)</w:t>
      </w:r>
    </w:p>
    <w:p>
      <w:pPr>
        <w:pStyle w:val="ListBullet"/>
      </w:pPr>
      <w:r>
        <w:t>O3: Establish meaningful appeal process for adverse consequential decisions where AutoApprove was a substantial factor per 6-1-1703(2)(g), including independent human review for Stage 1 auto-denials  (mandatory, Colorado, by 2026-06-30)</w:t>
      </w:r>
    </w:p>
    <w:p>
      <w:pPr>
        <w:pStyle w:val="ListBullet"/>
      </w:pPr>
      <w:r>
        <w:t>O4: Publish clear and readily accessible website statement summarizing deployed high-risk AI systems and algorithmic discrimination risk management per 6-1-1703(2)(d)  (mandatory, Colorado, by 2026-06-30)</w:t>
      </w:r>
    </w:p>
    <w:p>
      <w:pPr>
        <w:pStyle w:val="ListBullet"/>
      </w:pPr>
      <w:r>
        <w:t>O5: Verify February 2026 impact assessment meets all six content requirements of 6-1-1701(8)(a)-(f); supplement if gaps exist  (mandatory, Colorado, by 2026-09-28)</w:t>
      </w:r>
    </w:p>
    <w:p>
      <w:pPr>
        <w:pStyle w:val="ListBullet"/>
      </w:pPr>
      <w:r>
        <w:t>O6: Establish annual review process for AutoApprove deployment to ensure no algorithmic discrimination per 6-1-1703(2)(c)  (mandatory, Colorado, by 2027-06-30)</w:t>
      </w:r>
    </w:p>
    <w:p>
      <w:pPr>
        <w:pStyle w:val="ListBullet"/>
      </w:pPr>
      <w:r>
        <w:t>O7: Request from FinLogic AI additional developer documentation: algorithmic discrimination limitations (6-1-1702(2)(a)), human monitoring guidance (6-1-1702(2)(d)), and impact assessment support materials (6-1-1702(2)(e))  (mandatory, Colorado, by 2026-06-30)</w:t>
      </w:r>
    </w:p>
    <w:p>
      <w:pPr>
        <w:pStyle w:val="ListBullet"/>
      </w:pPr>
      <w:r>
        <w:t>O8: Establish ongoing algorithmic discrimination monitoring with 90-day AG and consumer notification protocol per 6-1-1704  (mandatory, Colorado, by 2026-06-30)</w:t>
      </w:r>
    </w:p>
    <w:p>
      <w:pPr>
        <w:pStyle w:val="ListBullet"/>
      </w:pPr>
      <w:r>
        <w:t>O9: Formally adopt Morrison &amp; Partners analysis and reject GC memo conclusion; document decision in board or compliance committee minutes  (recommended, Colorado)</w:t>
      </w:r>
    </w:p>
    <w:p>
      <w:pPr>
        <w:pStyle w:val="ListBullet"/>
      </w:pPr>
      <w:r>
        <w:t>O10: FinLogic AI must publish public use case inventory summarizing high-risk AI systems developed per 6-1-1702(3)  (mandatory, Colorado, by 2026-06-30)</w:t>
      </w:r>
    </w:p>
    <w:p>
      <w:pPr>
        <w:pStyle w:val="Heading2"/>
      </w:pPr>
      <w:r>
        <w:t>2.2 GPT-5 — frontier student</w:t>
      </w:r>
    </w:p>
    <w:p>
      <w:r>
        <w:rPr>
          <w:b/>
          <w:color w:val="1E8449"/>
          <w:sz w:val="26"/>
        </w:rPr>
        <w:t>GPT-5</w:t>
      </w:r>
    </w:p>
    <w:p>
      <w:r>
        <w:rPr>
          <w:b w:val="0"/>
          <w:i/>
          <w:sz w:val="18"/>
        </w:rPr>
        <w:t>gpt-5  ·  68 nodes  (F21 I5 R10 A14 C4 O14 · E48)</w:t>
      </w:r>
    </w:p>
    <w:p>
      <w:r>
        <w:rPr>
          <w:b/>
          <w:i w:val="0"/>
        </w:rPr>
        <w:t>Facts (21)</w:t>
      </w:r>
    </w:p>
    <w:p>
      <w:pPr>
        <w:pStyle w:val="ListBullet"/>
      </w:pPr>
      <w:r>
        <w:t>F1: Helix operates only in Colorado</w:t>
      </w:r>
    </w:p>
    <w:p>
      <w:pPr>
        <w:pStyle w:val="ListBullet"/>
      </w:pPr>
      <w:r>
        <w:t>F2: Helix HQ in Denver, 310 employees</w:t>
      </w:r>
    </w:p>
    <w:p>
      <w:pPr>
        <w:pStyle w:val="ListBullet"/>
      </w:pPr>
      <w:r>
        <w:t>F3: AutoApprove developed by FinLogic AI in SF</w:t>
      </w:r>
    </w:p>
    <w:p>
      <w:pPr>
        <w:pStyle w:val="ListBullet"/>
      </w:pPr>
      <w:r>
        <w:t>F4: Stage 1: AI auto-approves &gt;=70th percentile</w:t>
      </w:r>
    </w:p>
    <w:p>
      <w:pPr>
        <w:pStyle w:val="ListBullet"/>
      </w:pPr>
      <w:r>
        <w:t>F5: Stage 1: AI auto-denies &lt;40th percentile</w:t>
      </w:r>
    </w:p>
    <w:p>
      <w:pPr>
        <w:pStyle w:val="ListBullet"/>
      </w:pPr>
      <w:r>
        <w:t>F6: Stage 1 decisions have no human review</w:t>
      </w:r>
    </w:p>
    <w:p>
      <w:pPr>
        <w:pStyle w:val="ListBullet"/>
      </w:pPr>
      <w:r>
        <w:t>F7: Stage 2: 40th-70th sent to human underwriter</w:t>
      </w:r>
    </w:p>
    <w:p>
      <w:pPr>
        <w:pStyle w:val="ListBullet"/>
      </w:pPr>
      <w:r>
        <w:t>F8: Underwriter sees AI score and risk narrative</w:t>
      </w:r>
    </w:p>
    <w:p>
      <w:pPr>
        <w:pStyle w:val="ListBullet"/>
      </w:pPr>
      <w:r>
        <w:t>F9: Stage 2 underwriters agree with AI in 71%</w:t>
      </w:r>
    </w:p>
    <w:p>
      <w:pPr>
        <w:pStyle w:val="ListBullet"/>
      </w:pPr>
      <w:r>
        <w:t>F10: 62% of all apps decided at Stage 1</w:t>
      </w:r>
    </w:p>
    <w:p>
      <w:pPr>
        <w:pStyle w:val="ListBullet"/>
      </w:pPr>
      <w:r>
        <w:t>F11: 38% of apps go to Stage 2</w:t>
      </w:r>
    </w:p>
    <w:p>
      <w:pPr>
        <w:pStyle w:val="ListBullet"/>
      </w:pPr>
      <w:r>
        <w:t>F12: Overall 38% final decisions by a human</w:t>
      </w:r>
    </w:p>
    <w:p>
      <w:pPr>
        <w:pStyle w:val="ListBullet"/>
      </w:pPr>
      <w:r>
        <w:t>F13: GC memo says AI not a substantial factor</w:t>
      </w:r>
    </w:p>
    <w:p>
      <w:pPr>
        <w:pStyle w:val="ListBullet"/>
      </w:pPr>
      <w:r>
        <w:t>F14: Morrison memo says AI is a substantial factor</w:t>
      </w:r>
    </w:p>
    <w:p>
      <w:pPr>
        <w:pStyle w:val="ListBullet"/>
      </w:pPr>
      <w:r>
        <w:t>F15: Helix has NIST AI RMF program (Jan 2026)</w:t>
      </w:r>
    </w:p>
    <w:p>
      <w:pPr>
        <w:pStyle w:val="ListBullet"/>
      </w:pPr>
      <w:r>
        <w:t>F16: Impact assessment done Feb 2026</w:t>
      </w:r>
    </w:p>
    <w:p>
      <w:pPr>
        <w:pStyle w:val="ListBullet"/>
      </w:pPr>
      <w:r>
        <w:t>F17: FinLogic provided model card and data summary</w:t>
      </w:r>
    </w:p>
    <w:p>
      <w:pPr>
        <w:pStyle w:val="ListBullet"/>
      </w:pPr>
      <w:r>
        <w:t>F18: No consumer AI notices issued</w:t>
      </w:r>
    </w:p>
    <w:p>
      <w:pPr>
        <w:pStyle w:val="ListBullet"/>
      </w:pPr>
      <w:r>
        <w:t>F19: No data correction process for AI inputs</w:t>
      </w:r>
    </w:p>
    <w:p>
      <w:pPr>
        <w:pStyle w:val="ListBullet"/>
      </w:pPr>
      <w:r>
        <w:t>F20: No AI-aware appeal process</w:t>
      </w:r>
    </w:p>
    <w:p>
      <w:pPr>
        <w:pStyle w:val="ListBullet"/>
      </w:pPr>
      <w:r>
        <w:t>F21: Effective date June 30, 2026</w:t>
      </w:r>
    </w:p>
    <w:p>
      <w:r>
        <w:rPr>
          <w:b/>
          <w:i w:val="0"/>
        </w:rPr>
        <w:t>Issues (5)</w:t>
      </w:r>
    </w:p>
    <w:p>
      <w:pPr>
        <w:pStyle w:val="ListBullet"/>
      </w:pPr>
      <w:r>
        <w:t>I1: Is AutoApprove high-risk in Stage 1 and Stage 2?  (dispositive)</w:t>
      </w:r>
    </w:p>
    <w:p>
      <w:pPr>
        <w:pStyle w:val="ListBullet"/>
      </w:pPr>
      <w:r>
        <w:t>I2: Resolve memo conflict and authority hierarchy  (dispositive)</w:t>
      </w:r>
    </w:p>
    <w:p>
      <w:pPr>
        <w:pStyle w:val="ListBullet"/>
      </w:pPr>
      <w:r>
        <w:t>I3: Is Helix a deployer or developer?  (dispositive)</w:t>
      </w:r>
    </w:p>
    <w:p>
      <w:pPr>
        <w:pStyle w:val="ListBullet"/>
      </w:pPr>
      <w:r>
        <w:t>I4: What changes are needed for CO compliance by 6/30/26?  (dispositive)</w:t>
      </w:r>
    </w:p>
    <w:p>
      <w:pPr>
        <w:pStyle w:val="ListBullet"/>
      </w:pPr>
      <w:r>
        <w:t>I5: FinLogic developer duties and doc sufficiency  (dispositive)</w:t>
      </w:r>
    </w:p>
    <w:p>
      <w:r>
        <w:rPr>
          <w:b/>
          <w:i w:val="0"/>
        </w:rPr>
        <w:t>Rules (10)</w:t>
      </w:r>
    </w:p>
    <w:p>
      <w:pPr>
        <w:pStyle w:val="ListBullet"/>
      </w:pPr>
      <w:r>
        <w:t>R1  [C.R.S. § 6-1-1702] — High-risk AI: makes or is a substantial factor  (binding, CO)</w:t>
      </w:r>
    </w:p>
    <w:p>
      <w:pPr>
        <w:pStyle w:val="ListBullet"/>
      </w:pPr>
      <w:r>
        <w:t>R2  [C.R.S. § 6-1-1702] — Consequential decision includes lending  (binding, CO)</w:t>
      </w:r>
    </w:p>
    <w:p>
      <w:pPr>
        <w:pStyle w:val="ListBullet"/>
      </w:pPr>
      <w:r>
        <w:t>R3  [C.R.S. § 6-1-1702] — Substantial factor: assists or materially influences  (binding, CO)</w:t>
      </w:r>
    </w:p>
    <w:p>
      <w:pPr>
        <w:pStyle w:val="ListBullet"/>
      </w:pPr>
      <w:r>
        <w:t>R4  [C.R.S. § 6-1-1704] — Deployer duties: notices, rights, RM, records  (binding, CO)</w:t>
      </w:r>
    </w:p>
    <w:p>
      <w:pPr>
        <w:pStyle w:val="ListBullet"/>
      </w:pPr>
      <w:r>
        <w:t>R5  [C.R.S. § 6-1-1703] — Developer duties: docs, public stmt, incident notice  (binding, CO)</w:t>
      </w:r>
    </w:p>
    <w:p>
      <w:pPr>
        <w:pStyle w:val="ListBullet"/>
      </w:pPr>
      <w:r>
        <w:t>R6  [C.R.S. § 6-1-1707] — Safe harbor: NIST AI RMF rebuttable presumption  (binding, CO)</w:t>
      </w:r>
    </w:p>
    <w:p>
      <w:pPr>
        <w:pStyle w:val="ListBullet"/>
      </w:pPr>
      <w:r>
        <w:t>R7  [C.R.S. § 24-4-103] — APA: binding rules via rulemaking; memos nonbinding  (binding, CO)</w:t>
      </w:r>
    </w:p>
    <w:p>
      <w:pPr>
        <w:pStyle w:val="ListBullet"/>
      </w:pPr>
      <w:r>
        <w:t>R8  [C.R.S. § 6-1-1708] — AG enforcement; incident reporting timelines  (binding, CO)</w:t>
      </w:r>
    </w:p>
    <w:p>
      <w:pPr>
        <w:pStyle w:val="ListBullet"/>
      </w:pPr>
      <w:r>
        <w:t>R9  [SB 24-205 effective date] — Effective June 30, 2026  (binding, CO)</w:t>
      </w:r>
    </w:p>
    <w:p>
      <w:pPr>
        <w:pStyle w:val="ListBullet"/>
      </w:pPr>
      <w:r>
        <w:t>R10  [C.R.S. § 6-1-1702] — Developer and deployer definitions  (binding, CO)</w:t>
      </w:r>
    </w:p>
    <w:p>
      <w:r>
        <w:rPr>
          <w:b/>
          <w:i w:val="0"/>
        </w:rPr>
        <w:t>Application (14 steps)</w:t>
      </w:r>
    </w:p>
    <w:p>
      <w:pPr>
        <w:pStyle w:val="ListBullet"/>
      </w:pPr>
      <w:r>
        <w:t>A1 [satisfied] — applies R1 to facts F4, F5, F6, F10 for I1: AI alone makes lending decisions in 62% of cases</w:t>
      </w:r>
    </w:p>
    <w:p>
      <w:pPr>
        <w:pStyle w:val="ListBullet"/>
      </w:pPr>
      <w:r>
        <w:t>A2 [satisfied] — applies R3 to facts F7, F8, F9, F11 for I1: AI outputs frame human review and influence outcomes</w:t>
      </w:r>
    </w:p>
    <w:p>
      <w:pPr>
        <w:pStyle w:val="ListBullet"/>
      </w:pPr>
      <w:r>
        <w:t>A3 [satisfied] — applies R2 to facts F1 for I1: Underwriting is a consequential decision in CO</w:t>
      </w:r>
    </w:p>
    <w:p>
      <w:pPr>
        <w:pStyle w:val="ListBullet"/>
      </w:pPr>
      <w:r>
        <w:t>A4 [satisfied] — applies R7 to facts F13, F14 for I2: Statute binds; memos are nonbinding opinions</w:t>
      </w:r>
    </w:p>
    <w:p>
      <w:pPr>
        <w:pStyle w:val="ListBullet"/>
      </w:pPr>
      <w:r>
        <w:t>A5 [satisfied] — applies R10 to facts F1, F3 for I3: Helix deploys in CO; FinLogic develops the system</w:t>
      </w:r>
    </w:p>
    <w:p>
      <w:pPr>
        <w:pStyle w:val="ListBullet"/>
      </w:pPr>
      <w:r>
        <w:t>A6 [partial] — applies R4 to facts F15 for I4: RM program exists but other duties remain</w:t>
      </w:r>
    </w:p>
    <w:p>
      <w:pPr>
        <w:pStyle w:val="ListBullet"/>
      </w:pPr>
      <w:r>
        <w:t>A7 [partial] — applies R4 to facts F16 for I4: Impact assessment done; must update and retain</w:t>
      </w:r>
    </w:p>
    <w:p>
      <w:pPr>
        <w:pStyle w:val="ListBullet"/>
      </w:pPr>
      <w:r>
        <w:t>A8 [violated] — applies R4 to facts F18 for I4: No consumer AI notices in place</w:t>
      </w:r>
    </w:p>
    <w:p>
      <w:pPr>
        <w:pStyle w:val="ListBullet"/>
      </w:pPr>
      <w:r>
        <w:t>A9 [violated] — applies R4 to facts F19 for I4: No data correction workflow</w:t>
      </w:r>
    </w:p>
    <w:p>
      <w:pPr>
        <w:pStyle w:val="ListBullet"/>
      </w:pPr>
      <w:r>
        <w:t>A10 [violated] — applies R4 to facts F20 for I4: No AI-aware appeal process</w:t>
      </w:r>
    </w:p>
    <w:p>
      <w:pPr>
        <w:pStyle w:val="ListBullet"/>
      </w:pPr>
      <w:r>
        <w:t>A11 [violated] — applies R4 to facts — for I4: No public statement on high-risk AI use</w:t>
      </w:r>
    </w:p>
    <w:p>
      <w:pPr>
        <w:pStyle w:val="ListBullet"/>
      </w:pPr>
      <w:r>
        <w:t>A12 [violated] — applies R8 to facts — for I4: No incident response and AG notice process</w:t>
      </w:r>
    </w:p>
    <w:p>
      <w:pPr>
        <w:pStyle w:val="ListBullet"/>
      </w:pPr>
      <w:r>
        <w:t>A13 [violated] — applies R5 to facts F17 for I5: Model card alone lacks full §1703 disclosures</w:t>
      </w:r>
    </w:p>
    <w:p>
      <w:pPr>
        <w:pStyle w:val="ListBullet"/>
      </w:pPr>
      <w:r>
        <w:t>A14 [partial] — applies R6 to facts F15 for I4: NIST RMF aids safe harbor but not other duties</w:t>
      </w:r>
    </w:p>
    <w:p>
      <w:r>
        <w:rPr>
          <w:b/>
          <w:i w:val="0"/>
        </w:rPr>
        <w:t>Conclusions (4)</w:t>
      </w:r>
    </w:p>
    <w:p>
      <w:pPr>
        <w:pStyle w:val="ListBullet"/>
      </w:pPr>
      <w:r>
        <w:t>C1: compliant / high  (supported by A1, A2, A3)</w:t>
      </w:r>
    </w:p>
    <w:p>
      <w:pPr>
        <w:pStyle w:val="ListBullet"/>
      </w:pPr>
      <w:r>
        <w:t>C2: compliant / high  (supported by A5)</w:t>
      </w:r>
    </w:p>
    <w:p>
      <w:pPr>
        <w:pStyle w:val="ListBullet"/>
      </w:pPr>
      <w:r>
        <w:t>C3: non-compliant / high  (supported by A6, A7, A8, A9, A10, A11, A12)</w:t>
      </w:r>
    </w:p>
    <w:p>
      <w:pPr>
        <w:pStyle w:val="ListBullet"/>
      </w:pPr>
      <w:r>
        <w:t>C4: non-compliant / high  (supported by A13)</w:t>
      </w:r>
    </w:p>
    <w:p>
      <w:r>
        <w:rPr>
          <w:b/>
          <w:i w:val="0"/>
        </w:rPr>
        <w:t>Obligations (14)</w:t>
      </w:r>
    </w:p>
    <w:p>
      <w:pPr>
        <w:pStyle w:val="ListBullet"/>
      </w:pPr>
      <w:r>
        <w:t>O1: Implement pre-use AI notices for both stages  (mandatory, CO, by 2026-06-30)</w:t>
      </w:r>
    </w:p>
    <w:p>
      <w:pPr>
        <w:pStyle w:val="ListBullet"/>
      </w:pPr>
      <w:r>
        <w:t>O2: Provide adverse decision reasons and AI disclosure  (mandatory, CO, by decision-time)</w:t>
      </w:r>
    </w:p>
    <w:p>
      <w:pPr>
        <w:pStyle w:val="ListBullet"/>
      </w:pPr>
      <w:r>
        <w:t>O3: Launch data correction process for AI inputs  (mandatory, CO, by 2026-06-30)</w:t>
      </w:r>
    </w:p>
    <w:p>
      <w:pPr>
        <w:pStyle w:val="ListBullet"/>
      </w:pPr>
      <w:r>
        <w:t>O4: Create AI-aware appeal with human review  (mandatory, CO, by 2026-06-30)</w:t>
      </w:r>
    </w:p>
    <w:p>
      <w:pPr>
        <w:pStyle w:val="ListBullet"/>
      </w:pPr>
      <w:r>
        <w:t>O5: Publish plain-language statement on HR-AI use  (mandatory, CO, by 2026-06-30)</w:t>
      </w:r>
    </w:p>
    <w:p>
      <w:pPr>
        <w:pStyle w:val="ListBullet"/>
      </w:pPr>
      <w:r>
        <w:t>O6: Maintain impact assessments and RM records  (mandatory, CO, by ongoing)</w:t>
      </w:r>
    </w:p>
    <w:p>
      <w:pPr>
        <w:pStyle w:val="ListBullet"/>
      </w:pPr>
      <w:r>
        <w:t>O7: Set incident response and AG notice (90 days)  (mandatory, CO, by 90-days-from-discovery)</w:t>
      </w:r>
    </w:p>
    <w:p>
      <w:pPr>
        <w:pStyle w:val="ListBullet"/>
      </w:pPr>
      <w:r>
        <w:t>O8: Strengthen vendor contract for §1703 docs  (mandatory, CO, by 2026-06-30)</w:t>
      </w:r>
    </w:p>
    <w:p>
      <w:pPr>
        <w:pStyle w:val="ListBullet"/>
      </w:pPr>
      <w:r>
        <w:t>O9: Ongoing testing for algorithmic discrimination  (mandatory, CO, by ongoing)</w:t>
      </w:r>
    </w:p>
    <w:p>
      <w:pPr>
        <w:pStyle w:val="ListBullet"/>
      </w:pPr>
      <w:r>
        <w:t>O10: Staff training on notices, correction, appeals  (recommended, CO, by 2026-06-30)</w:t>
      </w:r>
    </w:p>
    <w:p>
      <w:pPr>
        <w:pStyle w:val="ListBullet"/>
      </w:pPr>
      <w:r>
        <w:t>O11: FinLogic: provide full developer disclosures  (mandatory, CO, by 2026-06-30)</w:t>
      </w:r>
    </w:p>
    <w:p>
      <w:pPr>
        <w:pStyle w:val="ListBullet"/>
      </w:pPr>
      <w:r>
        <w:t>O12: FinLogic: public statement on HR-AI risk mgmt  (mandatory, CO, by 2026-06-30)</w:t>
      </w:r>
    </w:p>
    <w:p>
      <w:pPr>
        <w:pStyle w:val="ListBullet"/>
      </w:pPr>
      <w:r>
        <w:t>O13: FinLogic: AG and deployer notice of incidents  (mandatory, CO, by 90-days-from-discovery)</w:t>
      </w:r>
    </w:p>
    <w:p>
      <w:pPr>
        <w:pStyle w:val="ListBullet"/>
      </w:pPr>
      <w:r>
        <w:t>O14: Map NIST RMF controls to §1704 duties  (safe-harbor, CO, by 2026-06-30)</w:t>
      </w:r>
    </w:p>
    <w:p>
      <w:r>
        <w:rPr>
          <w:b/>
          <w:i w:val="0"/>
          <w:color w:val="9E2B25"/>
        </w:rPr>
        <w:t>What L-GED counts here — L-GED = 125.5  (missed 16 · hallucinated 7 · edge diffs 21 · misgrounded 9)</w:t>
      </w:r>
    </w:p>
    <w:p>
      <w:r>
        <w:rPr>
          <w:b w:val="0"/>
          <w:i/>
        </w:rPr>
        <w:t>Teacher nodes it missed (16, highest-cost first):</w:t>
      </w:r>
    </w:p>
    <w:p>
      <w:pPr>
        <w:pStyle w:val="ListBullet"/>
      </w:pPr>
      <w:r>
        <w:t>R1 (w4): Definition of AI system: machine-based system processing inputs to produce outputs such as predictions, recommendations, decisions</w:t>
      </w:r>
    </w:p>
    <w:p>
      <w:pPr>
        <w:pStyle w:val="ListBullet"/>
      </w:pPr>
      <w:r>
        <w:t>R5 (w4): Deployer: person doing business in the state that deploys a high-risk AI system</w:t>
      </w:r>
    </w:p>
    <w:p>
      <w:pPr>
        <w:pStyle w:val="ListBullet"/>
      </w:pPr>
      <w:r>
        <w:t>R6 (w4): Developer: person doing business in the state that develops or substantially modifies an AI system intended or known to be used as high-risk</w:t>
      </w:r>
    </w:p>
    <w:p>
      <w:pPr>
        <w:pStyle w:val="ListBullet"/>
      </w:pPr>
      <w:r>
        <w:t>R9 (w4): Deployer must review deployment at least annually to ensure no algorithmic discrimination</w:t>
      </w:r>
    </w:p>
    <w:p>
      <w:pPr>
        <w:pStyle w:val="ListBullet"/>
      </w:pPr>
      <w:r>
        <w:t>R11 (w4): Deployer must provide pre-decision consumer notice of AI use, purpose, contact info, description, and website statement access</w:t>
      </w:r>
    </w:p>
    <w:p>
      <w:pPr>
        <w:pStyle w:val="ListBullet"/>
      </w:pPr>
      <w:r>
        <w:t>R12 (w4): Deployer must provide consumer opportunity to correct incorrect personal data processed by AI system</w:t>
      </w:r>
    </w:p>
    <w:p>
      <w:pPr>
        <w:pStyle w:val="ListBullet"/>
      </w:pPr>
      <w:r>
        <w:t>R13 (w4): Deployer must provide consumer meaningful opportunity to appeal consequential decision where AI was substantial factor</w:t>
      </w:r>
    </w:p>
    <w:p>
      <w:pPr>
        <w:pStyle w:val="ListBullet"/>
      </w:pPr>
      <w:r>
        <w:t>R14 (w4): Small deployer exception: fewer than 50 employees AND does not use own data to train; both conditions required</w:t>
      </w:r>
    </w:p>
    <w:p>
      <w:pPr>
        <w:pStyle w:val="ListBullet"/>
      </w:pPr>
      <w:r>
        <w:t>R17 (w4): Deployer or developer must notify AG and affected consumers within 90 days of discovering algorithmic discrimination</w:t>
      </w:r>
    </w:p>
    <w:p>
      <w:pPr>
        <w:pStyle w:val="ListBullet"/>
      </w:pPr>
      <w:r>
        <w:t>R20 (w4): Impact assessment must include purpose, discrimination risk analysis, training data categories, output description, known limitations, and oversight processes</w:t>
      </w:r>
    </w:p>
    <w:p>
      <w:pPr>
        <w:pStyle w:val="ListBullet"/>
      </w:pPr>
      <w:r>
        <w:t>A3 (w2.5): In Stage 1, AutoApprove directly makes the consequential decision - auto-approving or auto-denying with no human review. The AI system makes the decision, not merely contributes to it. No exceptions under 6-1-1701(7)(a)-(d) apply: it is not a narrow procedural task, does not improve prior human activity, does not merely detect patterns, and is not preparatory.</w:t>
      </w:r>
    </w:p>
    <w:p>
      <w:pPr>
        <w:pStyle w:val="ListBullet"/>
      </w:pPr>
      <w:r>
        <w:t>A6 (w2.5): Helix did not develop or substantially modify AutoApprove - FinLogic AI developed it. No facts indicate Helix retrained or substantially modified the model. Helix is not a developer under 6-1-1701(6).</w:t>
      </w:r>
    </w:p>
    <w:p>
      <w:r>
        <w:rPr>
          <w:b w:val="0"/>
          <w:i/>
        </w:rPr>
        <w:t>…and 4 more (see docs/REASONING_TRACES.md).</w:t>
      </w:r>
    </w:p>
    <w:p>
      <w:r>
        <w:rPr>
          <w:b w:val="0"/>
          <w:i/>
        </w:rPr>
        <w:t>Right idea, conflicting citation (9):</w:t>
      </w:r>
    </w:p>
    <w:p>
      <w:pPr>
        <w:pStyle w:val="ListBullet"/>
      </w:pPr>
      <w:r>
        <w:t>R2: cited C.R.S. § 6-1-1702 vs teacher CO AIA 6-1-1701(3)(c) — Consequential decision includes material legal or significant effect on provision or denial of financial or lending services</w:t>
      </w:r>
    </w:p>
    <w:p>
      <w:pPr>
        <w:pStyle w:val="ListBullet"/>
      </w:pPr>
      <w:r>
        <w:t>R1: cited C.R.S. § 6-1-1702 vs teacher CO AIA 6-1-1701(7) — High-risk AI system: AI system that when deployed makes or is a substantial factor in making a consequential decision</w:t>
      </w:r>
    </w:p>
    <w:p>
      <w:pPr>
        <w:pStyle w:val="ListBullet"/>
      </w:pPr>
      <w:r>
        <w:t>R3: cited C.R.S. § 6-1-1702 vs teacher CO AIA 6-1-1701(9) — Substantial factor: materially contributed to consequential decision; human review does not negate if based primarily on AI output</w:t>
      </w:r>
    </w:p>
    <w:p>
      <w:pPr>
        <w:pStyle w:val="ListBullet"/>
      </w:pPr>
      <w:r>
        <w:t>R6: cited C.R.S. § 6-1-1707 vs teacher CO AIA 6-1-1703(2)(a) — Deployer must implement risk management policy consistent with NIST AI 100-1 or substantially equivalent framework</w:t>
      </w:r>
    </w:p>
    <w:p>
      <w:pPr>
        <w:pStyle w:val="ListBullet"/>
      </w:pPr>
      <w:r>
        <w:t>R5: cited C.R.S. § 6-1-1703 vs teacher CO AIA 6-1-1703(2)(d) — Deployer must publish website statement summarizing high-risk AI systems and discrimination risk management</w:t>
      </w:r>
    </w:p>
    <w:p>
      <w:pPr>
        <w:pStyle w:val="ListBullet"/>
      </w:pPr>
      <w:r>
        <w:t>R10: cited C.R.S. § 6-1-1702 vs teacher CO AIA 6-1-1702(2) — Developer must provide deployer documentation on limitations, training data, intended uses, monitoring guidance, and impact assessment support</w:t>
      </w:r>
    </w:p>
    <w:p>
      <w:pPr>
        <w:pStyle w:val="ListBullet"/>
      </w:pPr>
      <w:r>
        <w:t>R7: cited C.R.S. § 24-4-103 vs teacher CO AIA 6-1-1702(3) — Developer must publish public statement summarizing high-risk AI systems developed or substantially modified</w:t>
      </w:r>
    </w:p>
    <w:p>
      <w:pPr>
        <w:pStyle w:val="ListBullet"/>
      </w:pPr>
      <w:r>
        <w:t>R8: cited C.R.S. § 6-1-1708 vs teacher CO AIA 6-1-1706 — Violations are deceptive trade practices; AG exclusive enforcement; up to $20,000 per violation; rebuttable presumption for self-discovery and cure within 60 days</w:t>
      </w:r>
    </w:p>
    <w:p>
      <w:pPr>
        <w:pStyle w:val="ListBullet"/>
      </w:pPr>
      <w:r>
        <w:t>R4: cited C.R.S. § 6-1-1704 vs teacher CO AIA 6-1-1703(3) — Deployer rebuttable presumption of reasonable care if complied with 6-1-1703 and AG requirements</w:t>
      </w:r>
    </w:p>
    <w:p>
      <w:pPr>
        <w:pStyle w:val="Heading2"/>
      </w:pPr>
      <w:r>
        <w:t>2.3 Llama-3B — weak student</w:t>
      </w:r>
    </w:p>
    <w:p>
      <w:r>
        <w:rPr>
          <w:b/>
          <w:color w:val="B0692B"/>
          <w:sz w:val="26"/>
        </w:rPr>
        <w:t>Llama-3B</w:t>
      </w:r>
    </w:p>
    <w:p>
      <w:r>
        <w:rPr>
          <w:b w:val="0"/>
          <w:i/>
          <w:sz w:val="18"/>
        </w:rPr>
        <w:t>unsloth/Llama-3.2-3B-Instruct  ·  14 nodes  (F7 I1 R3 A1 C1 O1 · E4)</w:t>
      </w:r>
    </w:p>
    <w:p>
      <w:r>
        <w:rPr>
          <w:b/>
          <w:i w:val="0"/>
        </w:rPr>
        <w:t>Facts (7)</w:t>
      </w:r>
    </w:p>
    <w:p>
      <w:pPr>
        <w:pStyle w:val="ListBullet"/>
      </w:pPr>
      <w:r>
        <w:t>F1: Helix Credit is a Colorado-based fintech lender headquartered in Denver with 310 employees and approximately $2.1 billion in annual loan originations.</w:t>
      </w:r>
    </w:p>
    <w:p>
      <w:pPr>
        <w:pStyle w:val="ListBullet"/>
      </w:pPr>
      <w:r>
        <w:t>F2: Helix has deployed AutoApprove, an AI-powered underwriting system developed by FinLogic AI, a San Francisco-based AI developer.</w:t>
      </w:r>
    </w:p>
    <w:p>
      <w:pPr>
        <w:pStyle w:val="ListBullet"/>
      </w:pPr>
      <w:r>
        <w:t>F3: AutoApprove operates in a two-stage workflow: Stage 1 (Automated) and Stage 2 (Human Review).</w:t>
      </w:r>
    </w:p>
    <w:p>
      <w:pPr>
        <w:pStyle w:val="ListBullet"/>
      </w:pPr>
      <w:r>
        <w:t>F4: Internal data from Q4 2025 through Q1 2026 shows that 62% of all applications are decided at Stage 1 (automated, no human involvement), and 38% of applications reach Stage 2 (human review).</w:t>
      </w:r>
    </w:p>
    <w:p>
      <w:pPr>
        <w:pStyle w:val="ListBullet"/>
      </w:pPr>
      <w:r>
        <w:t>F5: Internal data from Q4 2025 through Q1 2026 shows that within Stage 2, human underwriters agree with the direction implied by AutoApprove's score in 71% of cases.</w:t>
      </w:r>
    </w:p>
    <w:p>
      <w:pPr>
        <w:pStyle w:val="ListBullet"/>
      </w:pPr>
      <w:r>
        <w:t>F6: Helix's General Counsel has circulated an internal memo arguing that AutoApprove is not a 'substantial factor' in consequential decisions.  (disputed)</w:t>
      </w:r>
    </w:p>
    <w:p>
      <w:pPr>
        <w:pStyle w:val="ListBullet"/>
      </w:pPr>
      <w:r>
        <w:t>F7: Morrison &amp; Partners LLP has concluded that AutoApprove should be considered a 'substantial factor' in making consequential decisions under §6-1-1703 of the Colorado AI Act.</w:t>
      </w:r>
    </w:p>
    <w:p>
      <w:r>
        <w:rPr>
          <w:b/>
          <w:i w:val="0"/>
        </w:rPr>
        <w:t>Issues (1)</w:t>
      </w:r>
    </w:p>
    <w:p>
      <w:pPr>
        <w:pStyle w:val="ListBullet"/>
      </w:pPr>
      <w:r>
        <w:t>I1: Whether AutoApprove constitutes a 'high-risk artificial intelligence system' under the Colorado AI Act.  (dispositive)</w:t>
      </w:r>
    </w:p>
    <w:p>
      <w:r>
        <w:rPr>
          <w:b/>
          <w:i w:val="0"/>
        </w:rPr>
        <w:t>Rules (3)</w:t>
      </w:r>
    </w:p>
    <w:p>
      <w:pPr>
        <w:pStyle w:val="ListBullet"/>
      </w:pPr>
      <w:r>
        <w:t>R1  [NYC LL 144 §20-871] — NYC Local Law 144 definition of 'high-risk artificial intelligence system'  (binding, NYC)</w:t>
      </w:r>
    </w:p>
    <w:p>
      <w:pPr>
        <w:pStyle w:val="ListBullet"/>
      </w:pPr>
      <w:r>
        <w:t>R2  [CO SB 24-205 §6-1-1703] — Colorado AI Act definition of 'substantial factor'  (binding, CO)</w:t>
      </w:r>
    </w:p>
    <w:p>
      <w:pPr>
        <w:pStyle w:val="ListBullet"/>
      </w:pPr>
      <w:r>
        <w:t>R3  [NIST AI 100-1] — NIST AI Risk Management Framework  (advisory, NIST)</w:t>
      </w:r>
    </w:p>
    <w:p>
      <w:r>
        <w:rPr>
          <w:b/>
          <w:i w:val="0"/>
        </w:rPr>
        <w:t>Application (1 steps)</w:t>
      </w:r>
    </w:p>
    <w:p>
      <w:pPr>
        <w:pStyle w:val="ListBullet"/>
      </w:pPr>
      <w:r>
        <w:t>A1 [violated] — applies R1 to facts F1, F2, F3 for I1: AutoApprove's automated decisions may be considered 'substantial factors' in consequential decisions under NYC LL 144 and CO SB 24-205</w:t>
      </w:r>
    </w:p>
    <w:p>
      <w:r>
        <w:rPr>
          <w:b/>
          <w:i w:val="0"/>
        </w:rPr>
        <w:t>Conclusions (1)</w:t>
      </w:r>
    </w:p>
    <w:p>
      <w:pPr>
        <w:pStyle w:val="ListBullet"/>
      </w:pPr>
      <w:r>
        <w:t>C1: non-compliant / high  (supported by A1)</w:t>
      </w:r>
    </w:p>
    <w:p>
      <w:r>
        <w:rPr>
          <w:b/>
          <w:i w:val="0"/>
        </w:rPr>
        <w:t>Obligations (1)</w:t>
      </w:r>
    </w:p>
    <w:p>
      <w:pPr>
        <w:pStyle w:val="ListBullet"/>
      </w:pPr>
      <w:r>
        <w:t>O1: Implement a process for applicants to correct personal data processed by AutoApprove.  (mandatory, CO, by 2026-06-30)</w:t>
      </w:r>
    </w:p>
    <w:p>
      <w:r>
        <w:rPr>
          <w:b/>
          <w:i w:val="0"/>
          <w:color w:val="9E2B25"/>
        </w:rPr>
        <w:t>What L-GED counts here — L-GED = 162.5  (missed 63 · hallucinated 0 · edge diffs 3 · misgrounded 2)</w:t>
      </w:r>
    </w:p>
    <w:p>
      <w:r>
        <w:rPr>
          <w:b w:val="0"/>
          <w:i/>
        </w:rPr>
        <w:t>Teacher nodes it missed (63, highest-cost first):</w:t>
      </w:r>
    </w:p>
    <w:p>
      <w:pPr>
        <w:pStyle w:val="ListBullet"/>
      </w:pPr>
      <w:r>
        <w:t>R1 (w4): Definition of AI system: machine-based system processing inputs to produce outputs such as predictions, recommendations, decisions</w:t>
      </w:r>
    </w:p>
    <w:p>
      <w:pPr>
        <w:pStyle w:val="ListBullet"/>
      </w:pPr>
      <w:r>
        <w:t>R2 (w4): Consequential decision includes material legal or significant effect on provision or denial of financial or lending services</w:t>
      </w:r>
    </w:p>
    <w:p>
      <w:pPr>
        <w:pStyle w:val="ListBullet"/>
      </w:pPr>
      <w:r>
        <w:t>R5 (w4): Deployer: person doing business in the state that deploys a high-risk AI system</w:t>
      </w:r>
    </w:p>
    <w:p>
      <w:pPr>
        <w:pStyle w:val="ListBullet"/>
      </w:pPr>
      <w:r>
        <w:t>R6 (w4): Developer: person doing business in the state that develops or substantially modifies an AI system intended or known to be used as high-risk</w:t>
      </w:r>
    </w:p>
    <w:p>
      <w:pPr>
        <w:pStyle w:val="ListBullet"/>
      </w:pPr>
      <w:r>
        <w:t>R8 (w4): Deployer must complete impact assessment prior to deployment or within 90 days for pre-existing systems, annually thereafter</w:t>
      </w:r>
    </w:p>
    <w:p>
      <w:pPr>
        <w:pStyle w:val="ListBullet"/>
      </w:pPr>
      <w:r>
        <w:t>R9 (w4): Deployer must review deployment at least annually to ensure no algorithmic discrimination</w:t>
      </w:r>
    </w:p>
    <w:p>
      <w:pPr>
        <w:pStyle w:val="ListBullet"/>
      </w:pPr>
      <w:r>
        <w:t>R10 (w4): Deployer must publish website statement summarizing high-risk AI systems and discrimination risk management</w:t>
      </w:r>
    </w:p>
    <w:p>
      <w:pPr>
        <w:pStyle w:val="ListBullet"/>
      </w:pPr>
      <w:r>
        <w:t>R11 (w4): Deployer must provide pre-decision consumer notice of AI use, purpose, contact info, description, and website statement access</w:t>
      </w:r>
    </w:p>
    <w:p>
      <w:pPr>
        <w:pStyle w:val="ListBullet"/>
      </w:pPr>
      <w:r>
        <w:t>R12 (w4): Deployer must provide consumer opportunity to correct incorrect personal data processed by AI system</w:t>
      </w:r>
    </w:p>
    <w:p>
      <w:pPr>
        <w:pStyle w:val="ListBullet"/>
      </w:pPr>
      <w:r>
        <w:t>R13 (w4): Deployer must provide consumer meaningful opportunity to appeal consequential decision where AI was substantial factor</w:t>
      </w:r>
    </w:p>
    <w:p>
      <w:pPr>
        <w:pStyle w:val="ListBullet"/>
      </w:pPr>
      <w:r>
        <w:t>R14 (w4): Small deployer exception: fewer than 50 employees AND does not use own data to train; both conditions required</w:t>
      </w:r>
    </w:p>
    <w:p>
      <w:pPr>
        <w:pStyle w:val="ListBullet"/>
      </w:pPr>
      <w:r>
        <w:t>R15 (w4): Developer must provide deployer documentation on limitations, training data, intended uses, monitoring guidance, and impact assessment support</w:t>
      </w:r>
    </w:p>
    <w:p>
      <w:r>
        <w:rPr>
          <w:b w:val="0"/>
          <w:i/>
        </w:rPr>
        <w:t>…and 51 more (see docs/REASONING_TRACES.md).</w:t>
      </w:r>
    </w:p>
    <w:p>
      <w:r>
        <w:rPr>
          <w:b w:val="0"/>
          <w:i/>
        </w:rPr>
        <w:t>Right idea, conflicting citation (2):</w:t>
      </w:r>
    </w:p>
    <w:p>
      <w:pPr>
        <w:pStyle w:val="ListBullet"/>
      </w:pPr>
      <w:r>
        <w:t>R1: cited NYC LL 144 §20-871 vs teacher CO AIA 6-1-1701(7) — High-risk AI system: AI system that when deployed makes or is a substantial factor in making a consequential decision</w:t>
      </w:r>
    </w:p>
    <w:p>
      <w:pPr>
        <w:pStyle w:val="ListBullet"/>
      </w:pPr>
      <w:r>
        <w:t>R2: cited CO SB 24-205 §6-1-1703 vs teacher CO AIA 6-1-1701(9) — Substantial factor: materially contributed to consequential decision; human review does not negate if based primarily on AI output</w:t>
      </w:r>
    </w:p>
    <w:p>
      <w:pPr>
        <w:pStyle w:val="Heading1"/>
      </w:pPr>
      <w:r>
        <w:t>3. Phase 1 — Measurement (before → after)</w:t>
      </w:r>
    </w:p>
    <w:p>
      <w:r>
        <w:rPr>
          <w:b w:val="0"/>
          <w:i w:val="0"/>
        </w:rPr>
        <w:t>Phase 1 built the scoring pipeline and got the measurement right. The key choice was matching nodes by meaning (sentence embeddings) rather than word overlap. On H2 this flipped the ranking: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H2 L-GED</w:t>
            </w:r>
          </w:p>
        </w:tc>
        <w:tc>
          <w:tcPr>
            <w:tcW w:type="dxa" w:w="2160"/>
          </w:tcPr>
          <w:p>
            <w:r/>
            <w:r>
              <w:rPr>
                <w:b/>
              </w:rPr>
              <w:t>GPT-5</w:t>
            </w:r>
          </w:p>
        </w:tc>
        <w:tc>
          <w:tcPr>
            <w:tcW w:type="dxa" w:w="2160"/>
          </w:tcPr>
          <w:p>
            <w:r/>
            <w:r>
              <w:rPr>
                <w:b/>
              </w:rPr>
              <w:t>Llama-3B</w:t>
            </w:r>
          </w:p>
        </w:tc>
        <w:tc>
          <w:tcPr>
            <w:tcW w:type="dxa" w:w="2160"/>
          </w:tcPr>
          <w:p>
            <w:r/>
            <w:r>
              <w:rPr>
                <w:b/>
              </w:rPr>
              <w:t>Ranking</w:t>
            </w:r>
          </w:p>
        </w:tc>
      </w:tr>
      <w:tr>
        <w:tc>
          <w:tcPr>
            <w:tcW w:type="dxa" w:w="2160"/>
          </w:tcPr>
          <w:p>
            <w:r>
              <w:t>Word overlap (TF-IDF)</w:t>
            </w:r>
          </w:p>
        </w:tc>
        <w:tc>
          <w:tcPr>
            <w:tcW w:type="dxa" w:w="2160"/>
          </w:tcPr>
          <w:p>
            <w:r>
              <w:t>196.0</w:t>
            </w:r>
          </w:p>
        </w:tc>
        <w:tc>
          <w:tcPr>
            <w:tcW w:type="dxa" w:w="2160"/>
          </w:tcPr>
          <w:p>
            <w:r>
              <w:t>171.5</w:t>
            </w:r>
          </w:p>
        </w:tc>
        <w:tc>
          <w:tcPr>
            <w:tcW w:type="dxa" w:w="2160"/>
          </w:tcPr>
          <w:p>
            <w:r>
              <w:t>GPT-5 scored worse (wrong)</w:t>
            </w:r>
          </w:p>
        </w:tc>
      </w:tr>
      <w:tr>
        <w:tc>
          <w:tcPr>
            <w:tcW w:type="dxa" w:w="2160"/>
          </w:tcPr>
          <w:p>
            <w:r>
              <w:t>Meaning (embeddings)</w:t>
            </w:r>
          </w:p>
        </w:tc>
        <w:tc>
          <w:tcPr>
            <w:tcW w:type="dxa" w:w="2160"/>
          </w:tcPr>
          <w:p>
            <w:r>
              <w:t>125.5</w:t>
            </w:r>
          </w:p>
        </w:tc>
        <w:tc>
          <w:tcPr>
            <w:tcW w:type="dxa" w:w="2160"/>
          </w:tcPr>
          <w:p>
            <w:r>
              <w:t>162.5</w:t>
            </w:r>
          </w:p>
        </w:tc>
        <w:tc>
          <w:tcPr>
            <w:tcW w:type="dxa" w:w="2160"/>
          </w:tcPr>
          <w:p>
            <w:r>
              <w:t>GPT-5 correctly better</w:t>
            </w:r>
          </w:p>
        </w:tc>
      </w:tr>
    </w:tbl>
    <w:p>
      <w:pPr>
        <w:pStyle w:val="ListBullet"/>
      </w:pPr>
      <w:r>
        <w:t>Under TF-IDF, GPT-5's paraphrases of the teacher were counted as hallucinations (29 of them), inflating its score above Llama's.</w:t>
      </w:r>
    </w:p>
    <w:p>
      <w:pPr>
        <w:pStyle w:val="ListBullet"/>
      </w:pPr>
      <w:r>
        <w:t>Embeddings recognize the paraphrases as the same nodes — hallucinations drop to 7, and the ranking corrects.</w:t>
      </w:r>
    </w:p>
    <w:p>
      <w:pPr>
        <w:pStyle w:val="ListBullet"/>
      </w:pPr>
      <w:r>
        <w:t>This is the project's solid, publishable win: across all 6 cases, embedding ranks GPT-5 below Llama 6/6; TF-IDF 0/6. H2 is the most dramatic flip.</w:t>
      </w:r>
    </w:p>
    <w:p>
      <w:pPr>
        <w:pStyle w:val="Heading1"/>
      </w:pPr>
      <w:r>
        <w:t>4. Phase 2 — Patch injection (before → after)</w:t>
      </w:r>
    </w:p>
    <w:p>
      <w:r>
        <w:rPr>
          <w:b w:val="0"/>
          <w:i w:val="0"/>
        </w:rPr>
        <w:t>Phase 2 mined reusable “policy patches” from the training cases and injected the top-k into the students' prompts. On H2 this produced the biggest single win in the study: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Llama H2</w:t>
            </w:r>
          </w:p>
        </w:tc>
        <w:tc>
          <w:tcPr>
            <w:tcW w:type="dxa" w:w="2880"/>
          </w:tcPr>
          <w:p>
            <w:r/>
            <w:r>
              <w:rPr>
                <w:b/>
              </w:rPr>
              <w:t>L-GED</w:t>
            </w:r>
          </w:p>
        </w:tc>
        <w:tc>
          <w:tcPr>
            <w:tcW w:type="dxa" w:w="2880"/>
          </w:tcPr>
          <w:p>
            <w:r/>
            <w:r>
              <w:rPr>
                <w:b/>
              </w:rPr>
              <w:t>Δ vs baseline</w:t>
            </w:r>
          </w:p>
        </w:tc>
      </w:tr>
      <w:tr>
        <w:tc>
          <w:tcPr>
            <w:tcW w:type="dxa" w:w="2880"/>
          </w:tcPr>
          <w:p>
            <w:r>
              <w:t>No-patch baseline</w:t>
            </w:r>
          </w:p>
        </w:tc>
        <w:tc>
          <w:tcPr>
            <w:tcW w:type="dxa" w:w="2880"/>
          </w:tcPr>
          <w:p>
            <w:r>
              <w:t>162.5</w:t>
            </w:r>
          </w:p>
        </w:tc>
        <w:tc>
          <w:tcPr>
            <w:tcW w:type="dxa" w:w="2880"/>
          </w:tcPr>
          <w:p>
            <w:r>
              <w:t>—</w:t>
            </w:r>
          </w:p>
        </w:tc>
      </w:tr>
      <w:tr>
        <w:tc>
          <w:tcPr>
            <w:tcW w:type="dxa" w:w="2880"/>
          </w:tcPr>
          <w:p>
            <w:r>
              <w:t>+ top-3 patches (k=3, dirty store)</w:t>
            </w:r>
          </w:p>
        </w:tc>
        <w:tc>
          <w:tcPr>
            <w:tcW w:type="dxa" w:w="2880"/>
          </w:tcPr>
          <w:p>
            <w:r>
              <w:t>146.0</w:t>
            </w:r>
          </w:p>
        </w:tc>
        <w:tc>
          <w:tcPr>
            <w:tcW w:type="dxa" w:w="2880"/>
          </w:tcPr>
          <w:p>
            <w:r>
              <w:t>-16.5</w:t>
            </w:r>
          </w:p>
        </w:tc>
      </w:tr>
    </w:tbl>
    <w:p>
      <w:r>
        <w:rPr>
          <w:b/>
          <w:i w:val="0"/>
        </w:rPr>
        <w:t>What changed in the trace — the rules Llama cited:</w:t>
      </w:r>
    </w:p>
    <w:tbl>
      <w:tblPr>
        <w:tblStyle w:val="TableGrid"/>
        <w:tblW w:type="auto" w:w="0"/>
        <w:tblLook w:firstColumn="1" w:firstRow="1" w:lastColumn="0" w:lastRow="0" w:noHBand="0" w:noVBand="1" w:val="04A0"/>
      </w:tblPr>
      <w:tblGrid>
        <w:gridCol w:w="4320"/>
        <w:gridCol w:w="4320"/>
      </w:tblGrid>
      <w:tr>
        <w:tc>
          <w:tcPr>
            <w:tcW w:type="dxa" w:w="4320"/>
          </w:tcPr>
          <w:p>
            <w:r/>
            <w:r>
              <w:rPr>
                <w:b/>
              </w:rPr>
              <w:t>Baseline (3 rules)</w:t>
            </w:r>
          </w:p>
        </w:tc>
        <w:tc>
          <w:tcPr>
            <w:tcW w:type="dxa" w:w="4320"/>
          </w:tcPr>
          <w:p>
            <w:r/>
            <w:r>
              <w:rPr>
                <w:b/>
              </w:rPr>
              <w:t>+ patches (5 rules)</w:t>
            </w:r>
          </w:p>
        </w:tc>
      </w:tr>
      <w:tr>
        <w:tc>
          <w:tcPr>
            <w:tcW w:type="dxa" w:w="4320"/>
          </w:tcPr>
          <w:p>
            <w:r>
              <w:t>NYC LL 144 §20-871 · CO SB 24-205 §6-1-1703 · NIST AI 100-1</w:t>
            </w:r>
          </w:p>
        </w:tc>
        <w:tc>
          <w:tcPr>
            <w:tcW w:type="dxa" w:w="4320"/>
          </w:tcPr>
          <w:p>
            <w:r>
              <w:t>CO AIA §6-1-1703(2)(a) · CO AIA §6-1-1703(2)(b) · CO AIA §6-1-1703(2)(c) · NYC LL 144 §20-871 · NYC LL 144 §20-872</w:t>
            </w:r>
          </w:p>
        </w:tc>
      </w:tr>
    </w:tbl>
    <w:p>
      <w:pPr>
        <w:pStyle w:val="ListBullet"/>
      </w:pPr>
      <w:r>
        <w:t>The patches injected three correct Colorado deployer-duty subsections (§6-1-1703(2)(a/b/c)) the student had never cited — it looked like genuine rule recovery.</w:t>
      </w:r>
    </w:p>
    <w:p>
      <w:pPr>
        <w:pStyle w:val="ListBullet"/>
      </w:pPr>
      <w:r>
        <w:t>The hypothesis seemed confirmed: patches help the weak student, best at k=3. So we pressure-tested it in Phase 3.</w:t>
      </w:r>
    </w:p>
    <w:p>
      <w:pPr>
        <w:pStyle w:val="Heading1"/>
      </w:pPr>
      <w:r>
        <w:t>5. Phase 3 — Data-validity cleanup (before → after)</w:t>
      </w:r>
    </w:p>
    <w:p>
      <w:r>
        <w:rPr>
          <w:b w:val="0"/>
          <w:i w:val="0"/>
        </w:rPr>
        <w:t>Phase 3 audited the data, found contamination, quarantined it, pinned one consistent model run, and re-scored. The H2 win did not survive: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Llama H2, k=3</w:t>
            </w:r>
          </w:p>
        </w:tc>
        <w:tc>
          <w:tcPr>
            <w:tcW w:type="dxa" w:w="2880"/>
          </w:tcPr>
          <w:p>
            <w:r/>
            <w:r>
              <w:rPr>
                <w:b/>
              </w:rPr>
              <w:t>Phase 2 (dirty)</w:t>
            </w:r>
          </w:p>
        </w:tc>
        <w:tc>
          <w:tcPr>
            <w:tcW w:type="dxa" w:w="2880"/>
          </w:tcPr>
          <w:p>
            <w:r/>
            <w:r>
              <w:rPr>
                <w:b/>
              </w:rPr>
              <w:t>Phase 3 (clean)</w:t>
            </w:r>
          </w:p>
        </w:tc>
      </w:tr>
      <w:tr>
        <w:tc>
          <w:tcPr>
            <w:tcW w:type="dxa" w:w="2880"/>
          </w:tcPr>
          <w:p>
            <w:r>
              <w:t>L-GED</w:t>
            </w:r>
          </w:p>
        </w:tc>
        <w:tc>
          <w:tcPr>
            <w:tcW w:type="dxa" w:w="2880"/>
          </w:tcPr>
          <w:p>
            <w:r>
              <w:t>146.0</w:t>
            </w:r>
          </w:p>
        </w:tc>
        <w:tc>
          <w:tcPr>
            <w:tcW w:type="dxa" w:w="2880"/>
          </w:tcPr>
          <w:p>
            <w:r>
              <w:t>158.0</w:t>
            </w:r>
          </w:p>
        </w:tc>
      </w:tr>
      <w:tr>
        <w:tc>
          <w:tcPr>
            <w:tcW w:type="dxa" w:w="2880"/>
          </w:tcPr>
          <w:p>
            <w:r>
              <w:t>Δ vs baseline</w:t>
            </w:r>
          </w:p>
        </w:tc>
        <w:tc>
          <w:tcPr>
            <w:tcW w:type="dxa" w:w="2880"/>
          </w:tcPr>
          <w:p>
            <w:r>
              <w:t>-16.5</w:t>
            </w:r>
          </w:p>
        </w:tc>
        <w:tc>
          <w:tcPr>
            <w:tcW w:type="dxa" w:w="2880"/>
          </w:tcPr>
          <w:p>
            <w:r>
              <w:t>-4.5</w:t>
            </w:r>
          </w:p>
        </w:tc>
      </w:tr>
      <w:tr>
        <w:tc>
          <w:tcPr>
            <w:tcW w:type="dxa" w:w="2880"/>
          </w:tcPr>
          <w:p>
            <w:r>
              <w:t>GPT-5 H2, k=3 (Δ)</w:t>
            </w:r>
          </w:p>
        </w:tc>
        <w:tc>
          <w:tcPr>
            <w:tcW w:type="dxa" w:w="2880"/>
          </w:tcPr>
          <w:p>
            <w:r>
              <w:t>-11.0</w:t>
            </w:r>
          </w:p>
        </w:tc>
        <w:tc>
          <w:tcPr>
            <w:tcW w:type="dxa" w:w="2880"/>
          </w:tcPr>
          <w:p>
            <w:r>
              <w:t>+5.0 (hurt)</w:t>
            </w:r>
          </w:p>
        </w:tc>
      </w:tr>
    </w:tbl>
    <w:p>
      <w:r>
        <w:rPr>
          <w:b/>
          <w:i w:val="0"/>
        </w:rPr>
        <w:t>What changed in the trace — the rules Llama cited:</w:t>
      </w:r>
    </w:p>
    <w:tbl>
      <w:tblPr>
        <w:tblStyle w:val="TableGrid"/>
        <w:tblW w:type="auto" w:w="0"/>
        <w:tblLook w:firstColumn="1" w:firstRow="1" w:lastColumn="0" w:lastRow="0" w:noHBand="0" w:noVBand="1" w:val="04A0"/>
      </w:tblPr>
      <w:tblGrid>
        <w:gridCol w:w="4320"/>
        <w:gridCol w:w="4320"/>
      </w:tblGrid>
      <w:tr>
        <w:tc>
          <w:tcPr>
            <w:tcW w:type="dxa" w:w="4320"/>
          </w:tcPr>
          <w:p>
            <w:r/>
            <w:r>
              <w:rPr>
                <w:b/>
              </w:rPr>
              <w:t>Phase 2 dirty (5 rules)</w:t>
            </w:r>
          </w:p>
        </w:tc>
        <w:tc>
          <w:tcPr>
            <w:tcW w:type="dxa" w:w="4320"/>
          </w:tcPr>
          <w:p>
            <w:r/>
            <w:r>
              <w:rPr>
                <w:b/>
              </w:rPr>
              <w:t>Phase 3 clean (3 rules)</w:t>
            </w:r>
          </w:p>
        </w:tc>
      </w:tr>
      <w:tr>
        <w:tc>
          <w:tcPr>
            <w:tcW w:type="dxa" w:w="4320"/>
          </w:tcPr>
          <w:p>
            <w:r>
              <w:t>CO AIA §6-1-1703(2)(a) · CO AIA §6-1-1703(2)(b) · CO AIA §6-1-1703(2)(c) · NYC LL 144 §20-871 · NYC LL 144 §20-872</w:t>
            </w:r>
          </w:p>
        </w:tc>
        <w:tc>
          <w:tcPr>
            <w:tcW w:type="dxa" w:w="4320"/>
          </w:tcPr>
          <w:p>
            <w:r>
              <w:t>CO AIA §6-1-1703(2)(a) · NYC LL 144 §20-871 · NIST AI RMF 1.0</w:t>
            </w:r>
          </w:p>
        </w:tc>
      </w:tr>
    </w:tbl>
    <w:p>
      <w:pPr>
        <w:pStyle w:val="ListBullet"/>
      </w:pPr>
      <w:r>
        <w:t>Two causes of the collapse: (1) the extra Colorado subsections came from patches mined off a contaminated store and were not independently verified, so quarantine removed them; (2) the teacher graph itself carries a fabricated §20-875, and GPT-5's run-to-run variance is ±9.5 — larger than a 4.5 effect.</w:t>
      </w:r>
    </w:p>
    <w:p>
      <w:pPr>
        <w:pStyle w:val="ListBullet"/>
      </w:pPr>
      <w:r>
        <w:t>The clean patch still does one real thing: it fixes Llama's lead-rule grounding from NYC §20-871 to CO §6-1-1703(2)(a). But it does not add coverage — still one issue.</w:t>
      </w:r>
    </w:p>
    <w:p>
      <w:pPr>
        <w:pStyle w:val="ListBullet"/>
      </w:pPr>
      <w:r>
        <w:t>Honest read: on clean data the patch effect is within noise. Phase 3 was built to catch exactly this.</w:t>
      </w:r>
    </w:p>
    <w:p>
      <w:pPr>
        <w:pStyle w:val="Heading1"/>
      </w:pPr>
      <w:r>
        <w:t>6. H2 across all three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Phase</w:t>
            </w:r>
          </w:p>
        </w:tc>
        <w:tc>
          <w:tcPr>
            <w:tcW w:type="dxa" w:w="2880"/>
          </w:tcPr>
          <w:p>
            <w:r/>
            <w:r>
              <w:rPr>
                <w:b/>
              </w:rPr>
              <w:t>What it did to H2</w:t>
            </w:r>
          </w:p>
        </w:tc>
        <w:tc>
          <w:tcPr>
            <w:tcW w:type="dxa" w:w="2880"/>
          </w:tcPr>
          <w:p>
            <w:r/>
            <w:r>
              <w:rPr>
                <w:b/>
              </w:rPr>
              <w:t>The number</w:t>
            </w:r>
          </w:p>
        </w:tc>
      </w:tr>
      <w:tr>
        <w:tc>
          <w:tcPr>
            <w:tcW w:type="dxa" w:w="2880"/>
          </w:tcPr>
          <w:p>
            <w:r>
              <w:t>Phase 1 — Measurement</w:t>
            </w:r>
          </w:p>
        </w:tc>
        <w:tc>
          <w:tcPr>
            <w:tcW w:type="dxa" w:w="2880"/>
          </w:tcPr>
          <w:p>
            <w:r>
              <w:t>Fixed the ranking (TF-IDF had GPT-5 worse)</w:t>
            </w:r>
          </w:p>
        </w:tc>
        <w:tc>
          <w:tcPr>
            <w:tcW w:type="dxa" w:w="2880"/>
          </w:tcPr>
          <w:p>
            <w:r>
              <w:t>GPT-5 196.0→125.5; ranking corrected</w:t>
            </w:r>
          </w:p>
        </w:tc>
      </w:tr>
      <w:tr>
        <w:tc>
          <w:tcPr>
            <w:tcW w:type="dxa" w:w="2880"/>
          </w:tcPr>
          <w:p>
            <w:r>
              <w:t>Phase 2 — Patch injection</w:t>
            </w:r>
          </w:p>
        </w:tc>
        <w:tc>
          <w:tcPr>
            <w:tcW w:type="dxa" w:w="2880"/>
          </w:tcPr>
          <w:p>
            <w:r>
              <w:t>Top-3 patches, Llama k=3</w:t>
            </w:r>
          </w:p>
        </w:tc>
        <w:tc>
          <w:tcPr>
            <w:tcW w:type="dxa" w:w="2880"/>
          </w:tcPr>
          <w:p>
            <w:r>
              <w:t>-16.5 (looked like recovery)</w:t>
            </w:r>
          </w:p>
        </w:tc>
      </w:tr>
      <w:tr>
        <w:tc>
          <w:tcPr>
            <w:tcW w:type="dxa" w:w="2880"/>
          </w:tcPr>
          <w:p>
            <w:r>
              <w:t>Phase 3 — Cleanup</w:t>
            </w:r>
          </w:p>
        </w:tc>
        <w:tc>
          <w:tcPr>
            <w:tcW w:type="dxa" w:w="2880"/>
          </w:tcPr>
          <w:p>
            <w:r>
              <w:t>Quarantine + pinned baseline, Llama k=3</w:t>
            </w:r>
          </w:p>
        </w:tc>
        <w:tc>
          <w:tcPr>
            <w:tcW w:type="dxa" w:w="2880"/>
          </w:tcPr>
          <w:p>
            <w:r>
              <w:t>-4.5 (win mostly contamination)</w:t>
            </w:r>
          </w:p>
        </w:tc>
      </w:tr>
    </w:tbl>
    <w:p>
      <w:pPr>
        <w:pStyle w:val="ListBullet"/>
      </w:pPr>
      <w:r>
        <w:t>The metric is trustworthy — H2's ranking corrected, 6/6 overall.</w:t>
      </w:r>
    </w:p>
    <w:p>
      <w:pPr>
        <w:pStyle w:val="ListBullet"/>
      </w:pPr>
      <w:r>
        <w:t>The intervention's headline did not survive honest data hygiene: the recovery was largely fabricated Colorado subsections plus run-to-run noise.</w:t>
      </w:r>
    </w:p>
    <w:p>
      <w:pPr>
        <w:pStyle w:val="ListBullet"/>
      </w:pPr>
      <w:r>
        <w:t>Next: the ceiling of in-context patching for a 3B model is low — the reasoning trace still collapses to one issue. The path to real gains is learning from the teacher, using L-GED as a training reward (see docs/IMPROVEMENT_DIRECTIONS.md).</w:t>
      </w:r>
    </w:p>
    <w:p>
      <w:r>
        <w:rPr>
          <w:b w:val="0"/>
          <w:i w:val="0"/>
        </w:rPr>
      </w:r>
    </w:p>
    <w:p>
      <w:r>
        <w:rPr>
          <w:b w:val="0"/>
          <w:i/>
          <w:sz w:val="18"/>
        </w:rPr>
        <w:t>Full untruncated traces for all cases: docs/REASONING_TRACES.md. Interactive: the “Reasoning traces” page in scripts/view_graph.py (pick H2). This document regenerates via scripts/build_h2_docx.py.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