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/>
      </w:pPr>
    </w:p>
    <w:p>
      <w:pPr>
        <w:spacing w:after="280"/>
      </w:pPr>
    </w:p>
    <w:p>
      <w:pPr>
        <w:spacing w:after="280"/>
      </w:pPr>
    </w:p>
    <w:p>
      <w:pPr>
        <w:spacing w:after="280"/>
      </w:pPr>
    </w:p>
    <w:p>
      <w:pPr>
        <w:jc w:val="center"/>
      </w:pPr>
      <w:r>
        <w:rPr>
          <w:rFonts w:ascii="Calibri" w:hAnsi="Calibri"/>
          <w:b/>
          <w:color w:val="E60012"/>
          <w:sz w:val="22"/>
        </w:rPr>
        <w:t>OPERATIONS &amp; USER GUIDE</w:t>
      </w:r>
    </w:p>
    <w:p>
      <w:pPr>
        <w:spacing w:before="200" w:after="160"/>
        <w:jc w:val="center"/>
      </w:pPr>
      <w:r>
        <w:rPr>
          <w:rFonts w:ascii="Calibri" w:hAnsi="Calibri"/>
          <w:b/>
          <w:color w:val="E60012"/>
          <w:sz w:val="84"/>
        </w:rPr>
        <w:t>MCS</w:t>
      </w:r>
    </w:p>
    <w:p>
      <w:pPr>
        <w:jc w:val="center"/>
      </w:pPr>
      <w:r>
        <w:rPr>
          <w:rFonts w:ascii="Calibri" w:hAnsi="Calibri"/>
          <w:b/>
          <w:color w:val="1A1D23"/>
          <w:sz w:val="44"/>
        </w:rPr>
        <w:t>Merchant Checkout System</w:t>
      </w:r>
    </w:p>
    <w:p>
      <w:pPr>
        <w:spacing w:after="1100"/>
        <w:jc w:val="center"/>
      </w:pPr>
      <w:r>
        <w:rPr>
          <w:rFonts w:ascii="Calibri" w:hAnsi="Calibri"/>
          <w:i/>
          <w:color w:val="64748B"/>
          <w:sz w:val="24"/>
        </w:rPr>
        <w:t>A practical guide for merchants, customers, administrators, and demo reviewers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4560"/>
        <w:gridCol w:w="2600"/>
      </w:tblGrid>
      <w:tr>
        <w:trPr>
          <w:tblHeader w:val="true"/>
        </w:trPr>
        <w:tc>
          <w:tcPr>
            <w:tcW w:type="dxa" w:w="2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>Edition</w:t>
            </w:r>
          </w:p>
        </w:tc>
        <w:tc>
          <w:tcPr>
            <w:tcW w:type="dxa" w:w="4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>Scope</w:t>
            </w:r>
          </w:p>
        </w:tc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>Status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1A1D23"/>
                <w:sz w:val="19"/>
              </w:rPr>
              <w:t>1.0 · 14 July 2026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1A1D23"/>
                <w:sz w:val="19"/>
              </w:rPr>
              <w:t>BRD end-to-end processes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1A1D23"/>
                <w:sz w:val="19"/>
              </w:rPr>
              <w:t>Verified build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FFF1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keepLines/>
              <w:spacing w:after="60"/>
            </w:pPr>
            <w:r>
              <w:rPr>
                <w:b/>
                <w:color w:val="E60012"/>
              </w:rPr>
              <w:t>What this guide covers</w:t>
            </w:r>
          </w:p>
          <w:p>
            <w:pPr>
              <w:keepLines/>
              <w:spacing w:after="0"/>
            </w:pPr>
            <w:r>
              <w:t>Account access, merchant billing, customer payment, transaction states, refunds, reports, live activity, assistant behavior, and recovery steps.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keepNext/>
        <w:spacing w:after="120"/>
      </w:pPr>
      <w:r>
        <w:rPr>
          <w:rFonts w:ascii="Calibri" w:hAnsi="Calibri"/>
          <w:b/>
          <w:color w:val="1A1D23"/>
          <w:sz w:val="48"/>
        </w:rPr>
        <w:t>1. Start here</w:t>
      </w:r>
    </w:p>
    <w:p>
      <w:pPr>
        <w:spacing w:after="360"/>
      </w:pPr>
      <w:r>
        <w:rPr>
          <w:rFonts w:ascii="Calibri" w:hAnsi="Calibri"/>
          <w:color w:val="64748B"/>
          <w:sz w:val="26"/>
        </w:rPr>
        <w:t>Roles, services, sign-in, and the safest first run</w:t>
      </w:r>
    </w:p>
    <w:p>
      <w:pPr>
        <w:pStyle w:val="Heading1"/>
      </w:pPr>
      <w:r>
        <w:t>System roles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4300"/>
        <w:gridCol w:w="3360"/>
      </w:tblGrid>
      <w:tr>
        <w:trPr>
          <w:tblHeader w:val="true"/>
        </w:trPr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>Role</w:t>
            </w:r>
          </w:p>
        </w:tc>
        <w:tc>
          <w:tcPr>
            <w:tcW w:type="dxa" w:w="4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>Primary work</w:t>
            </w:r>
          </w:p>
        </w:tc>
        <w:tc>
          <w:tcPr>
            <w:tcW w:type="dxa" w:w="33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>Protected boundary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1A1D23"/>
                <w:sz w:val="19"/>
              </w:rPr>
              <w:t>Merchant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1A1D23"/>
                <w:sz w:val="19"/>
              </w:rPr>
              <w:t>Create/find bills, monitor customers and settlements, refund paid bills, export reports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1A1D23"/>
                <w:sz w:val="19"/>
              </w:rPr>
              <w:t>Only the merchant's own bills, customers, transactions, and reports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1A1D23"/>
                <w:sz w:val="19"/>
              </w:rPr>
              <w:t>Customer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1A1D23"/>
                <w:sz w:val="19"/>
              </w:rPr>
              <w:t>View bills, pay pending bills, review payment history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1A1D23"/>
                <w:sz w:val="19"/>
              </w:rPr>
              <w:t>Only the customer's own bills and transactions</w:t>
            </w:r>
          </w:p>
        </w:tc>
      </w:tr>
    </w:tbl>
    <w:p>
      <w:pPr>
        <w:spacing w:after="0"/>
      </w:pPr>
    </w:p>
    <w:p>
      <w:pPr>
        <w:pStyle w:val="Heading1"/>
      </w:pPr>
      <w:r>
        <w:t>First local run</w:t>
      </w:r>
    </w:p>
    <w:p>
      <w:pPr>
        <w:pStyle w:val="ListNumber"/>
      </w:pPr>
      <w:r>
        <w:t>Start PostgreSQL and confirm the mcs_db database exists.</w:t>
      </w:r>
    </w:p>
    <w:p>
      <w:pPr>
        <w:pStyle w:val="ListNumber"/>
      </w:pPr>
      <w:r>
        <w:t>Start Kafka on port 9092 when demonstrating the live feed.</w:t>
      </w:r>
    </w:p>
    <w:p>
      <w:pPr>
        <w:pStyle w:val="ListNumber"/>
      </w:pPr>
      <w:r>
        <w:t>Run the Spring Boot API on port 8080.</w:t>
      </w:r>
    </w:p>
    <w:p>
      <w:pPr>
        <w:pStyle w:val="ListNumber"/>
      </w:pPr>
      <w:r>
        <w:t>Run Flutter with MCS_API_BASE_URL pointing to the API.</w:t>
      </w:r>
    </w:p>
    <w:p>
      <w:pPr>
        <w:pStyle w:val="ListNumber"/>
      </w:pPr>
      <w:r>
        <w:t>Sign in as the intended role; merchant and customer sessions are deliberately separate.</w:t>
      </w:r>
    </w:p>
    <w:p>
      <w:pPr>
        <w:pStyle w:val="Heading2"/>
      </w:pPr>
      <w:r>
        <w:t>Seeded demo access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4300"/>
        <w:gridCol w:w="3260"/>
      </w:tblGrid>
      <w:tr>
        <w:trPr>
          <w:tblHeader w:val="true"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>Role</w:t>
            </w:r>
          </w:p>
        </w:tc>
        <w:tc>
          <w:tcPr>
            <w:tcW w:type="dxa" w:w="4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>Email</w:t>
            </w:r>
          </w:p>
        </w:tc>
        <w:tc>
          <w:tcPr>
            <w:tcW w:type="dxa" w:w="32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>Password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1A1D23"/>
                <w:sz w:val="19"/>
              </w:rPr>
              <w:t>Merchant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1A1D23"/>
                <w:sz w:val="19"/>
              </w:rPr>
              <w:t>sharma@electronics.com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1A1D23"/>
                <w:sz w:val="19"/>
              </w:rPr>
              <w:t>McsDemo@123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1A1D23"/>
                <w:sz w:val="19"/>
              </w:rPr>
              <w:t>Customer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1A1D23"/>
                <w:sz w:val="19"/>
              </w:rPr>
              <w:t>rahul@gmail.com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1A1D23"/>
                <w:sz w:val="19"/>
              </w:rPr>
              <w:t>McsDemo@123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FFF7E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keepLines/>
              <w:spacing w:after="60"/>
            </w:pPr>
            <w:r>
              <w:rPr>
                <w:b/>
                <w:color w:val="E60012"/>
              </w:rPr>
              <w:t>Security</w:t>
            </w:r>
          </w:p>
          <w:p>
            <w:pPr>
              <w:keepLines/>
              <w:spacing w:after="0"/>
            </w:pPr>
            <w:r>
              <w:t>A 401 means the token is absent or expired. A 403 means the signed-in account does not own the requested resource. Do not work around either response by changing IDs.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keepNext/>
        <w:spacing w:after="120"/>
      </w:pPr>
      <w:r>
        <w:rPr>
          <w:rFonts w:ascii="Calibri" w:hAnsi="Calibri"/>
          <w:b/>
          <w:color w:val="1A1D23"/>
          <w:sz w:val="48"/>
        </w:rPr>
        <w:t>2. Merchant workflow</w:t>
      </w:r>
    </w:p>
    <w:p>
      <w:pPr>
        <w:spacing w:after="360"/>
      </w:pPr>
      <w:r>
        <w:rPr>
          <w:rFonts w:ascii="Calibri" w:hAnsi="Calibri"/>
          <w:color w:val="64748B"/>
          <w:sz w:val="26"/>
        </w:rPr>
        <w:t>From bill creation to customer visibility and settlement reporting</w:t>
      </w:r>
    </w:p>
    <w:p>
      <w:pPr>
        <w:pStyle w:val="Heading1"/>
      </w:pPr>
      <w:r>
        <w:t>Create a bill</w:t>
      </w:r>
    </w:p>
    <w:p>
      <w:pPr>
        <w:pStyle w:val="ListNumber"/>
      </w:pPr>
      <w:r>
        <w:t>Open Bills and choose Create Bill.</w:t>
      </w:r>
    </w:p>
    <w:p>
      <w:pPr>
        <w:pStyle w:val="ListNumber"/>
      </w:pPr>
      <w:r>
        <w:t>Select the intended customer and enter an amount of at least ₹1.00.</w:t>
      </w:r>
    </w:p>
    <w:p>
      <w:pPr>
        <w:pStyle w:val="ListNumber"/>
      </w:pPr>
      <w:r>
        <w:t>Add a description that lets both parties identify the charge.</w:t>
      </w:r>
    </w:p>
    <w:p>
      <w:pPr>
        <w:pStyle w:val="ListNumber"/>
      </w:pPr>
      <w:r>
        <w:t>Submit once. The new bill appears as PENDING.</w:t>
      </w:r>
    </w:p>
    <w:p>
      <w:pPr>
        <w:pStyle w:val="Heading1"/>
      </w:pPr>
      <w:r>
        <w:t>Find a bill without long scrolling</w:t>
      </w:r>
    </w:p>
    <w:p>
      <w:pPr>
        <w:pStyle w:val="ListBullet"/>
      </w:pPr>
      <w:r>
        <w:t>Search by bill ID, customer, or description.</w:t>
      </w:r>
    </w:p>
    <w:p>
      <w:pPr>
        <w:pStyle w:val="ListBullet"/>
      </w:pPr>
      <w:r>
        <w:t>Filter by Pending, Paid, Failed, or Refunded; combine with the date filter.</w:t>
      </w:r>
    </w:p>
    <w:p>
      <w:pPr>
        <w:pStyle w:val="ListBullet"/>
      </w:pPr>
      <w:r>
        <w:t>Sort newest/oldest as needed. Clear filters to restore the full directory.</w:t>
      </w:r>
    </w:p>
    <w:p>
      <w:pPr>
        <w:pStyle w:val="Heading1"/>
      </w:pPr>
      <w:r>
        <w:t>Connected customers</w:t>
      </w:r>
    </w:p>
    <w:p>
      <w:r>
        <w:t>The Customers section is live backend data aggregated from the merchant's persisted bills. A customer becomes connected when the merchant has bill activity with that customer. Paid value and outstanding value are calculated from bill status, not typed into the dashboard.</w:t>
      </w:r>
    </w:p>
    <w:p>
      <w:pPr>
        <w:pStyle w:val="Heading1"/>
      </w:pPr>
      <w:r>
        <w:t>Live transaction feed</w:t>
      </w:r>
    </w:p>
    <w:p>
      <w:pPr>
        <w:pStyle w:val="ListBullet"/>
      </w:pPr>
      <w:r>
        <w:t>Settled payments publish a Kafka transaction-completed event.</w:t>
      </w:r>
    </w:p>
    <w:p>
      <w:pPr>
        <w:pStyle w:val="ListBullet"/>
      </w:pPr>
      <w:r>
        <w:t>The dashboard receives the merchant's activity through the WebSocket feed.</w:t>
      </w:r>
    </w:p>
    <w:p>
      <w:pPr>
        <w:pStyle w:val="ListBullet"/>
      </w:pPr>
      <w:r>
        <w:t>Use the horizontal/contained scrolling area for additional cards; it is intentionally not a tall page list.</w:t>
      </w:r>
    </w:p>
    <w:p>
      <w:r>
        <w:br w:type="page"/>
      </w:r>
    </w:p>
    <w:p>
      <w:pPr>
        <w:keepNext/>
        <w:spacing w:after="120"/>
      </w:pPr>
      <w:r>
        <w:rPr>
          <w:rFonts w:ascii="Calibri" w:hAnsi="Calibri"/>
          <w:b/>
          <w:color w:val="1A1D23"/>
          <w:sz w:val="48"/>
        </w:rPr>
        <w:t>3. Customer workflow</w:t>
      </w:r>
    </w:p>
    <w:p>
      <w:pPr>
        <w:spacing w:after="360"/>
      </w:pPr>
      <w:r>
        <w:rPr>
          <w:rFonts w:ascii="Calibri" w:hAnsi="Calibri"/>
          <w:color w:val="64748B"/>
          <w:sz w:val="26"/>
        </w:rPr>
        <w:t>Review, pay, verify, and recover</w:t>
      </w:r>
    </w:p>
    <w:p>
      <w:pPr>
        <w:pStyle w:val="Heading1"/>
      </w:pPr>
      <w:r>
        <w:t>Understand the dashboard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rPr>
          <w:tblHeader w:val="true"/>
        </w:trPr>
        <w:tc>
          <w:tcPr>
            <w:tcW w:type="dxa" w:w="2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>Area</w:t>
            </w:r>
          </w:p>
        </w:tc>
        <w:tc>
          <w:tcPr>
            <w:tcW w:type="dxa" w:w="70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>Meaning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1A1D23"/>
                <w:sz w:val="19"/>
              </w:rPr>
              <w:t>Outstanding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1A1D23"/>
                <w:sz w:val="19"/>
              </w:rPr>
              <w:t>Total value of currently pending bills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1A1D23"/>
                <w:sz w:val="19"/>
              </w:rPr>
              <w:t>Bills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1A1D23"/>
                <w:sz w:val="19"/>
              </w:rPr>
              <w:t>Actual bill count and status distribution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1A1D23"/>
                <w:sz w:val="19"/>
              </w:rPr>
              <w:t>Spending trend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1A1D23"/>
                <w:sz w:val="19"/>
              </w:rPr>
              <w:t>Settled payment values by real activity date; labels/tooltips expose amounts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1A1D23"/>
                <w:sz w:val="19"/>
              </w:rPr>
              <w:t>Recent activity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1A1D23"/>
                <w:sz w:val="19"/>
              </w:rPr>
              <w:t>Latest persisted bills/payments, not mock examples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1A1D23"/>
                <w:sz w:val="19"/>
              </w:rPr>
              <w:t>Next payment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1A1D23"/>
                <w:sz w:val="19"/>
              </w:rPr>
              <w:t>The nearest actionable pending bill, or an all-caught-up state</w:t>
            </w:r>
          </w:p>
        </w:tc>
      </w:tr>
    </w:tbl>
    <w:p>
      <w:pPr>
        <w:spacing w:after="0"/>
      </w:pPr>
    </w:p>
    <w:p>
      <w:pPr>
        <w:pStyle w:val="Heading1"/>
      </w:pPr>
      <w:r>
        <w:t>Pay a bill</w:t>
      </w:r>
    </w:p>
    <w:p>
      <w:pPr>
        <w:pStyle w:val="ListNumber"/>
      </w:pPr>
      <w:r>
        <w:t>Open Bills, filter to Pending, and select the correct bill.</w:t>
      </w:r>
    </w:p>
    <w:p>
      <w:pPr>
        <w:pStyle w:val="ListNumber"/>
      </w:pPr>
      <w:r>
        <w:t>Review merchant, description, and amount before continuing.</w:t>
      </w:r>
    </w:p>
    <w:p>
      <w:pPr>
        <w:pStyle w:val="ListNumber"/>
      </w:pPr>
      <w:r>
        <w:t>Choose UPI, Card, or Net Banking and initiate the transaction.</w:t>
      </w:r>
    </w:p>
    <w:p>
      <w:pPr>
        <w:pStyle w:val="ListNumber"/>
      </w:pPr>
      <w:r>
        <w:t>The API returns an authorization decision. A decline leaves the bill pending for a safe retry.</w:t>
      </w:r>
    </w:p>
    <w:p>
      <w:pPr>
        <w:pStyle w:val="ListNumber"/>
      </w:pPr>
      <w:r>
        <w:t>After authorization, settlement changes the bill to PAID and creates a unique reference.</w:t>
      </w:r>
    </w:p>
    <w:p>
      <w:pPr>
        <w:pStyle w:val="Heading1"/>
      </w:pPr>
      <w:r>
        <w:t>Verify the result</w:t>
      </w:r>
    </w:p>
    <w:p>
      <w:pPr>
        <w:pStyle w:val="ListBullet"/>
      </w:pPr>
      <w:r>
        <w:t>The success receipt must show Transaction ID, settlement reference, merchant, amount, and PAID status.</w:t>
      </w:r>
    </w:p>
    <w:p>
      <w:pPr>
        <w:pStyle w:val="ListBullet"/>
      </w:pPr>
      <w:r>
        <w:t>Payment History can be searched and filtered; use it instead of relying only on the dashboard card.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FFF1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keepLines/>
              <w:spacing w:after="60"/>
            </w:pPr>
            <w:r>
              <w:rPr>
                <w:b/>
                <w:color w:val="E60012"/>
              </w:rPr>
              <w:t>Never double-pay</w:t>
            </w:r>
          </w:p>
          <w:p>
            <w:pPr>
              <w:keepLines/>
              <w:spacing w:after="0"/>
            </w:pPr>
            <w:r>
              <w:t>If the screen is interrupted after authorization, reopen the bill and inspect its status/history before attempting another payment.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keepNext/>
        <w:spacing w:after="120"/>
      </w:pPr>
      <w:r>
        <w:rPr>
          <w:rFonts w:ascii="Calibri" w:hAnsi="Calibri"/>
          <w:b/>
          <w:color w:val="1A1D23"/>
          <w:sz w:val="48"/>
        </w:rPr>
        <w:t>4. Lifecycle, refunds, and reports</w:t>
      </w:r>
    </w:p>
    <w:p>
      <w:pPr>
        <w:spacing w:after="360"/>
      </w:pPr>
      <w:r>
        <w:rPr>
          <w:rFonts w:ascii="Calibri" w:hAnsi="Calibri"/>
          <w:color w:val="64748B"/>
          <w:sz w:val="26"/>
        </w:rPr>
        <w:t>Status meanings and operator rules</w:t>
      </w:r>
    </w:p>
    <w:p>
      <w:pPr>
        <w:pStyle w:val="Heading1"/>
      </w:pPr>
      <w:r>
        <w:t>Transaction states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4300"/>
        <w:gridCol w:w="3160"/>
      </w:tblGrid>
      <w:tr>
        <w:trPr>
          <w:tblHeader w:val="true"/>
        </w:trP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>State</w:t>
            </w:r>
          </w:p>
        </w:tc>
        <w:tc>
          <w:tcPr>
            <w:tcW w:type="dxa" w:w="4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>Meaning</w:t>
            </w:r>
          </w:p>
        </w:tc>
        <w:tc>
          <w:tcPr>
            <w:tcW w:type="dxa" w:w="31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>Next valid action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1A1D23"/>
                <w:sz w:val="19"/>
              </w:rPr>
              <w:t>INITIATED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1A1D23"/>
                <w:sz w:val="19"/>
              </w:rPr>
              <w:t>Payment attempt recorded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1A1D23"/>
                <w:sz w:val="19"/>
              </w:rPr>
              <w:t>Authorize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1A1D23"/>
                <w:sz w:val="19"/>
              </w:rPr>
              <w:t>AUTHORIZED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1A1D23"/>
                <w:sz w:val="19"/>
              </w:rPr>
              <w:t>Payment method approved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1A1D23"/>
                <w:sz w:val="19"/>
              </w:rPr>
              <w:t>Settle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1A1D23"/>
                <w:sz w:val="19"/>
              </w:rPr>
              <w:t>SETTLED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1A1D23"/>
                <w:sz w:val="19"/>
              </w:rPr>
              <w:t>Funds recorded and settlement persisted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1A1D23"/>
                <w:sz w:val="19"/>
              </w:rPr>
              <w:t>Report or refund the paid bill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1A1D23"/>
                <w:sz w:val="19"/>
              </w:rPr>
              <w:t>FAILED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1A1D23"/>
                <w:sz w:val="19"/>
              </w:rPr>
              <w:t>Authorization declined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1A1D23"/>
                <w:sz w:val="19"/>
              </w:rPr>
              <w:t>Retry from the pending bill</w:t>
            </w:r>
          </w:p>
        </w:tc>
      </w:tr>
    </w:tbl>
    <w:p>
      <w:pPr>
        <w:spacing w:after="0"/>
      </w:pPr>
    </w:p>
    <w:p>
      <w:pPr>
        <w:pStyle w:val="Heading1"/>
      </w:pPr>
      <w:r>
        <w:t>Refund a payment</w:t>
      </w:r>
    </w:p>
    <w:p>
      <w:pPr>
        <w:pStyle w:val="ListNumber"/>
      </w:pPr>
      <w:r>
        <w:t>Merchant opens a bill with PAID status.</w:t>
      </w:r>
    </w:p>
    <w:p>
      <w:pPr>
        <w:pStyle w:val="ListNumber"/>
      </w:pPr>
      <w:r>
        <w:t>Choose Refund and enter a concise reason.</w:t>
      </w:r>
    </w:p>
    <w:p>
      <w:pPr>
        <w:pStyle w:val="ListNumber"/>
      </w:pPr>
      <w:r>
        <w:t>Confirm once. The backend records REFUNDED, the reason, and the refund timestamp.</w:t>
      </w:r>
    </w:p>
    <w:p>
      <w:pPr>
        <w:pStyle w:val="ListNumber"/>
      </w:pPr>
      <w:r>
        <w:t>Download the refund CSV from Reports when evidence is required.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FFF7E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keepLines/>
              <w:spacing w:after="60"/>
            </w:pPr>
            <w:r>
              <w:rPr>
                <w:b/>
                <w:color w:val="E60012"/>
              </w:rPr>
              <w:t>Refund rule</w:t>
            </w:r>
          </w:p>
          <w:p>
            <w:pPr>
              <w:keepLines/>
              <w:spacing w:after="0"/>
            </w:pPr>
            <w:r>
              <w:t>Pending and failed bills cannot be refunded because no successful settlement exists.</w:t>
            </w:r>
          </w:p>
        </w:tc>
      </w:tr>
    </w:tbl>
    <w:p>
      <w:pPr>
        <w:spacing w:after="0"/>
      </w:pPr>
    </w:p>
    <w:p>
      <w:pPr>
        <w:pStyle w:val="Heading1"/>
      </w:pPr>
      <w:r>
        <w:t>Report outputs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050"/>
        <w:gridCol w:w="4200"/>
        <w:gridCol w:w="3110"/>
      </w:tblGrid>
      <w:tr>
        <w:trPr>
          <w:tblHeader w:val="true"/>
        </w:trPr>
        <w:tc>
          <w:tcPr>
            <w:tcW w:type="dxa" w:w="20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>Output</w:t>
            </w:r>
          </w:p>
        </w:tc>
        <w:tc>
          <w:tcPr>
            <w:tcW w:type="dxa" w:w="4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>Contents</w:t>
            </w:r>
          </w:p>
        </w:tc>
        <w:tc>
          <w:tcPr>
            <w:tcW w:type="dxa" w:w="31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>Use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1A1D23"/>
                <w:sz w:val="19"/>
              </w:rPr>
              <w:t>Daily report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1A1D23"/>
                <w:sz w:val="19"/>
              </w:rPr>
              <w:t>Today's settlement totals and counts</w:t>
            </w:r>
          </w:p>
        </w:tc>
        <w:tc>
          <w:tcPr>
            <w:tcW w:type="dxa" w:w="3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1A1D23"/>
                <w:sz w:val="19"/>
              </w:rPr>
              <w:t>Daily reconciliation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1A1D23"/>
                <w:sz w:val="19"/>
              </w:rPr>
              <w:t>Weekly report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1A1D23"/>
                <w:sz w:val="19"/>
              </w:rPr>
              <w:t>Seven-day settlement totals and counts</w:t>
            </w:r>
          </w:p>
        </w:tc>
        <w:tc>
          <w:tcPr>
            <w:tcW w:type="dxa" w:w="3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1A1D23"/>
                <w:sz w:val="19"/>
              </w:rPr>
              <w:t>Operational review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1A1D23"/>
                <w:sz w:val="19"/>
              </w:rPr>
              <w:t>Bill statement CSV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1A1D23"/>
                <w:sz w:val="19"/>
              </w:rPr>
              <w:t>Merchant bill directory</w:t>
            </w:r>
          </w:p>
        </w:tc>
        <w:tc>
          <w:tcPr>
            <w:tcW w:type="dxa" w:w="3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1A1D23"/>
                <w:sz w:val="19"/>
              </w:rPr>
              <w:t>Spreadsheet analysis/audit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1A1D23"/>
                <w:sz w:val="19"/>
              </w:rPr>
              <w:t>Refund CSV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1A1D23"/>
                <w:sz w:val="19"/>
              </w:rPr>
              <w:t>Only persisted REFUNDED bills</w:t>
            </w:r>
          </w:p>
        </w:tc>
        <w:tc>
          <w:tcPr>
            <w:tcW w:type="dxa" w:w="3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1A1D23"/>
                <w:sz w:val="19"/>
              </w:rPr>
              <w:t>Refund control evidence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keepNext/>
        <w:spacing w:after="120"/>
      </w:pPr>
      <w:r>
        <w:rPr>
          <w:rFonts w:ascii="Calibri" w:hAnsi="Calibri"/>
          <w:b/>
          <w:color w:val="1A1D23"/>
          <w:sz w:val="48"/>
        </w:rPr>
        <w:t>5. Assistant and operational recovery</w:t>
      </w:r>
    </w:p>
    <w:p>
      <w:pPr>
        <w:spacing w:after="360"/>
      </w:pPr>
      <w:r>
        <w:rPr>
          <w:rFonts w:ascii="Calibri" w:hAnsi="Calibri"/>
          <w:color w:val="64748B"/>
          <w:sz w:val="26"/>
        </w:rPr>
        <w:t>What is safe, what is live, and what to do when a service is down</w:t>
      </w:r>
    </w:p>
    <w:p>
      <w:pPr>
        <w:pStyle w:val="Heading1"/>
      </w:pPr>
      <w:r>
        <w:t>Assistant behavior</w:t>
      </w:r>
    </w:p>
    <w:p>
      <w:pPr>
        <w:pStyle w:val="ListBullet"/>
      </w:pPr>
      <w:r>
        <w:t>The assistant greets the signed-in merchant or customer once per login session.</w:t>
      </w:r>
    </w:p>
    <w:p>
      <w:pPr>
        <w:pStyle w:val="ListBullet"/>
      </w:pPr>
      <w:r>
        <w:t>It summarizes account activity through role-aware backend logic and optional classifier support.</w:t>
      </w:r>
    </w:p>
    <w:p>
      <w:pPr>
        <w:pStyle w:val="ListBullet"/>
      </w:pPr>
      <w:r>
        <w:t>It does not claim to create bills inside chat unless a real bill-creation action is implemented and confirmed.</w:t>
      </w:r>
    </w:p>
    <w:p>
      <w:pPr>
        <w:pStyle w:val="ListBullet"/>
      </w:pPr>
      <w:r>
        <w:t>Clear removes the current conversation display; it does not delete bills, payments, or account data.</w:t>
      </w:r>
    </w:p>
    <w:p>
      <w:pPr>
        <w:pStyle w:val="Heading1"/>
      </w:pPr>
      <w:r>
        <w:t>Recovery matrix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450"/>
        <w:gridCol w:w="3230"/>
        <w:gridCol w:w="3680"/>
      </w:tblGrid>
      <w:tr>
        <w:trPr>
          <w:tblHeader w:val="true"/>
        </w:trPr>
        <w:tc>
          <w:tcPr>
            <w:tcW w:type="dxa" w:w="24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>Symptom</w:t>
            </w:r>
          </w:p>
        </w:tc>
        <w:tc>
          <w:tcPr>
            <w:tcW w:type="dxa" w:w="323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>Likely cause</w:t>
            </w:r>
          </w:p>
        </w:tc>
        <w:tc>
          <w:tcPr>
            <w:tcW w:type="dxa" w:w="36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>Action</w:t>
            </w:r>
          </w:p>
        </w:tc>
      </w:tr>
      <w:t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1A1D23"/>
                <w:sz w:val="19"/>
              </w:rPr>
              <w:t>Customer service unavailable / 404</w:t>
            </w:r>
          </w:p>
        </w:tc>
        <w:tc>
          <w:tcPr>
            <w:tcW w:type="dxa" w:w="32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1A1D23"/>
                <w:sz w:val="19"/>
              </w:rPr>
              <w:t>Old backend or wrong base URL</w:t>
            </w:r>
          </w:p>
        </w:tc>
        <w:tc>
          <w:tcPr>
            <w:tcW w:type="dxa" w:w="3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1A1D23"/>
                <w:sz w:val="19"/>
              </w:rPr>
              <w:t>Start the current API and verify /customers/merchant/{merchantId}</w:t>
            </w:r>
          </w:p>
        </w:tc>
      </w:tr>
      <w:t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1A1D23"/>
                <w:sz w:val="19"/>
              </w:rPr>
              <w:t>Live feed stays still</w:t>
            </w:r>
          </w:p>
        </w:tc>
        <w:tc>
          <w:tcPr>
            <w:tcW w:type="dxa" w:w="32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1A1D23"/>
                <w:sz w:val="19"/>
              </w:rPr>
              <w:t>Kafka/WebSocket unavailable or no new settlements</w:t>
            </w:r>
          </w:p>
        </w:tc>
        <w:tc>
          <w:tcPr>
            <w:tcW w:type="dxa" w:w="3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1A1D23"/>
                <w:sz w:val="19"/>
              </w:rPr>
              <w:t>Start Kafka, reconnect, then settle a new test bill</w:t>
            </w:r>
          </w:p>
        </w:tc>
      </w:tr>
      <w:t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1A1D23"/>
                <w:sz w:val="19"/>
              </w:rPr>
              <w:t>Refund report empty</w:t>
            </w:r>
          </w:p>
        </w:tc>
        <w:tc>
          <w:tcPr>
            <w:tcW w:type="dxa" w:w="32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1A1D23"/>
                <w:sz w:val="19"/>
              </w:rPr>
              <w:t>No REFUNDED bills</w:t>
            </w:r>
          </w:p>
        </w:tc>
        <w:tc>
          <w:tcPr>
            <w:tcW w:type="dxa" w:w="3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1A1D23"/>
                <w:sz w:val="19"/>
              </w:rPr>
              <w:t>Refund one PAID bill, then export again</w:t>
            </w:r>
          </w:p>
        </w:tc>
      </w:tr>
      <w:t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1A1D23"/>
                <w:sz w:val="19"/>
              </w:rPr>
              <w:t>401</w:t>
            </w:r>
          </w:p>
        </w:tc>
        <w:tc>
          <w:tcPr>
            <w:tcW w:type="dxa" w:w="32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1A1D23"/>
                <w:sz w:val="19"/>
              </w:rPr>
              <w:t>Missing/expired JWT</w:t>
            </w:r>
          </w:p>
        </w:tc>
        <w:tc>
          <w:tcPr>
            <w:tcW w:type="dxa" w:w="3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1A1D23"/>
                <w:sz w:val="19"/>
              </w:rPr>
              <w:t>Sign in again</w:t>
            </w:r>
          </w:p>
        </w:tc>
      </w:tr>
      <w:t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1A1D23"/>
                <w:sz w:val="19"/>
              </w:rPr>
              <w:t>403</w:t>
            </w:r>
          </w:p>
        </w:tc>
        <w:tc>
          <w:tcPr>
            <w:tcW w:type="dxa" w:w="32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1A1D23"/>
                <w:sz w:val="19"/>
              </w:rPr>
              <w:t>Wrong role or resource owner</w:t>
            </w:r>
          </w:p>
        </w:tc>
        <w:tc>
          <w:tcPr>
            <w:tcW w:type="dxa" w:w="3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1A1D23"/>
                <w:sz w:val="19"/>
              </w:rPr>
              <w:t>Use the correct account; do not substitute IDs</w:t>
            </w:r>
          </w:p>
        </w:tc>
      </w:tr>
      <w:t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1A1D23"/>
                <w:sz w:val="19"/>
              </w:rPr>
              <w:t>Physical device cannot reach API</w:t>
            </w:r>
          </w:p>
        </w:tc>
        <w:tc>
          <w:tcPr>
            <w:tcW w:type="dxa" w:w="32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1A1D23"/>
                <w:sz w:val="19"/>
              </w:rPr>
              <w:t>localhost points at the device</w:t>
            </w:r>
          </w:p>
        </w:tc>
        <w:tc>
          <w:tcPr>
            <w:tcW w:type="dxa" w:w="3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1A1D23"/>
                <w:sz w:val="19"/>
              </w:rPr>
              <w:t>Pass the computer IP through MCS_API_BASE_URL</w:t>
            </w:r>
          </w:p>
        </w:tc>
      </w:tr>
    </w:tbl>
    <w:p>
      <w:pPr>
        <w:spacing w:after="0"/>
      </w:pPr>
    </w:p>
    <w:p>
      <w:pPr>
        <w:pStyle w:val="Heading1"/>
      </w:pPr>
      <w:r>
        <w:t>Data integrity checks</w:t>
      </w:r>
    </w:p>
    <w:p>
      <w:pPr>
        <w:pStyle w:val="ListBullet"/>
      </w:pPr>
      <w:r>
        <w:t>One successful transaction must create exactly one settlement.</w:t>
      </w:r>
    </w:p>
    <w:p>
      <w:pPr>
        <w:pStyle w:val="ListBullet"/>
      </w:pPr>
      <w:r>
        <w:t>A failed authorization must not create a settlement or mark the bill paid.</w:t>
      </w:r>
    </w:p>
    <w:p>
      <w:pPr>
        <w:pStyle w:val="ListBullet"/>
      </w:pPr>
      <w:r>
        <w:t>A refund must preserve the original transaction/settlement evidence and update the bill to REFUNDED.</w:t>
      </w:r>
    </w:p>
    <w:p>
      <w:r>
        <w:br w:type="page"/>
      </w:r>
    </w:p>
    <w:p>
      <w:pPr>
        <w:keepNext/>
        <w:spacing w:after="120"/>
      </w:pPr>
      <w:r>
        <w:rPr>
          <w:rFonts w:ascii="Calibri" w:hAnsi="Calibri"/>
          <w:b/>
          <w:color w:val="1A1D23"/>
          <w:sz w:val="48"/>
        </w:rPr>
        <w:t>6. Acceptance and support reference</w:t>
      </w:r>
    </w:p>
    <w:p>
      <w:pPr>
        <w:spacing w:after="360"/>
      </w:pPr>
      <w:r>
        <w:rPr>
          <w:rFonts w:ascii="Calibri" w:hAnsi="Calibri"/>
          <w:color w:val="64748B"/>
          <w:sz w:val="26"/>
        </w:rPr>
        <w:t>How to prove the build and hand it over</w:t>
      </w:r>
    </w:p>
    <w:p>
      <w:pPr>
        <w:pStyle w:val="Heading1"/>
      </w:pPr>
      <w:r>
        <w:t>Automated evidence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050"/>
        <w:gridCol w:w="4670"/>
        <w:gridCol w:w="2640"/>
      </w:tblGrid>
      <w:tr>
        <w:trPr>
          <w:tblHeader w:val="true"/>
        </w:trPr>
        <w:tc>
          <w:tcPr>
            <w:tcW w:type="dxa" w:w="20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>Check</w:t>
            </w:r>
          </w:p>
        </w:tc>
        <w:tc>
          <w:tcPr>
            <w:tcW w:type="dxa" w:w="467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>Command</w:t>
            </w:r>
          </w:p>
        </w:tc>
        <w:tc>
          <w:tcPr>
            <w:tcW w:type="dxa" w:w="26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>Expected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1A1D23"/>
                <w:sz w:val="19"/>
              </w:rPr>
              <w:t>Backend suite</w:t>
            </w:r>
          </w:p>
        </w:tc>
        <w:tc>
          <w:tcPr>
            <w:tcW w:type="dxa" w:w="4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1A1D23"/>
                <w:sz w:val="19"/>
              </w:rPr>
              <w:t>.\mvnw.cmd test</w:t>
            </w:r>
          </w:p>
        </w:tc>
        <w:tc>
          <w:tcPr>
            <w:tcW w:type="dxa" w:w="26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1A1D23"/>
                <w:sz w:val="19"/>
              </w:rPr>
              <w:t>Context, service, lifecycle, and security tests pass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1A1D23"/>
                <w:sz w:val="19"/>
              </w:rPr>
              <w:t>Flutter suite</w:t>
            </w:r>
          </w:p>
        </w:tc>
        <w:tc>
          <w:tcPr>
            <w:tcW w:type="dxa" w:w="4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1A1D23"/>
                <w:sz w:val="19"/>
              </w:rPr>
              <w:t>flutter test</w:t>
            </w:r>
          </w:p>
        </w:tc>
        <w:tc>
          <w:tcPr>
            <w:tcW w:type="dxa" w:w="26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1A1D23"/>
                <w:sz w:val="19"/>
              </w:rPr>
              <w:t>Payment result and role registration tests pass without overflow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1A1D23"/>
                <w:sz w:val="19"/>
              </w:rPr>
              <w:t>1,000 transactions</w:t>
            </w:r>
          </w:p>
        </w:tc>
        <w:tc>
          <w:tcPr>
            <w:tcW w:type="dxa" w:w="4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1A1D23"/>
                <w:sz w:val="19"/>
              </w:rPr>
              <w:t>.\mvnw.cmd --% -q -Dtest=TransactionScalabilityTest -Dmcs.performance.tests=true test</w:t>
            </w:r>
          </w:p>
        </w:tc>
        <w:tc>
          <w:tcPr>
            <w:tcW w:type="dxa" w:w="26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1A1D23"/>
                <w:sz w:val="19"/>
              </w:rPr>
              <w:t>1,000 settled; 0 failures; p95 under 2 s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1A1D23"/>
                <w:sz w:val="19"/>
              </w:rPr>
              <w:t>Postman</w:t>
            </w:r>
          </w:p>
        </w:tc>
        <w:tc>
          <w:tcPr>
            <w:tcW w:type="dxa" w:w="4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1A1D23"/>
                <w:sz w:val="19"/>
              </w:rPr>
              <w:t>Run MCS BRD API Acceptance</w:t>
            </w:r>
          </w:p>
        </w:tc>
        <w:tc>
          <w:tcPr>
            <w:tcW w:type="dxa" w:w="26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1A1D23"/>
                <w:sz w:val="19"/>
              </w:rPr>
              <w:t>All executed requests under 2 s; no 5xx</w:t>
            </w:r>
          </w:p>
        </w:tc>
      </w:tr>
    </w:tbl>
    <w:p>
      <w:pPr>
        <w:spacing w:after="0"/>
      </w:pPr>
    </w:p>
    <w:p>
      <w:pPr>
        <w:pStyle w:val="Heading1"/>
      </w:pPr>
      <w:r>
        <w:t>Measured scalability result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2000"/>
        <w:gridCol w:w="1900"/>
        <w:gridCol w:w="1500"/>
        <w:gridCol w:w="2160"/>
      </w:tblGrid>
      <w:tr>
        <w:trPr>
          <w:tblHeader w:val="true"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>Merchants</w:t>
            </w:r>
          </w:p>
        </w:tc>
        <w:tc>
          <w:tcPr>
            <w:tcW w:type="dxa" w:w="2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>Transactions</w:t>
            </w:r>
          </w:p>
        </w:tc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>REST calls</w:t>
            </w:r>
          </w:p>
        </w:tc>
        <w:tc>
          <w:tcPr>
            <w:tcW w:type="dxa" w:w="1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>Failures</w:t>
            </w:r>
          </w:p>
        </w:tc>
        <w:tc>
          <w:tcPr>
            <w:tcW w:type="dxa" w:w="21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>p95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1A1D23"/>
                <w:sz w:val="19"/>
              </w:rPr>
              <w:t>100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1A1D23"/>
                <w:sz w:val="19"/>
              </w:rPr>
              <w:t>1,000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1A1D23"/>
                <w:sz w:val="19"/>
              </w:rPr>
              <w:t>3,000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1A1D23"/>
                <w:sz w:val="19"/>
              </w:rPr>
              <w:t>0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1A1D23"/>
                <w:sz w:val="19"/>
              </w:rPr>
              <w:t>9.45 ms</w:t>
            </w:r>
          </w:p>
        </w:tc>
      </w:tr>
    </w:tbl>
    <w:p>
      <w:pPr>
        <w:spacing w:after="0"/>
      </w:pPr>
    </w:p>
    <w:p>
      <w:r>
        <w:t>Environment: Spring Boot application context, JWT/MockMvc REST boundary, JPA, and H2 PostgreSQL mode. Kafka/network capacity is excluded; repeat against deployed PostgreSQL/Kafka before making a production infrastructure claim.</w:t>
      </w:r>
    </w:p>
    <w:p>
      <w:pPr>
        <w:pStyle w:val="Heading1"/>
      </w:pPr>
      <w:r>
        <w:t>Handover artifacts</w:t>
      </w:r>
    </w:p>
    <w:p>
      <w:pPr>
        <w:pStyle w:val="ListBullet"/>
      </w:pPr>
      <w:r>
        <w:t>README.md — setup and operating instructions</w:t>
      </w:r>
    </w:p>
    <w:p>
      <w:pPr>
        <w:pStyle w:val="ListBullet"/>
      </w:pPr>
      <w:r>
        <w:t>postman/ — chained API acceptance collection and local environment</w:t>
      </w:r>
    </w:p>
    <w:p>
      <w:pPr>
        <w:pStyle w:val="ListBullet"/>
      </w:pPr>
      <w:r>
        <w:t>docs/MCS_ER_Diagram.svg — database relationships</w:t>
      </w:r>
    </w:p>
    <w:p>
      <w:pPr>
        <w:pStyle w:val="ListBullet"/>
      </w:pPr>
      <w:r>
        <w:t>docs/performance/1000-transactions-report.md — measured benchmark</w:t>
      </w:r>
    </w:p>
    <w:p>
      <w:pPr>
        <w:pStyle w:val="ListBullet"/>
      </w:pPr>
      <w:r>
        <w:t>docs/MCS_Final_Demo.pptx — final presentation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/>
        <w:color w:val="64748B"/>
        <w:sz w:val="18"/>
      </w:rPr>
      <w:t xml:space="preserve">Hitachi Payments BRD implementation  ·  Page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color w:val="64748B"/>
        <w:sz w:val="18"/>
      </w:rPr>
      <w:t>MCS USER GUIDE</w:t>
    </w:r>
    <w:r>
      <w:rPr>
        <w:color w:val="64748B"/>
      </w:rPr>
      <w:t xml:space="preserve">  ·  Merchant Checkout System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1A1D2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llout">
    <w:name w:val="Callout"/>
    <w:pPr>
      <w:spacing w:before="80" w:after="160"/>
      <w:ind w:left="259" w:right="259"/>
    </w:pPr>
    <w:rPr>
      <w:rFonts w:ascii="Calibri" w:hAnsi="Calibri"/>
      <w:color w:val="1A1D23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MCS Merchant and Customer User Guide</dc:title>
  <dc:subject>Hitachi Payments BRD operating guide</dc:subject>
  <dc:creator>MCS Project Team</dc:creator>
  <cp:keywords>MCS, merchant, customer, billing, payment, refund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