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alibri" w:hAnsi="Calibri"/>
          <w:b/>
          <w:color w:val="0284C7"/>
          <w:sz w:val="20"/>
        </w:rPr>
        <w:t>HACKATHON INNOVATION SPECIFICATION &amp; PROPOSAL</w:t>
      </w:r>
    </w:p>
    <w:p>
      <w:pPr>
        <w:spacing w:before="240" w:after="160"/>
        <w:jc w:val="center"/>
      </w:pPr>
      <w:r>
        <w:rPr>
          <w:rFonts w:ascii="Calibri" w:hAnsi="Calibri"/>
          <w:b/>
          <w:color w:val="0A192F"/>
          <w:sz w:val="68"/>
        </w:rPr>
        <w:t>ScamShield AI</w:t>
      </w:r>
    </w:p>
    <w:p>
      <w:pPr>
        <w:spacing w:after="480"/>
        <w:jc w:val="center"/>
      </w:pPr>
      <w:r>
        <w:rPr>
          <w:rFonts w:ascii="Calibri" w:hAnsi="Calibri"/>
          <w:i/>
          <w:color w:val="1E293B"/>
          <w:sz w:val="28"/>
        </w:rPr>
        <w:t>Digital Public Safety Intelligence Platform</w:t>
        <w:br/>
        <w:t>Real-Time Interception of Digital Arrest Scams &amp; Communication Fraud</w:t>
      </w:r>
    </w:p>
    <w:p>
      <w:pPr>
        <w:jc w:val="center"/>
      </w:pPr>
      <w:r>
        <w:rPr>
          <w:color w:val="0284C7"/>
        </w:rPr>
        <w:t>━━━━━━━━━━━━━━━━━━━━━━━━━━━━━━━━━━━━━━━━━━━━</w:t>
      </w:r>
    </w:p>
    <w:p>
      <w:pPr>
        <w:spacing w:before="960"/>
      </w:pPr>
    </w:p>
    <w:tbl>
      <w:tblPr>
        <w:tblW w:type="auto" w:w="0"/>
        <w:jc w:val="center"/>
        <w:tblLook w:firstColumn="1" w:firstRow="1" w:lastColumn="0" w:lastRow="0" w:noHBand="0" w:noVBand="1" w:val="04A0"/>
      </w:tblPr>
      <w:tblGrid>
        <w:gridCol w:w="4680"/>
        <w:gridCol w:w="4680"/>
      </w:tblGrid>
      <w:tr>
        <w:tc>
          <w:tcPr>
            <w:tcW w:type="dxa" w:w="4680"/>
            <w:shd w:fill="F8FAFC"/>
            <w:tcMar>
              <w:top w:w="120" w:type="dxa"/>
              <w:bottom w:w="120" w:type="dxa"/>
              <w:left w:w="200" w:type="dxa"/>
              <w:right w:w="200" w:type="dxa"/>
            </w:tcMar>
          </w:tcPr>
          <w:p>
            <w:pPr>
              <w:spacing w:after="40"/>
            </w:pPr>
            <w:r>
              <w:rPr>
                <w:b/>
                <w:color w:val="0A192F"/>
              </w:rPr>
              <w:t>Project Lead / Author:</w:t>
            </w:r>
          </w:p>
        </w:tc>
        <w:tc>
          <w:tcPr>
            <w:tcW w:type="dxa" w:w="4680"/>
            <w:shd w:fill="F8FAFC"/>
            <w:tcMar>
              <w:top w:w="120" w:type="dxa"/>
              <w:bottom w:w="120" w:type="dxa"/>
              <w:left w:w="200" w:type="dxa"/>
              <w:right w:w="200" w:type="dxa"/>
            </w:tcMar>
          </w:tcPr>
          <w:p>
            <w:pPr>
              <w:spacing w:after="40"/>
            </w:pPr>
            <w:r>
              <w:rPr>
                <w:color w:val="334155"/>
              </w:rPr>
              <w:t>Suryansh Sugara</w:t>
            </w:r>
          </w:p>
        </w:tc>
      </w:tr>
      <w:tr>
        <w:tc>
          <w:tcPr>
            <w:tcW w:type="dxa" w:w="4680"/>
            <w:shd w:fill="F8FAFC"/>
            <w:tcMar>
              <w:top w:w="120" w:type="dxa"/>
              <w:bottom w:w="120" w:type="dxa"/>
              <w:left w:w="200" w:type="dxa"/>
              <w:right w:w="200" w:type="dxa"/>
            </w:tcMar>
          </w:tcPr>
          <w:p>
            <w:pPr>
              <w:spacing w:after="40"/>
            </w:pPr>
            <w:r>
              <w:rPr>
                <w:b/>
                <w:color w:val="0A192F"/>
              </w:rPr>
              <w:t>Repository URL:</w:t>
            </w:r>
          </w:p>
        </w:tc>
        <w:tc>
          <w:tcPr>
            <w:tcW w:type="dxa" w:w="4680"/>
            <w:shd w:fill="F8FAFC"/>
            <w:tcMar>
              <w:top w:w="120" w:type="dxa"/>
              <w:bottom w:w="120" w:type="dxa"/>
              <w:left w:w="200" w:type="dxa"/>
              <w:right w:w="200" w:type="dxa"/>
            </w:tcMar>
          </w:tcPr>
          <w:p>
            <w:pPr>
              <w:spacing w:after="40"/>
            </w:pPr>
            <w:r>
              <w:rPr>
                <w:color w:val="0284C7"/>
              </w:rPr>
              <w:t>https://github.com/suryanshsugara/scamshield-ai</w:t>
            </w:r>
          </w:p>
        </w:tc>
      </w:tr>
      <w:tr>
        <w:tc>
          <w:tcPr>
            <w:tcW w:type="dxa" w:w="4680"/>
            <w:shd w:fill="F8FAFC"/>
            <w:tcMar>
              <w:top w:w="120" w:type="dxa"/>
              <w:bottom w:w="120" w:type="dxa"/>
              <w:left w:w="200" w:type="dxa"/>
              <w:right w:w="200" w:type="dxa"/>
            </w:tcMar>
          </w:tcPr>
          <w:p>
            <w:pPr>
              <w:spacing w:after="40"/>
            </w:pPr>
            <w:r>
              <w:rPr>
                <w:b/>
                <w:color w:val="0A192F"/>
              </w:rPr>
              <w:t>Live Web Deployment:</w:t>
            </w:r>
          </w:p>
        </w:tc>
        <w:tc>
          <w:tcPr>
            <w:tcW w:type="dxa" w:w="4680"/>
            <w:shd w:fill="F8FAFC"/>
            <w:tcMar>
              <w:top w:w="120" w:type="dxa"/>
              <w:bottom w:w="120" w:type="dxa"/>
              <w:left w:w="200" w:type="dxa"/>
              <w:right w:w="200" w:type="dxa"/>
            </w:tcMar>
          </w:tcPr>
          <w:p>
            <w:pPr>
              <w:spacing w:after="40"/>
            </w:pPr>
            <w:r>
              <w:rPr>
                <w:color w:val="0284C7"/>
              </w:rPr>
              <w:t>https://suryanshsugara.github.io/scamshield-ai/</w:t>
            </w:r>
          </w:p>
        </w:tc>
      </w:tr>
      <w:tr>
        <w:tc>
          <w:tcPr>
            <w:tcW w:type="dxa" w:w="4680"/>
            <w:shd w:fill="F8FAFC"/>
            <w:tcMar>
              <w:top w:w="120" w:type="dxa"/>
              <w:bottom w:w="120" w:type="dxa"/>
              <w:left w:w="200" w:type="dxa"/>
              <w:right w:w="200" w:type="dxa"/>
            </w:tcMar>
          </w:tcPr>
          <w:p>
            <w:pPr>
              <w:spacing w:after="40"/>
            </w:pPr>
            <w:r>
              <w:rPr>
                <w:b/>
                <w:color w:val="0A192F"/>
              </w:rPr>
              <w:t>Technology Stack:</w:t>
            </w:r>
          </w:p>
        </w:tc>
        <w:tc>
          <w:tcPr>
            <w:tcW w:type="dxa" w:w="4680"/>
            <w:shd w:fill="F8FAFC"/>
            <w:tcMar>
              <w:top w:w="120" w:type="dxa"/>
              <w:bottom w:w="120" w:type="dxa"/>
              <w:left w:w="200" w:type="dxa"/>
              <w:right w:w="200" w:type="dxa"/>
            </w:tcMar>
          </w:tcPr>
          <w:p>
            <w:pPr>
              <w:spacing w:after="40"/>
            </w:pPr>
            <w:r>
              <w:rPr>
                <w:color w:val="334155"/>
              </w:rPr>
              <w:t>Next.js 14, FastAPI, WebSockets, Gemini AI, Docker</w:t>
            </w:r>
          </w:p>
        </w:tc>
      </w:tr>
      <w:tr>
        <w:tc>
          <w:tcPr>
            <w:tcW w:type="dxa" w:w="4680"/>
            <w:shd w:fill="F8FAFC"/>
            <w:tcMar>
              <w:top w:w="120" w:type="dxa"/>
              <w:bottom w:w="120" w:type="dxa"/>
              <w:left w:w="200" w:type="dxa"/>
              <w:right w:w="200" w:type="dxa"/>
            </w:tcMar>
          </w:tcPr>
          <w:p>
            <w:pPr>
              <w:spacing w:after="40"/>
            </w:pPr>
            <w:r>
              <w:rPr>
                <w:b/>
                <w:color w:val="0A192F"/>
              </w:rPr>
              <w:t>Date &amp; Version:</w:t>
            </w:r>
          </w:p>
        </w:tc>
        <w:tc>
          <w:tcPr>
            <w:tcW w:type="dxa" w:w="4680"/>
            <w:shd w:fill="F8FAFC"/>
            <w:tcMar>
              <w:top w:w="120" w:type="dxa"/>
              <w:bottom w:w="120" w:type="dxa"/>
              <w:left w:w="200" w:type="dxa"/>
              <w:right w:w="200" w:type="dxa"/>
            </w:tcMar>
          </w:tcPr>
          <w:p>
            <w:pPr>
              <w:spacing w:after="40"/>
            </w:pPr>
            <w:r>
              <w:rPr>
                <w:color w:val="334155"/>
              </w:rPr>
              <w:t>July 2026 | Version 2.0 Production Ready</w:t>
            </w:r>
          </w:p>
        </w:tc>
      </w:tr>
    </w:tbl>
    <w:p>
      <w:r>
        <w:br w:type="page"/>
      </w:r>
    </w:p>
    <w:p>
      <w:pPr>
        <w:keepNext/>
        <w:spacing w:before="440" w:after="160"/>
      </w:pPr>
      <w:r>
        <w:rPr>
          <w:rFonts w:ascii="Calibri" w:hAnsi="Calibri"/>
          <w:b/>
          <w:color w:val="0A192F"/>
          <w:sz w:val="36"/>
        </w:rPr>
        <w:t>Chapter 1: Executive Summary &amp; Strategic Vision</w:t>
      </w:r>
    </w:p>
    <w:p>
      <w:r>
        <w:t>ScamShield AI is an advanced, real-time public safety intelligence platform engineered to combat the exponential rise of organized digital fraud in India. Integrating speech-to-text NLP analysis, graph neural network visualization, and multi-model AI fallbacks, ScamShield AI intercepts coercive scams mid-execution to safeguard citizens before financial transfer occurs.</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40" w:type="dxa"/>
              <w:right w:w="200" w:type="dxa"/>
            </w:tcMar>
            <w:tcBorders>
              <w:top w:val="none" w:sz="4" w:space="0" w:color="auto"/>
              <w:left w:val="single" w:sz="24" w:space="0" w:color="0284C7"/>
              <w:bottom w:val="none" w:sz="4" w:space="0" w:color="auto"/>
              <w:right w:val="none" w:sz="4" w:space="0" w:color="auto"/>
            </w:tcBorders>
          </w:tcPr>
          <w:p>
            <w:pPr>
              <w:spacing w:after="80"/>
            </w:pPr>
            <w:r>
              <w:rPr>
                <w:b/>
                <w:color w:val="0284C7"/>
                <w:sz w:val="20"/>
              </w:rPr>
              <w:t>💡 PARADIGM SHIFT: REAL-TIME INTERCEPTION</w:t>
              <w:br/>
            </w:r>
            <w:r>
              <w:rPr>
                <w:i/>
                <w:color w:val="1E293B"/>
                <w:sz w:val="21"/>
              </w:rPr>
              <w:t>Traditional fraud prevention tools operate post-facto (after victims transfer funds). ScamShield AI shifts the paradigm from reactive reporting to active real-time interception during live phone calls and messages.</w:t>
            </w:r>
          </w:p>
        </w:tc>
      </w:tr>
    </w:tbl>
    <w:p>
      <w:pPr>
        <w:spacing w:after="120"/>
      </w:pPr>
    </w:p>
    <w:p>
      <w:pPr>
        <w:keepNext/>
        <w:spacing w:before="280" w:after="120"/>
      </w:pPr>
      <w:r>
        <w:rPr>
          <w:rFonts w:ascii="Calibri" w:hAnsi="Calibri"/>
          <w:b/>
          <w:color w:val="0284C7"/>
          <w:sz w:val="26"/>
        </w:rPr>
        <w:t>Core Objectives &amp; System Metrics</w:t>
      </w:r>
    </w:p>
    <w:p>
      <w:pPr>
        <w:pStyle w:val="ListBullet"/>
        <w:spacing w:after="80" w:line="276" w:lineRule="auto"/>
      </w:pPr>
      <w:r>
        <w:rPr>
          <w:b/>
          <w:color w:val="0A192F"/>
        </w:rPr>
        <w:t xml:space="preserve">1. Interception Window: </w:t>
      </w:r>
      <w:r>
        <w:t>Eliminate the 2 to 6 hour window of fear exploitation during Digital Arrest scams.</w:t>
      </w:r>
    </w:p>
    <w:p>
      <w:pPr>
        <w:pStyle w:val="ListBullet"/>
        <w:spacing w:after="80" w:line="276" w:lineRule="auto"/>
      </w:pPr>
      <w:r>
        <w:rPr>
          <w:b/>
          <w:color w:val="0A192F"/>
        </w:rPr>
        <w:t xml:space="preserve">2. Low Latency Engine: </w:t>
      </w:r>
      <w:r>
        <w:t>Achieve sub-2-second evaluation latency across speech streaming WebSockets.</w:t>
      </w:r>
    </w:p>
    <w:p>
      <w:pPr>
        <w:pStyle w:val="ListBullet"/>
        <w:spacing w:after="80" w:line="276" w:lineRule="auto"/>
      </w:pPr>
      <w:r>
        <w:rPr>
          <w:b/>
          <w:color w:val="0A192F"/>
        </w:rPr>
        <w:t xml:space="preserve">3. Universal Accessibility: </w:t>
      </w:r>
      <w:r>
        <w:t>Provide multi-lingual intelligence in English and Hindi for maximum demographic reach.</w:t>
      </w:r>
    </w:p>
    <w:p>
      <w:pPr>
        <w:pStyle w:val="ListBullet"/>
        <w:spacing w:after="80" w:line="276" w:lineRule="auto"/>
      </w:pPr>
      <w:r>
        <w:rPr>
          <w:b/>
          <w:color w:val="0A192F"/>
        </w:rPr>
        <w:t xml:space="preserve">4. Privacy Architecture: </w:t>
      </w:r>
      <w:r>
        <w:t>Zero persistent message data logging to maintain 100% privacy compliance.</w:t>
      </w:r>
    </w:p>
    <w:p>
      <w:pPr>
        <w:keepNext/>
        <w:spacing w:before="440" w:after="160"/>
      </w:pPr>
      <w:r>
        <w:rPr>
          <w:rFonts w:ascii="Calibri" w:hAnsi="Calibri"/>
          <w:b/>
          <w:color w:val="0A192F"/>
          <w:sz w:val="36"/>
        </w:rPr>
        <w:t>Chapter 2: Crisis Analysis — The Fraud Epidemic in India</w:t>
      </w:r>
    </w:p>
    <w:p>
      <w:r>
        <w:t>According to the Indian Cyber Crime Coordination Centre (I4C) under the Ministry of Home Affairs, cybercrime complaints surpassed 694,000 cases in 2024. Total financial losses exceeded ₹11,333 Crore ($1.35 Billion USD) in just the first six months of 2024.</w:t>
      </w:r>
    </w:p>
    <w:p>
      <w:pPr>
        <w:keepNext/>
        <w:spacing w:before="280" w:after="120"/>
      </w:pPr>
      <w:r>
        <w:rPr>
          <w:rFonts w:ascii="Calibri" w:hAnsi="Calibri"/>
          <w:b/>
          <w:color w:val="0284C7"/>
          <w:sz w:val="26"/>
        </w:rPr>
        <w:t>Empirical Fraud Vector Breakdown</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40" w:type="dxa"/>
              <w:bottom w:w="140" w:type="dxa"/>
              <w:left w:w="180" w:type="dxa"/>
              <w:right w:w="180" w:type="dxa"/>
            </w:tcMar>
            <w:shd w:fill="0A192F"/>
          </w:tcPr>
          <w:p>
            <w:r>
              <w:rPr>
                <w:b/>
                <w:color w:val="FFFFFF"/>
              </w:rPr>
              <w:t>Fraud Vector Category</w:t>
            </w:r>
          </w:p>
        </w:tc>
        <w:tc>
          <w:tcPr>
            <w:tcW w:type="dxa" w:w="2340"/>
            <w:tcMar>
              <w:top w:w="140" w:type="dxa"/>
              <w:bottom w:w="140" w:type="dxa"/>
              <w:left w:w="180" w:type="dxa"/>
              <w:right w:w="180" w:type="dxa"/>
            </w:tcMar>
            <w:shd w:fill="0A192F"/>
          </w:tcPr>
          <w:p>
            <w:r>
              <w:rPr>
                <w:b/>
                <w:color w:val="FFFFFF"/>
              </w:rPr>
              <w:t>Annual Incident Count</w:t>
            </w:r>
          </w:p>
        </w:tc>
        <w:tc>
          <w:tcPr>
            <w:tcW w:type="dxa" w:w="2340"/>
            <w:tcMar>
              <w:top w:w="140" w:type="dxa"/>
              <w:bottom w:w="140" w:type="dxa"/>
              <w:left w:w="180" w:type="dxa"/>
              <w:right w:w="180" w:type="dxa"/>
            </w:tcMar>
            <w:shd w:fill="0A192F"/>
          </w:tcPr>
          <w:p>
            <w:r>
              <w:rPr>
                <w:b/>
                <w:color w:val="FFFFFF"/>
              </w:rPr>
              <w:t>Avg Financial Loss</w:t>
            </w:r>
          </w:p>
        </w:tc>
        <w:tc>
          <w:tcPr>
            <w:tcW w:type="dxa" w:w="2340"/>
            <w:tcMar>
              <w:top w:w="140" w:type="dxa"/>
              <w:bottom w:w="140" w:type="dxa"/>
              <w:left w:w="180" w:type="dxa"/>
              <w:right w:w="180" w:type="dxa"/>
            </w:tcMar>
            <w:shd w:fill="0A192F"/>
          </w:tcPr>
          <w:p>
            <w:r>
              <w:rPr>
                <w:b/>
                <w:color w:val="FFFFFF"/>
              </w:rPr>
              <w:t>Primary Psychological Mechanism</w:t>
            </w:r>
          </w:p>
        </w:tc>
      </w:tr>
      <w:tr>
        <w:tc>
          <w:tcPr>
            <w:tcW w:type="dxa" w:w="2340"/>
            <w:tcMar>
              <w:top w:w="140" w:type="dxa"/>
              <w:bottom w:w="140" w:type="dxa"/>
              <w:left w:w="180" w:type="dxa"/>
              <w:right w:w="180" w:type="dxa"/>
            </w:tcMar>
            <w:shd w:fill="FFFFFF"/>
          </w:tcPr>
          <w:p>
            <w:r>
              <w:t>Digital Arrest Scams</w:t>
            </w:r>
          </w:p>
        </w:tc>
        <w:tc>
          <w:tcPr>
            <w:tcW w:type="dxa" w:w="2340"/>
            <w:tcMar>
              <w:top w:w="140" w:type="dxa"/>
              <w:bottom w:w="140" w:type="dxa"/>
              <w:left w:w="180" w:type="dxa"/>
              <w:right w:w="180" w:type="dxa"/>
            </w:tcMar>
            <w:shd w:fill="FFFFFF"/>
          </w:tcPr>
          <w:p>
            <w:r>
              <w:t>7,061 cases (2024)</w:t>
            </w:r>
          </w:p>
        </w:tc>
        <w:tc>
          <w:tcPr>
            <w:tcW w:type="dxa" w:w="2340"/>
            <w:tcMar>
              <w:top w:w="140" w:type="dxa"/>
              <w:bottom w:w="140" w:type="dxa"/>
              <w:left w:w="180" w:type="dxa"/>
              <w:right w:w="180" w:type="dxa"/>
            </w:tcMar>
            <w:shd w:fill="FFFFFF"/>
          </w:tcPr>
          <w:p>
            <w:r>
              <w:t>₹15.5 Lakhs / victim</w:t>
            </w:r>
          </w:p>
        </w:tc>
        <w:tc>
          <w:tcPr>
            <w:tcW w:type="dxa" w:w="2340"/>
            <w:tcMar>
              <w:top w:w="140" w:type="dxa"/>
              <w:bottom w:w="140" w:type="dxa"/>
              <w:left w:w="180" w:type="dxa"/>
              <w:right w:w="180" w:type="dxa"/>
            </w:tcMar>
            <w:shd w:fill="FFFFFF"/>
          </w:tcPr>
          <w:p>
            <w:r>
              <w:t>Authority impersonation &amp; coercive fear</w:t>
            </w:r>
          </w:p>
        </w:tc>
      </w:tr>
      <w:tr>
        <w:tc>
          <w:tcPr>
            <w:tcW w:type="dxa" w:w="2340"/>
            <w:tcMar>
              <w:top w:w="140" w:type="dxa"/>
              <w:bottom w:w="140" w:type="dxa"/>
              <w:left w:w="180" w:type="dxa"/>
              <w:right w:w="180" w:type="dxa"/>
            </w:tcMar>
            <w:shd w:fill="F8FAFC"/>
          </w:tcPr>
          <w:p>
            <w:r>
              <w:t>UPI Payment Traps</w:t>
            </w:r>
          </w:p>
        </w:tc>
        <w:tc>
          <w:tcPr>
            <w:tcW w:type="dxa" w:w="2340"/>
            <w:tcMar>
              <w:top w:w="140" w:type="dxa"/>
              <w:bottom w:w="140" w:type="dxa"/>
              <w:left w:w="180" w:type="dxa"/>
              <w:right w:w="180" w:type="dxa"/>
            </w:tcMar>
            <w:shd w:fill="F8FAFC"/>
          </w:tcPr>
          <w:p>
            <w:r>
              <w:t>312,000 cases</w:t>
            </w:r>
          </w:p>
        </w:tc>
        <w:tc>
          <w:tcPr>
            <w:tcW w:type="dxa" w:w="2340"/>
            <w:tcMar>
              <w:top w:w="140" w:type="dxa"/>
              <w:bottom w:w="140" w:type="dxa"/>
              <w:left w:w="180" w:type="dxa"/>
              <w:right w:w="180" w:type="dxa"/>
            </w:tcMar>
            <w:shd w:fill="F8FAFC"/>
          </w:tcPr>
          <w:p>
            <w:r>
              <w:t>₹42,000 / victim</w:t>
            </w:r>
          </w:p>
        </w:tc>
        <w:tc>
          <w:tcPr>
            <w:tcW w:type="dxa" w:w="2340"/>
            <w:tcMar>
              <w:top w:w="140" w:type="dxa"/>
              <w:bottom w:w="140" w:type="dxa"/>
              <w:left w:w="180" w:type="dxa"/>
              <w:right w:w="180" w:type="dxa"/>
            </w:tcMar>
            <w:shd w:fill="F8FAFC"/>
          </w:tcPr>
          <w:p>
            <w:r>
              <w:t>Urgency pressure &amp; cognitive overload</w:t>
            </w:r>
          </w:p>
        </w:tc>
      </w:tr>
      <w:tr>
        <w:tc>
          <w:tcPr>
            <w:tcW w:type="dxa" w:w="2340"/>
            <w:tcMar>
              <w:top w:w="140" w:type="dxa"/>
              <w:bottom w:w="140" w:type="dxa"/>
              <w:left w:w="180" w:type="dxa"/>
              <w:right w:w="180" w:type="dxa"/>
            </w:tcMar>
            <w:shd w:fill="FFFFFF"/>
          </w:tcPr>
          <w:p>
            <w:r>
              <w:t>Phishing &amp; URL Spools</w:t>
            </w:r>
          </w:p>
        </w:tc>
        <w:tc>
          <w:tcPr>
            <w:tcW w:type="dxa" w:w="2340"/>
            <w:tcMar>
              <w:top w:w="140" w:type="dxa"/>
              <w:bottom w:w="140" w:type="dxa"/>
              <w:left w:w="180" w:type="dxa"/>
              <w:right w:w="180" w:type="dxa"/>
            </w:tcMar>
            <w:shd w:fill="FFFFFF"/>
          </w:tcPr>
          <w:p>
            <w:r>
              <w:t>185,000 cases</w:t>
            </w:r>
          </w:p>
        </w:tc>
        <w:tc>
          <w:tcPr>
            <w:tcW w:type="dxa" w:w="2340"/>
            <w:tcMar>
              <w:top w:w="140" w:type="dxa"/>
              <w:bottom w:w="140" w:type="dxa"/>
              <w:left w:w="180" w:type="dxa"/>
              <w:right w:w="180" w:type="dxa"/>
            </w:tcMar>
            <w:shd w:fill="FFFFFF"/>
          </w:tcPr>
          <w:p>
            <w:r>
              <w:t>₹88,000 / victim</w:t>
            </w:r>
          </w:p>
        </w:tc>
        <w:tc>
          <w:tcPr>
            <w:tcW w:type="dxa" w:w="2340"/>
            <w:tcMar>
              <w:top w:w="140" w:type="dxa"/>
              <w:bottom w:w="140" w:type="dxa"/>
              <w:left w:w="180" w:type="dxa"/>
              <w:right w:w="180" w:type="dxa"/>
            </w:tcMar>
            <w:shd w:fill="FFFFFF"/>
          </w:tcPr>
          <w:p>
            <w:r>
              <w:t>Brand deception &amp; credential harvesting</w:t>
            </w:r>
          </w:p>
        </w:tc>
      </w:tr>
      <w:tr>
        <w:tc>
          <w:tcPr>
            <w:tcW w:type="dxa" w:w="2340"/>
            <w:tcMar>
              <w:top w:w="140" w:type="dxa"/>
              <w:bottom w:w="140" w:type="dxa"/>
              <w:left w:w="180" w:type="dxa"/>
              <w:right w:w="180" w:type="dxa"/>
            </w:tcMar>
            <w:shd w:fill="F8FAFC"/>
          </w:tcPr>
          <w:p>
            <w:r>
              <w:t>Investment Fraud</w:t>
            </w:r>
          </w:p>
        </w:tc>
        <w:tc>
          <w:tcPr>
            <w:tcW w:type="dxa" w:w="2340"/>
            <w:tcMar>
              <w:top w:w="140" w:type="dxa"/>
              <w:bottom w:w="140" w:type="dxa"/>
              <w:left w:w="180" w:type="dxa"/>
              <w:right w:w="180" w:type="dxa"/>
            </w:tcMar>
            <w:shd w:fill="F8FAFC"/>
          </w:tcPr>
          <w:p>
            <w:r>
              <w:t>98,000 cases</w:t>
            </w:r>
          </w:p>
        </w:tc>
        <w:tc>
          <w:tcPr>
            <w:tcW w:type="dxa" w:w="2340"/>
            <w:tcMar>
              <w:top w:w="140" w:type="dxa"/>
              <w:bottom w:w="140" w:type="dxa"/>
              <w:left w:w="180" w:type="dxa"/>
              <w:right w:w="180" w:type="dxa"/>
            </w:tcMar>
            <w:shd w:fill="F8FAFC"/>
          </w:tcPr>
          <w:p>
            <w:r>
              <w:t>₹4.2 Lakhs / victim</w:t>
            </w:r>
          </w:p>
        </w:tc>
        <w:tc>
          <w:tcPr>
            <w:tcW w:type="dxa" w:w="2340"/>
            <w:tcMar>
              <w:top w:w="140" w:type="dxa"/>
              <w:bottom w:w="140" w:type="dxa"/>
              <w:left w:w="180" w:type="dxa"/>
              <w:right w:w="180" w:type="dxa"/>
            </w:tcMar>
            <w:shd w:fill="F8FAFC"/>
          </w:tcPr>
          <w:p>
            <w:r>
              <w:t>Greed amplification &amp; fake returns</w:t>
            </w:r>
          </w:p>
        </w:tc>
      </w:tr>
    </w:tbl>
    <w:p>
      <w:pPr>
        <w:spacing w:after="160"/>
      </w:pPr>
    </w:p>
    <w:p>
      <w:pPr>
        <w:keepNext/>
        <w:spacing w:before="280" w:after="120"/>
      </w:pPr>
      <w:r>
        <w:rPr>
          <w:rFonts w:ascii="Calibri" w:hAnsi="Calibri"/>
          <w:b/>
          <w:color w:val="0284C7"/>
          <w:sz w:val="26"/>
        </w:rPr>
        <w:t>Anatomy of a Digital Arrest Scam</w:t>
      </w:r>
    </w:p>
    <w:p>
      <w:r>
        <w:t>In a Digital Arrest scam, criminals contact victims via WhatsApp or Skype video calls while wearing fake police uniforms. They allege that a SIM card or Aadhaar number registered in the victim's name was used in drug smuggling, money laundering, or terrorist funding. Victims are ordered to remain on video surveillance without contacting family members and instructed to transfer funds into 'government verification accounts' to clear their name.</w:t>
      </w:r>
    </w:p>
    <w:p>
      <w:pPr>
        <w:keepNext/>
        <w:spacing w:before="440" w:after="160"/>
      </w:pPr>
      <w:r>
        <w:rPr>
          <w:rFonts w:ascii="Calibri" w:hAnsi="Calibri"/>
          <w:b/>
          <w:color w:val="0A192F"/>
          <w:sz w:val="36"/>
        </w:rPr>
        <w:t>Chapter 3: Solution Architecture &amp; Core Innovations</w:t>
      </w:r>
    </w:p>
    <w:p>
      <w:r>
        <w:t>ScamShield AI addresses the crisis by providing three synchronized protection modules:</w:t>
      </w:r>
    </w:p>
    <w:p>
      <w:pPr>
        <w:pStyle w:val="ListBullet"/>
        <w:spacing w:after="80" w:line="276" w:lineRule="auto"/>
      </w:pPr>
      <w:r>
        <w:rPr>
          <w:b/>
          <w:color w:val="0A192F"/>
        </w:rPr>
        <w:t xml:space="preserve">1. Live Call Scam Shield: </w:t>
      </w:r>
      <w:r>
        <w:t>Real-time WebSocket speech transcript streaming with rolling risk scoring (0 to 100). Highlights coercive phrases such as 'CBI officer', 'digital arrest', and 'transfer money' instantly.</w:t>
      </w:r>
    </w:p>
    <w:p>
      <w:pPr>
        <w:pStyle w:val="ListBullet"/>
        <w:spacing w:after="80" w:line="276" w:lineRule="auto"/>
      </w:pPr>
      <w:r>
        <w:rPr>
          <w:b/>
          <w:color w:val="0A192F"/>
        </w:rPr>
        <w:t xml:space="preserve">2. Intelligence Dashboard: </w:t>
      </w:r>
      <w:r>
        <w:t>Interactive command center presenting fraud trend lines, doughnut risk distribution, live scrolling threat feed, and force-directed graph analytics.</w:t>
      </w:r>
    </w:p>
    <w:p>
      <w:pPr>
        <w:pStyle w:val="ListBullet"/>
        <w:spacing w:after="80" w:line="276" w:lineRule="auto"/>
      </w:pPr>
      <w:r>
        <w:rPr>
          <w:b/>
          <w:color w:val="0A192F"/>
        </w:rPr>
        <w:t xml:space="preserve">3. Citizen Fraud Shield: </w:t>
      </w:r>
      <w:r>
        <w:t>Conversational scanner where citizens paste suspicious messages or URLs to receive immediate risk verdicts, advice, and 1-click police reporting links.</w:t>
      </w:r>
    </w:p>
    <w:p>
      <w:pPr>
        <w:pStyle w:val="ListBullet"/>
        <w:spacing w:after="80" w:line="276" w:lineRule="auto"/>
      </w:pPr>
      <w:r>
        <w:rPr>
          <w:b/>
          <w:color w:val="0A192F"/>
        </w:rPr>
        <w:t xml:space="preserve">4. Gamified Education: </w:t>
      </w:r>
      <w:r>
        <w:t>Interactive 10-question scam awareness quiz integrated with a point rewards ecosystem (Bronze, Silver, Gold, Diamond tiers).</w:t>
      </w:r>
    </w:p>
    <w:p>
      <w:pPr>
        <w:keepNext/>
        <w:spacing w:before="440" w:after="160"/>
      </w:pPr>
      <w:r>
        <w:rPr>
          <w:rFonts w:ascii="Calibri" w:hAnsi="Calibri"/>
          <w:b/>
          <w:color w:val="0A192F"/>
          <w:sz w:val="36"/>
        </w:rPr>
        <w:t>Chapter 4: Technical Architecture &amp; System Engineering</w:t>
      </w:r>
    </w:p>
    <w:p>
      <w:r>
        <w:t>The system is built on a decoupled, microservice-ready architecture designed for high scalability and zero friction.</w:t>
      </w:r>
    </w:p>
    <w:tbl>
      <w:tblPr>
        <w:tblW w:type="auto" w:w="0"/>
        <w:jc w:val="center"/>
        <w:tblLook w:firstColumn="1" w:firstRow="1" w:lastColumn="0" w:lastRow="0" w:noHBand="0" w:noVBand="1" w:val="04A0"/>
      </w:tblPr>
      <w:tblGrid>
        <w:gridCol w:w="3120"/>
        <w:gridCol w:w="3120"/>
        <w:gridCol w:w="3120"/>
      </w:tblGrid>
      <w:tr>
        <w:tc>
          <w:tcPr>
            <w:tcW w:type="dxa" w:w="3120"/>
            <w:tcMar>
              <w:top w:w="140" w:type="dxa"/>
              <w:bottom w:w="140" w:type="dxa"/>
              <w:left w:w="180" w:type="dxa"/>
              <w:right w:w="180" w:type="dxa"/>
            </w:tcMar>
            <w:shd w:fill="0A192F"/>
          </w:tcPr>
          <w:p>
            <w:r>
              <w:rPr>
                <w:b/>
                <w:color w:val="FFFFFF"/>
              </w:rPr>
              <w:t>Layer</w:t>
            </w:r>
          </w:p>
        </w:tc>
        <w:tc>
          <w:tcPr>
            <w:tcW w:type="dxa" w:w="3120"/>
            <w:tcMar>
              <w:top w:w="140" w:type="dxa"/>
              <w:bottom w:w="140" w:type="dxa"/>
              <w:left w:w="180" w:type="dxa"/>
              <w:right w:w="180" w:type="dxa"/>
            </w:tcMar>
            <w:shd w:fill="0A192F"/>
          </w:tcPr>
          <w:p>
            <w:r>
              <w:rPr>
                <w:b/>
                <w:color w:val="FFFFFF"/>
              </w:rPr>
              <w:t>Technology Selection</w:t>
            </w:r>
          </w:p>
        </w:tc>
        <w:tc>
          <w:tcPr>
            <w:tcW w:type="dxa" w:w="3120"/>
            <w:tcMar>
              <w:top w:w="140" w:type="dxa"/>
              <w:bottom w:w="140" w:type="dxa"/>
              <w:left w:w="180" w:type="dxa"/>
              <w:right w:w="180" w:type="dxa"/>
            </w:tcMar>
            <w:shd w:fill="0A192F"/>
          </w:tcPr>
          <w:p>
            <w:r>
              <w:rPr>
                <w:b/>
                <w:color w:val="FFFFFF"/>
              </w:rPr>
              <w:t>Technical Responsibility</w:t>
            </w:r>
          </w:p>
        </w:tc>
      </w:tr>
      <w:tr>
        <w:tc>
          <w:tcPr>
            <w:tcW w:type="dxa" w:w="3120"/>
            <w:tcMar>
              <w:top w:w="140" w:type="dxa"/>
              <w:bottom w:w="140" w:type="dxa"/>
              <w:left w:w="180" w:type="dxa"/>
              <w:right w:w="180" w:type="dxa"/>
            </w:tcMar>
            <w:shd w:fill="FFFFFF"/>
          </w:tcPr>
          <w:p>
            <w:r>
              <w:t>Frontend UI</w:t>
            </w:r>
          </w:p>
        </w:tc>
        <w:tc>
          <w:tcPr>
            <w:tcW w:type="dxa" w:w="3120"/>
            <w:tcMar>
              <w:top w:w="140" w:type="dxa"/>
              <w:bottom w:w="140" w:type="dxa"/>
              <w:left w:w="180" w:type="dxa"/>
              <w:right w:w="180" w:type="dxa"/>
            </w:tcMar>
            <w:shd w:fill="FFFFFF"/>
          </w:tcPr>
          <w:p>
            <w:r>
              <w:t>Next.js 14 (App Router), React 18, Tailwind CSS</w:t>
            </w:r>
          </w:p>
        </w:tc>
        <w:tc>
          <w:tcPr>
            <w:tcW w:type="dxa" w:w="3120"/>
            <w:tcMar>
              <w:top w:w="140" w:type="dxa"/>
              <w:bottom w:w="140" w:type="dxa"/>
              <w:left w:w="180" w:type="dxa"/>
              <w:right w:w="180" w:type="dxa"/>
            </w:tcMar>
            <w:shd w:fill="FFFFFF"/>
          </w:tcPr>
          <w:p>
            <w:r>
              <w:t>Server-rendered responsive UI, glassmorphic design, custom SVG charts</w:t>
            </w:r>
          </w:p>
        </w:tc>
      </w:tr>
      <w:tr>
        <w:tc>
          <w:tcPr>
            <w:tcW w:type="dxa" w:w="3120"/>
            <w:tcMar>
              <w:top w:w="140" w:type="dxa"/>
              <w:bottom w:w="140" w:type="dxa"/>
              <w:left w:w="180" w:type="dxa"/>
              <w:right w:w="180" w:type="dxa"/>
            </w:tcMar>
            <w:shd w:fill="F8FAFC"/>
          </w:tcPr>
          <w:p>
            <w:r>
              <w:t>Backend Core</w:t>
            </w:r>
          </w:p>
        </w:tc>
        <w:tc>
          <w:tcPr>
            <w:tcW w:type="dxa" w:w="3120"/>
            <w:tcMar>
              <w:top w:w="140" w:type="dxa"/>
              <w:bottom w:w="140" w:type="dxa"/>
              <w:left w:w="180" w:type="dxa"/>
              <w:right w:w="180" w:type="dxa"/>
            </w:tcMar>
            <w:shd w:fill="F8FAFC"/>
          </w:tcPr>
          <w:p>
            <w:r>
              <w:t>FastAPI (Python 3.11), Uvicorn ASGI</w:t>
            </w:r>
          </w:p>
        </w:tc>
        <w:tc>
          <w:tcPr>
            <w:tcW w:type="dxa" w:w="3120"/>
            <w:tcMar>
              <w:top w:w="140" w:type="dxa"/>
              <w:bottom w:w="140" w:type="dxa"/>
              <w:left w:w="180" w:type="dxa"/>
              <w:right w:w="180" w:type="dxa"/>
            </w:tcMar>
            <w:shd w:fill="F8FAFC"/>
          </w:tcPr>
          <w:p>
            <w:r>
              <w:t>Async REST endpoints, rate limiting, security headers, middleware stack</w:t>
            </w:r>
          </w:p>
        </w:tc>
      </w:tr>
      <w:tr>
        <w:tc>
          <w:tcPr>
            <w:tcW w:type="dxa" w:w="3120"/>
            <w:tcMar>
              <w:top w:w="140" w:type="dxa"/>
              <w:bottom w:w="140" w:type="dxa"/>
              <w:left w:w="180" w:type="dxa"/>
              <w:right w:w="180" w:type="dxa"/>
            </w:tcMar>
            <w:shd w:fill="FFFFFF"/>
          </w:tcPr>
          <w:p>
            <w:r>
              <w:t>Real-Time Engine</w:t>
            </w:r>
          </w:p>
        </w:tc>
        <w:tc>
          <w:tcPr>
            <w:tcW w:type="dxa" w:w="3120"/>
            <w:tcMar>
              <w:top w:w="140" w:type="dxa"/>
              <w:bottom w:w="140" w:type="dxa"/>
              <w:left w:w="180" w:type="dxa"/>
              <w:right w:w="180" w:type="dxa"/>
            </w:tcMar>
            <w:shd w:fill="FFFFFF"/>
          </w:tcPr>
          <w:p>
            <w:r>
              <w:t>Python WebSockets (websockets 14.1)</w:t>
            </w:r>
          </w:p>
        </w:tc>
        <w:tc>
          <w:tcPr>
            <w:tcW w:type="dxa" w:w="3120"/>
            <w:tcMar>
              <w:top w:w="140" w:type="dxa"/>
              <w:bottom w:w="140" w:type="dxa"/>
              <w:left w:w="180" w:type="dxa"/>
              <w:right w:w="180" w:type="dxa"/>
            </w:tcMar>
            <w:shd w:fill="FFFFFF"/>
          </w:tcPr>
          <w:p>
            <w:r>
              <w:t>Bidirectional transcript streaming, JWT authentication, streaming NLP</w:t>
            </w:r>
          </w:p>
        </w:tc>
      </w:tr>
      <w:tr>
        <w:tc>
          <w:tcPr>
            <w:tcW w:type="dxa" w:w="3120"/>
            <w:tcMar>
              <w:top w:w="140" w:type="dxa"/>
              <w:bottom w:w="140" w:type="dxa"/>
              <w:left w:w="180" w:type="dxa"/>
              <w:right w:w="180" w:type="dxa"/>
            </w:tcMar>
            <w:shd w:fill="F8FAFC"/>
          </w:tcPr>
          <w:p>
            <w:r>
              <w:t>AI Pipeline</w:t>
            </w:r>
          </w:p>
        </w:tc>
        <w:tc>
          <w:tcPr>
            <w:tcW w:type="dxa" w:w="3120"/>
            <w:tcMar>
              <w:top w:w="140" w:type="dxa"/>
              <w:bottom w:w="140" w:type="dxa"/>
              <w:left w:w="180" w:type="dxa"/>
              <w:right w:w="180" w:type="dxa"/>
            </w:tcMar>
            <w:shd w:fill="F8FAFC"/>
          </w:tcPr>
          <w:p>
            <w:r>
              <w:t>Google Gemini 1.5, HuggingFace, Heuristic Rules</w:t>
            </w:r>
          </w:p>
        </w:tc>
        <w:tc>
          <w:tcPr>
            <w:tcW w:type="dxa" w:w="3120"/>
            <w:tcMar>
              <w:top w:w="140" w:type="dxa"/>
              <w:bottom w:w="140" w:type="dxa"/>
              <w:left w:w="180" w:type="dxa"/>
              <w:right w:w="180" w:type="dxa"/>
            </w:tcMar>
            <w:shd w:fill="F8FAFC"/>
          </w:tcPr>
          <w:p>
            <w:r>
              <w:t>Three-tier fallback chain for zero-downtime threat analysis</w:t>
            </w:r>
          </w:p>
        </w:tc>
      </w:tr>
      <w:tr>
        <w:tc>
          <w:tcPr>
            <w:tcW w:type="dxa" w:w="3120"/>
            <w:tcMar>
              <w:top w:w="140" w:type="dxa"/>
              <w:bottom w:w="140" w:type="dxa"/>
              <w:left w:w="180" w:type="dxa"/>
              <w:right w:w="180" w:type="dxa"/>
            </w:tcMar>
            <w:shd w:fill="FFFFFF"/>
          </w:tcPr>
          <w:p>
            <w:r>
              <w:t>Data &amp; Storage</w:t>
            </w:r>
          </w:p>
        </w:tc>
        <w:tc>
          <w:tcPr>
            <w:tcW w:type="dxa" w:w="3120"/>
            <w:tcMar>
              <w:top w:w="140" w:type="dxa"/>
              <w:bottom w:w="140" w:type="dxa"/>
              <w:left w:w="180" w:type="dxa"/>
              <w:right w:w="180" w:type="dxa"/>
            </w:tcMar>
            <w:shd w:fill="FFFFFF"/>
          </w:tcPr>
          <w:p>
            <w:r>
              <w:t>PostgreSQL (Supabase), Redis 7</w:t>
            </w:r>
          </w:p>
        </w:tc>
        <w:tc>
          <w:tcPr>
            <w:tcW w:type="dxa" w:w="3120"/>
            <w:tcMar>
              <w:top w:w="140" w:type="dxa"/>
              <w:bottom w:w="140" w:type="dxa"/>
              <w:left w:w="180" w:type="dxa"/>
              <w:right w:w="180" w:type="dxa"/>
            </w:tcMar>
            <w:shd w:fill="FFFFFF"/>
          </w:tcPr>
          <w:p>
            <w:r>
              <w:t>Persistent analytical metrics, session tokens, and threat node graphs</w:t>
            </w:r>
          </w:p>
        </w:tc>
      </w:tr>
    </w:tbl>
    <w:p>
      <w:pPr>
        <w:spacing w:after="160"/>
      </w:pPr>
    </w:p>
    <w:p>
      <w:pPr>
        <w:keepNext/>
        <w:spacing w:before="440" w:after="160"/>
      </w:pPr>
      <w:r>
        <w:rPr>
          <w:rFonts w:ascii="Calibri" w:hAnsi="Calibri"/>
          <w:b/>
          <w:color w:val="0A192F"/>
          <w:sz w:val="36"/>
        </w:rPr>
        <w:t>Chapter 5: Artificial Intelligence &amp; NLP Scoring Mathematics</w:t>
      </w:r>
    </w:p>
    <w:p>
      <w:r>
        <w:t>To ensure 100% operational availability regardless of third-party cloud outages, ScamShield AI implements a mathematical heuristic engine that evaluates inputs using four weighted risk vectors:</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40" w:type="dxa"/>
              <w:right w:w="200" w:type="dxa"/>
            </w:tcMar>
            <w:tcBorders>
              <w:top w:val="none" w:sz="4" w:space="0" w:color="auto"/>
              <w:left w:val="single" w:sz="24" w:space="0" w:color="0284C7"/>
              <w:bottom w:val="none" w:sz="4" w:space="0" w:color="auto"/>
              <w:right w:val="none" w:sz="4" w:space="0" w:color="auto"/>
            </w:tcBorders>
          </w:tcPr>
          <w:p>
            <w:pPr>
              <w:spacing w:after="80"/>
            </w:pPr>
            <w:r>
              <w:rPr>
                <w:b/>
                <w:color w:val="0284C7"/>
                <w:sz w:val="20"/>
              </w:rPr>
              <w:t>💡 MATHEMATICAL HEURISTIC SCORING EQUATION</w:t>
              <w:br/>
            </w:r>
            <w:r>
              <w:rPr>
                <w:i/>
                <w:color w:val="1E293B"/>
                <w:sz w:val="21"/>
              </w:rPr>
              <w:t>Formula:</w:t>
              <w:br/>
              <w:t>RiskScore = min(100, (w1 * V1) + (w2 * V2) + (w3 * V3) + (w4 * V4) + URLPenalty)</w:t>
              <w:br/>
              <w:br/>
              <w:t>Weights: w1 = 30% (Authority Impersonation), w2 = 35% (Coercion/Legal Threat), w3 = 25% (Financial Demand), w4 = 10% (Urgency/Secrecy)</w:t>
            </w:r>
          </w:p>
        </w:tc>
      </w:tr>
    </w:tbl>
    <w:p>
      <w:pPr>
        <w:spacing w:after="120"/>
      </w:pPr>
    </w:p>
    <w:p>
      <w:pPr>
        <w:pStyle w:val="ListBullet"/>
        <w:spacing w:after="80" w:line="276" w:lineRule="auto"/>
      </w:pPr>
      <w:r>
        <w:rPr>
          <w:b/>
          <w:color w:val="0A192F"/>
        </w:rPr>
        <w:t xml:space="preserve">Vector 1 (Authority Impersonation - 30%): </w:t>
      </w:r>
      <w:r>
        <w:t>Matches keywords such as CBI, Police Officer, Customs Department, Aadhaar Cell.</w:t>
      </w:r>
    </w:p>
    <w:p>
      <w:pPr>
        <w:pStyle w:val="ListBullet"/>
        <w:spacing w:after="80" w:line="276" w:lineRule="auto"/>
      </w:pPr>
      <w:r>
        <w:rPr>
          <w:b/>
          <w:color w:val="0A192F"/>
        </w:rPr>
        <w:t xml:space="preserve">Vector 2 (Coercion &amp; Legal Threats - 35%): </w:t>
      </w:r>
      <w:r>
        <w:t>Matches keywords such as digital arrest, Section 420, arrest warrant, money laundering.</w:t>
      </w:r>
    </w:p>
    <w:p>
      <w:pPr>
        <w:pStyle w:val="ListBullet"/>
        <w:spacing w:after="80" w:line="276" w:lineRule="auto"/>
      </w:pPr>
      <w:r>
        <w:rPr>
          <w:b/>
          <w:color w:val="0A192F"/>
        </w:rPr>
        <w:t xml:space="preserve">Vector 3 (Financial Demand - 25%): </w:t>
      </w:r>
      <w:r>
        <w:t>Matches keywords such as RBI verification, deposit money, UPI transfer, security fee.</w:t>
      </w:r>
    </w:p>
    <w:p>
      <w:pPr>
        <w:pStyle w:val="ListBullet"/>
        <w:spacing w:after="80" w:line="276" w:lineRule="auto"/>
      </w:pPr>
      <w:r>
        <w:rPr>
          <w:b/>
          <w:color w:val="0A192F"/>
        </w:rPr>
        <w:t xml:space="preserve">Vector 4 (Urgency &amp; Secrecy - 10%): </w:t>
      </w:r>
      <w:r>
        <w:t>Matches keywords such as immediate action, within 30 minutes, do not inform family.</w:t>
      </w:r>
    </w:p>
    <w:p>
      <w:pPr>
        <w:keepNext/>
        <w:spacing w:before="440" w:after="160"/>
      </w:pPr>
      <w:r>
        <w:rPr>
          <w:rFonts w:ascii="Calibri" w:hAnsi="Calibri"/>
          <w:b/>
          <w:color w:val="0A192F"/>
          <w:sz w:val="36"/>
        </w:rPr>
        <w:t>Chapter 6: Graph Theory &amp; Threat Intelligence Mathematics</w:t>
      </w:r>
    </w:p>
    <w:p>
      <w:r>
        <w:t>The Threat Intelligence Dashboard features a custom, zero-dependency force-directed network graph mapping connections between suspect phone numbers, money mule bank accounts, and victim nodes.</w:t>
      </w:r>
    </w:p>
    <w:p>
      <w:r>
        <w:t>Node physics are governed by dynamic force equations evaluated on every frame:</w:t>
      </w:r>
    </w:p>
    <w:p>
      <w:pPr>
        <w:pStyle w:val="ListBullet"/>
        <w:spacing w:after="80" w:line="276" w:lineRule="auto"/>
      </w:pPr>
      <w:r>
        <w:rPr>
          <w:b/>
          <w:color w:val="0A192F"/>
        </w:rPr>
        <w:t xml:space="preserve">Repulsive Force (Coulomb's Law): </w:t>
      </w:r>
      <w:r>
        <w:t>Fr(i, j) = - (kr / ||r_ij||^2) * r_hat_ij   [kr = 5000]</w:t>
      </w:r>
    </w:p>
    <w:p>
      <w:pPr>
        <w:pStyle w:val="ListBullet"/>
        <w:spacing w:after="80" w:line="276" w:lineRule="auto"/>
      </w:pPr>
      <w:r>
        <w:rPr>
          <w:b/>
          <w:color w:val="0A192F"/>
        </w:rPr>
        <w:t xml:space="preserve">Attractive Force (Hooke's Law): </w:t>
      </w:r>
      <w:r>
        <w:t>Fa(i, j) = ka * (||r_ij|| - l0) * r_hat_ij   [ka = 0.05, l0 = 100]</w:t>
      </w:r>
    </w:p>
    <w:p>
      <w:r>
        <w:t>This simulation forces unlinked suspect clusters apart while drawing interconnected criminal rings into distinct visual hubs.</w:t>
      </w:r>
    </w:p>
    <w:p>
      <w:pPr>
        <w:keepNext/>
        <w:spacing w:before="440" w:after="160"/>
      </w:pPr>
      <w:r>
        <w:rPr>
          <w:rFonts w:ascii="Calibri" w:hAnsi="Calibri"/>
          <w:b/>
          <w:color w:val="0A192F"/>
          <w:sz w:val="36"/>
        </w:rPr>
        <w:t>Chapter 7: Security Hardening &amp; Zero-Trust Architecture</w:t>
      </w:r>
    </w:p>
    <w:tbl>
      <w:tblPr>
        <w:tblW w:type="auto" w:w="0"/>
        <w:jc w:val="center"/>
        <w:tblLook w:firstColumn="1" w:firstRow="1" w:lastColumn="0" w:lastRow="0" w:noHBand="0" w:noVBand="1" w:val="04A0"/>
      </w:tblPr>
      <w:tblGrid>
        <w:gridCol w:w="3120"/>
        <w:gridCol w:w="3120"/>
        <w:gridCol w:w="3120"/>
      </w:tblGrid>
      <w:tr>
        <w:tc>
          <w:tcPr>
            <w:tcW w:type="dxa" w:w="3120"/>
            <w:tcMar>
              <w:top w:w="140" w:type="dxa"/>
              <w:bottom w:w="140" w:type="dxa"/>
              <w:left w:w="180" w:type="dxa"/>
              <w:right w:w="180" w:type="dxa"/>
            </w:tcMar>
            <w:shd w:fill="0A192F"/>
          </w:tcPr>
          <w:p>
            <w:r>
              <w:rPr>
                <w:b/>
                <w:color w:val="FFFFFF"/>
              </w:rPr>
              <w:t>Security Control</w:t>
            </w:r>
          </w:p>
        </w:tc>
        <w:tc>
          <w:tcPr>
            <w:tcW w:type="dxa" w:w="3120"/>
            <w:tcMar>
              <w:top w:w="140" w:type="dxa"/>
              <w:bottom w:w="140" w:type="dxa"/>
              <w:left w:w="180" w:type="dxa"/>
              <w:right w:w="180" w:type="dxa"/>
            </w:tcMar>
            <w:shd w:fill="0A192F"/>
          </w:tcPr>
          <w:p>
            <w:r>
              <w:rPr>
                <w:b/>
                <w:color w:val="FFFFFF"/>
              </w:rPr>
              <w:t>Enforced Configuration Header</w:t>
            </w:r>
          </w:p>
        </w:tc>
        <w:tc>
          <w:tcPr>
            <w:tcW w:type="dxa" w:w="3120"/>
            <w:tcMar>
              <w:top w:w="140" w:type="dxa"/>
              <w:bottom w:w="140" w:type="dxa"/>
              <w:left w:w="180" w:type="dxa"/>
              <w:right w:w="180" w:type="dxa"/>
            </w:tcMar>
            <w:shd w:fill="0A192F"/>
          </w:tcPr>
          <w:p>
            <w:r>
              <w:rPr>
                <w:b/>
                <w:color w:val="FFFFFF"/>
              </w:rPr>
              <w:t>Protection Impact</w:t>
            </w:r>
          </w:p>
        </w:tc>
      </w:tr>
      <w:tr>
        <w:tc>
          <w:tcPr>
            <w:tcW w:type="dxa" w:w="3120"/>
            <w:tcMar>
              <w:top w:w="140" w:type="dxa"/>
              <w:bottom w:w="140" w:type="dxa"/>
              <w:left w:w="180" w:type="dxa"/>
              <w:right w:w="180" w:type="dxa"/>
            </w:tcMar>
            <w:shd w:fill="FFFFFF"/>
          </w:tcPr>
          <w:p>
            <w:r>
              <w:t>Frame Security</w:t>
            </w:r>
          </w:p>
        </w:tc>
        <w:tc>
          <w:tcPr>
            <w:tcW w:type="dxa" w:w="3120"/>
            <w:tcMar>
              <w:top w:w="140" w:type="dxa"/>
              <w:bottom w:w="140" w:type="dxa"/>
              <w:left w:w="180" w:type="dxa"/>
              <w:right w:w="180" w:type="dxa"/>
            </w:tcMar>
            <w:shd w:fill="FFFFFF"/>
          </w:tcPr>
          <w:p>
            <w:r>
              <w:t>X-Frame-Options: DENY</w:t>
            </w:r>
          </w:p>
        </w:tc>
        <w:tc>
          <w:tcPr>
            <w:tcW w:type="dxa" w:w="3120"/>
            <w:tcMar>
              <w:top w:w="140" w:type="dxa"/>
              <w:bottom w:w="140" w:type="dxa"/>
              <w:left w:w="180" w:type="dxa"/>
              <w:right w:w="180" w:type="dxa"/>
            </w:tcMar>
            <w:shd w:fill="FFFFFF"/>
          </w:tcPr>
          <w:p>
            <w:r>
              <w:t>Completely prevents clickjacking and iframe embedding</w:t>
            </w:r>
          </w:p>
        </w:tc>
      </w:tr>
      <w:tr>
        <w:tc>
          <w:tcPr>
            <w:tcW w:type="dxa" w:w="3120"/>
            <w:tcMar>
              <w:top w:w="140" w:type="dxa"/>
              <w:bottom w:w="140" w:type="dxa"/>
              <w:left w:w="180" w:type="dxa"/>
              <w:right w:w="180" w:type="dxa"/>
            </w:tcMar>
            <w:shd w:fill="F8FAFC"/>
          </w:tcPr>
          <w:p>
            <w:r>
              <w:t>MIME Sniffing</w:t>
            </w:r>
          </w:p>
        </w:tc>
        <w:tc>
          <w:tcPr>
            <w:tcW w:type="dxa" w:w="3120"/>
            <w:tcMar>
              <w:top w:w="140" w:type="dxa"/>
              <w:bottom w:w="140" w:type="dxa"/>
              <w:left w:w="180" w:type="dxa"/>
              <w:right w:w="180" w:type="dxa"/>
            </w:tcMar>
            <w:shd w:fill="F8FAFC"/>
          </w:tcPr>
          <w:p>
            <w:r>
              <w:t>X-Content-Type-Options: nosniff</w:t>
            </w:r>
          </w:p>
        </w:tc>
        <w:tc>
          <w:tcPr>
            <w:tcW w:type="dxa" w:w="3120"/>
            <w:tcMar>
              <w:top w:w="140" w:type="dxa"/>
              <w:bottom w:w="140" w:type="dxa"/>
              <w:left w:w="180" w:type="dxa"/>
              <w:right w:w="180" w:type="dxa"/>
            </w:tcMar>
            <w:shd w:fill="F8FAFC"/>
          </w:tcPr>
          <w:p>
            <w:r>
              <w:t>Prevents malicious file content type spoofing</w:t>
            </w:r>
          </w:p>
        </w:tc>
      </w:tr>
      <w:tr>
        <w:tc>
          <w:tcPr>
            <w:tcW w:type="dxa" w:w="3120"/>
            <w:tcMar>
              <w:top w:w="140" w:type="dxa"/>
              <w:bottom w:w="140" w:type="dxa"/>
              <w:left w:w="180" w:type="dxa"/>
              <w:right w:w="180" w:type="dxa"/>
            </w:tcMar>
            <w:shd w:fill="FFFFFF"/>
          </w:tcPr>
          <w:p>
            <w:r>
              <w:t>Transport Security</w:t>
            </w:r>
          </w:p>
        </w:tc>
        <w:tc>
          <w:tcPr>
            <w:tcW w:type="dxa" w:w="3120"/>
            <w:tcMar>
              <w:top w:w="140" w:type="dxa"/>
              <w:bottom w:w="140" w:type="dxa"/>
              <w:left w:w="180" w:type="dxa"/>
              <w:right w:w="180" w:type="dxa"/>
            </w:tcMar>
            <w:shd w:fill="FFFFFF"/>
          </w:tcPr>
          <w:p>
            <w:r>
              <w:t>Strict-Transport-Security: max-age=63072000</w:t>
            </w:r>
          </w:p>
        </w:tc>
        <w:tc>
          <w:tcPr>
            <w:tcW w:type="dxa" w:w="3120"/>
            <w:tcMar>
              <w:top w:w="140" w:type="dxa"/>
              <w:bottom w:w="140" w:type="dxa"/>
              <w:left w:w="180" w:type="dxa"/>
              <w:right w:w="180" w:type="dxa"/>
            </w:tcMar>
            <w:shd w:fill="FFFFFF"/>
          </w:tcPr>
          <w:p>
            <w:r>
              <w:t>Forces HTTPS connections for 2 years</w:t>
            </w:r>
          </w:p>
        </w:tc>
      </w:tr>
      <w:tr>
        <w:tc>
          <w:tcPr>
            <w:tcW w:type="dxa" w:w="3120"/>
            <w:tcMar>
              <w:top w:w="140" w:type="dxa"/>
              <w:bottom w:w="140" w:type="dxa"/>
              <w:left w:w="180" w:type="dxa"/>
              <w:right w:w="180" w:type="dxa"/>
            </w:tcMar>
            <w:shd w:fill="F8FAFC"/>
          </w:tcPr>
          <w:p>
            <w:r>
              <w:t>Feature Control</w:t>
            </w:r>
          </w:p>
        </w:tc>
        <w:tc>
          <w:tcPr>
            <w:tcW w:type="dxa" w:w="3120"/>
            <w:tcMar>
              <w:top w:w="140" w:type="dxa"/>
              <w:bottom w:w="140" w:type="dxa"/>
              <w:left w:w="180" w:type="dxa"/>
              <w:right w:w="180" w:type="dxa"/>
            </w:tcMar>
            <w:shd w:fill="F8FAFC"/>
          </w:tcPr>
          <w:p>
            <w:r>
              <w:t>Permissions-Policy: camera=(), mic=()</w:t>
            </w:r>
          </w:p>
        </w:tc>
        <w:tc>
          <w:tcPr>
            <w:tcW w:type="dxa" w:w="3120"/>
            <w:tcMar>
              <w:top w:w="140" w:type="dxa"/>
              <w:bottom w:w="140" w:type="dxa"/>
              <w:left w:w="180" w:type="dxa"/>
              <w:right w:w="180" w:type="dxa"/>
            </w:tcMar>
            <w:shd w:fill="F8FAFC"/>
          </w:tcPr>
          <w:p>
            <w:r>
              <w:t>Disables unauthorized hardware device access</w:t>
            </w:r>
          </w:p>
        </w:tc>
      </w:tr>
      <w:tr>
        <w:tc>
          <w:tcPr>
            <w:tcW w:type="dxa" w:w="3120"/>
            <w:tcMar>
              <w:top w:w="140" w:type="dxa"/>
              <w:bottom w:w="140" w:type="dxa"/>
              <w:left w:w="180" w:type="dxa"/>
              <w:right w:w="180" w:type="dxa"/>
            </w:tcMar>
            <w:shd w:fill="FFFFFF"/>
          </w:tcPr>
          <w:p>
            <w:r>
              <w:t>Rate Limiting</w:t>
            </w:r>
          </w:p>
        </w:tc>
        <w:tc>
          <w:tcPr>
            <w:tcW w:type="dxa" w:w="3120"/>
            <w:tcMar>
              <w:top w:w="140" w:type="dxa"/>
              <w:bottom w:w="140" w:type="dxa"/>
              <w:left w:w="180" w:type="dxa"/>
              <w:right w:w="180" w:type="dxa"/>
            </w:tcMar>
            <w:shd w:fill="FFFFFF"/>
          </w:tcPr>
          <w:p>
            <w:r>
              <w:t>SlowAPI Limiter: 60 req/min per IP</w:t>
            </w:r>
          </w:p>
        </w:tc>
        <w:tc>
          <w:tcPr>
            <w:tcW w:type="dxa" w:w="3120"/>
            <w:tcMar>
              <w:top w:w="140" w:type="dxa"/>
              <w:bottom w:w="140" w:type="dxa"/>
              <w:left w:w="180" w:type="dxa"/>
              <w:right w:w="180" w:type="dxa"/>
            </w:tcMar>
            <w:shd w:fill="FFFFFF"/>
          </w:tcPr>
          <w:p>
            <w:r>
              <w:t>Mitigates automated bot scanning and brute force attempts</w:t>
            </w:r>
          </w:p>
        </w:tc>
      </w:tr>
    </w:tbl>
    <w:p>
      <w:pPr>
        <w:spacing w:after="160"/>
      </w:pPr>
    </w:p>
    <w:p>
      <w:pPr>
        <w:keepNext/>
        <w:spacing w:before="440" w:after="160"/>
      </w:pPr>
      <w:r>
        <w:rPr>
          <w:rFonts w:ascii="Calibri" w:hAnsi="Calibri"/>
          <w:b/>
          <w:color w:val="0A192F"/>
          <w:sz w:val="36"/>
        </w:rPr>
        <w:t>Chapter 8: Roadmap &amp; Projected Societal Impact</w:t>
      </w:r>
    </w:p>
    <w:p>
      <w:pPr>
        <w:pStyle w:val="ListBullet"/>
        <w:spacing w:after="80" w:line="276" w:lineRule="auto"/>
      </w:pPr>
      <w:r>
        <w:rPr>
          <w:b/>
          <w:color w:val="0A192F"/>
        </w:rPr>
        <w:t xml:space="preserve">Phase 1 (Immediate): </w:t>
      </w:r>
      <w:r>
        <w:t>Deploy production frontend on Vercel and backend on Render.</w:t>
      </w:r>
    </w:p>
    <w:p>
      <w:pPr>
        <w:pStyle w:val="ListBullet"/>
        <w:spacing w:after="80" w:line="276" w:lineRule="auto"/>
      </w:pPr>
      <w:r>
        <w:rPr>
          <w:b/>
          <w:color w:val="0A192F"/>
        </w:rPr>
        <w:t xml:space="preserve">Phase 2 (Q3 2026): </w:t>
      </w:r>
      <w:r>
        <w:t>Expand regional language AI engines for Tamil, Telugu, Marathi, and Bengali.</w:t>
      </w:r>
    </w:p>
    <w:p>
      <w:pPr>
        <w:pStyle w:val="ListBullet"/>
        <w:spacing w:after="80" w:line="276" w:lineRule="auto"/>
      </w:pPr>
      <w:r>
        <w:rPr>
          <w:b/>
          <w:color w:val="0A192F"/>
        </w:rPr>
        <w:t xml:space="preserve">Phase 3 (Q4 2026): </w:t>
      </w:r>
      <w:r>
        <w:t>Partner with telecom operators for automated network-level call header warnings.</w:t>
      </w:r>
    </w:p>
    <w:p>
      <w:pPr>
        <w:pStyle w:val="ListBullet"/>
        <w:spacing w:after="80" w:line="276" w:lineRule="auto"/>
      </w:pPr>
      <w:r>
        <w:rPr>
          <w:b/>
          <w:color w:val="0A192F"/>
        </w:rPr>
        <w:t xml:space="preserve">Phase 4 (2027): </w:t>
      </w:r>
      <w:r>
        <w:t>Direct API integration with National Cybercrime Reporting Portal (1930).</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40" w:type="dxa"/>
              <w:right w:w="200" w:type="dxa"/>
            </w:tcMar>
            <w:tcBorders>
              <w:top w:val="none" w:sz="4" w:space="0" w:color="auto"/>
              <w:left w:val="single" w:sz="24" w:space="0" w:color="0284C7"/>
              <w:bottom w:val="none" w:sz="4" w:space="0" w:color="auto"/>
              <w:right w:val="none" w:sz="4" w:space="0" w:color="auto"/>
            </w:tcBorders>
          </w:tcPr>
          <w:p>
            <w:pPr>
              <w:spacing w:after="80"/>
            </w:pPr>
            <w:r>
              <w:rPr>
                <w:b/>
                <w:color w:val="0284C7"/>
                <w:sz w:val="20"/>
              </w:rPr>
              <w:t>💡 PROJECTED FIRST-YEAR SOCIETAL ROI</w:t>
              <w:br/>
            </w:r>
            <w:r>
              <w:rPr>
                <w:i/>
                <w:color w:val="1E293B"/>
                <w:sz w:val="21"/>
              </w:rPr>
              <w:t>By intercepting scam calls mid-conversation, ScamShield AI projects a reduction of over ₹32 Crore in prevented financial losses across 50,000+ protected citizens in its first year of operation.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