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Manual de Operação do DataGreen para Jardineiro</w:t>
      </w:r>
    </w:p>
    <w:p>
      <w:pPr>
        <w:pStyle w:val="MdParagraph"/>
      </w:pPr>
      <w:r>
        <w:t xml:space="preserve">Guia simples, completo e visual para usar o DataGreen na rotina de jardinagem e paisagismo.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Observação: os dados exibidos nas imagens são exemplos didáticos usados apenas para explicar o funcionamento.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Tela de entrada</w:t>
      </w:r>
    </w:p>
    <w:p>
      <w:pPr>
        <w:pStyle w:val="MdParagraph"/>
      </w:pPr>
      <w:r>
        <w:t xml:space="preserve">É aqui que o usuário entra no DataGreen. O dono usa seu usuário para cadastrar e corrigir informações. O contador usa seu usuário para consultar e exportar dados.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4991100" cy="3810000"/>
            <wp:effectExtent t="0" r="0" b="0" l="0"/>
            <wp:docPr id="1" name="Tela de entrada" descr="Tela de entrada" title="Tela de ent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Painel principal do dono</w:t>
      </w:r>
    </w:p>
    <w:p>
      <w:pPr>
        <w:pStyle w:val="MdParagraph"/>
      </w:pPr>
      <w:r>
        <w:t xml:space="preserve">Mostra uma visão rápida do negócio: entradas, despesas, lucro estimado, notas pendentes, pendências do dia e projeção anual.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4038600" cy="3810000"/>
            <wp:effectExtent t="0" r="0" b="0" l="0"/>
            <wp:docPr id="1" name="Painel principal do dono" descr="Painel principal do dono" title="Painel principal do d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Clientes — cadastro e lista</w:t>
      </w:r>
    </w:p>
    <w:p>
      <w:pPr>
        <w:pStyle w:val="MdParagraph"/>
      </w:pPr>
      <w:r>
        <w:t xml:space="preserve">Área para cadastrar quem contrata o jardineiro, seja pessoa física, condomínio ou empresa. Também mostra a lista de clientes cadastrados.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4991100" cy="3810000"/>
            <wp:effectExtent t="0" r="0" b="0" l="0"/>
            <wp:docPr id="1" name="Clientes — cadastro e lista" descr="Clientes — cadastro e lista" title="Clientes — cadastro e 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Clientes — busca</w:t>
      </w:r>
    </w:p>
    <w:p>
      <w:pPr>
        <w:pStyle w:val="MdParagraph"/>
      </w:pPr>
      <w:r>
        <w:t xml:space="preserve">Mostra como localizar um cliente pelo nome, cidade ou telefone para não perder tempo procurando em anotações antigas.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4991100" cy="3810000"/>
            <wp:effectExtent t="0" r="0" b="0" l="0"/>
            <wp:docPr id="1" name="Clientes — busca" descr="Clientes — busca" title="Clientes — bus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Contratos e serviços</w:t>
      </w:r>
    </w:p>
    <w:p>
      <w:pPr>
        <w:pStyle w:val="MdParagraph"/>
      </w:pPr>
      <w:r>
        <w:t xml:space="preserve">Área para registrar serviços combinados com cada cliente, como manutenção mensal, poda, plantio, revitalização ou contrato anual.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4991100" cy="3810000"/>
            <wp:effectExtent t="0" r="0" b="0" l="0"/>
            <wp:docPr id="1" name="Contratos e serviços" descr="Contratos e serviços" title="Contratos e serviç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Financeiro — entradas e saídas</w:t>
      </w:r>
    </w:p>
    <w:p>
      <w:pPr>
        <w:pStyle w:val="MdParagraph"/>
      </w:pPr>
      <w:r>
        <w:t xml:space="preserve">Área para registrar recebimentos e despesas. Ajuda a saber o que entrou, o que saiu, o que está pago e o que ainda está pendente.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4991100" cy="3810000"/>
            <wp:effectExtent t="0" r="0" b="0" l="0"/>
            <wp:docPr id="1" name="Financeiro — entradas e saídas" descr="Financeiro — entradas e saídas" title="Financeiro — entradas e saí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Notas fiscais</w:t>
      </w:r>
    </w:p>
    <w:p>
      <w:pPr>
        <w:pStyle w:val="MdParagraph"/>
      </w:pPr>
      <w:r>
        <w:t xml:space="preserve">Área para controlar notas emitidas, pendentes ou canceladas. Serve para não esquecer documentos importantes e facilitar a conversa com o contador.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4991100" cy="3810000"/>
            <wp:effectExtent t="0" r="0" b="0" l="0"/>
            <wp:docPr id="1" name="Notas fiscais" descr="Notas fiscais" title="Notas fisc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Relatórios do dono</w:t>
      </w:r>
    </w:p>
    <w:p>
      <w:pPr>
        <w:pStyle w:val="MdParagraph"/>
      </w:pPr>
      <w:r>
        <w:t xml:space="preserve">Mostra resumo financeiro, custos por categoria, contas a receber e botões de exportação para CSV ou Excel.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4991100" cy="3810000"/>
            <wp:effectExtent t="0" r="0" b="0" l="0"/>
            <wp:docPr id="1" name="Relatórios do dono" descr="Relatórios do dono" title="Relatórios do d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Uso em tela pequena — menu fechado</w:t>
      </w:r>
    </w:p>
    <w:p>
      <w:pPr>
        <w:pStyle w:val="MdParagraph"/>
      </w:pPr>
      <w:r>
        <w:t xml:space="preserve">Em tela menor, o conteúdo fica em uma coluna e o menu pode ficar recolhido para sobrar espaço.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904875" cy="3810000"/>
            <wp:effectExtent t="0" r="0" b="0" l="0"/>
            <wp:docPr id="1" name="Uso em tela pequena — menu fechado" descr="Uso em tela pequena — menu fechado" title="Uso em tela pequena — menu fech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Uso em tela pequena — menu aberto</w:t>
      </w:r>
    </w:p>
    <w:p>
      <w:pPr>
        <w:pStyle w:val="MdParagraph"/>
      </w:pPr>
      <w:r>
        <w:t xml:space="preserve">Quando o menu é aberto no celular ou em tela estreita, ele aparece por cima da página para permitir a navegação.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904875" cy="3810000"/>
            <wp:effectExtent t="0" r="0" b="0" l="0"/>
            <wp:docPr id="1" name="Uso em tela pequena — menu aberto" descr="Uso em tela pequena — menu aberto" title="Uso em tela pequena — menu aber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Painel do contador</w:t>
      </w:r>
    </w:p>
    <w:p>
      <w:pPr>
        <w:pStyle w:val="MdParagraph"/>
      </w:pPr>
      <w:r>
        <w:t xml:space="preserve">O contador visualiza os principais números, mas seu papel é conferir e exportar informações, não tocar a operação diária.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4038600" cy="3810000"/>
            <wp:effectExtent t="0" r="0" b="0" l="0"/>
            <wp:docPr id="1" name="Painel do contador" descr="Painel do contador" title="Painel do cont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Clientes no perfil contador</w:t>
      </w:r>
    </w:p>
    <w:p>
      <w:pPr>
        <w:pStyle w:val="MdParagraph"/>
      </w:pPr>
      <w:r>
        <w:t xml:space="preserve">O contador vê a lista e pode pesquisar, mas não aparece formulário de cadastro. Isso reduz o risco de alteração indevida.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4991100" cy="3810000"/>
            <wp:effectExtent t="0" r="0" b="0" l="0"/>
            <wp:docPr id="1" name="Clientes no perfil contador" descr="Clientes no perfil contador" title="Clientes no perfil cont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Financeiro no perfil contador</w:t>
      </w:r>
    </w:p>
    <w:p>
      <w:pPr>
        <w:pStyle w:val="MdParagraph"/>
      </w:pPr>
      <w:r>
        <w:t xml:space="preserve">O contador acompanha os lançamentos em modo de leitura, sem o formulário de lançar entrada ou saída.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4991100" cy="3810000"/>
            <wp:effectExtent t="0" r="0" b="0" l="0"/>
            <wp:docPr id="1" name="Financeiro no perfil contador" descr="Financeiro no perfil contador" title="Financeiro no perfil cont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Relatórios e exportação do contador</w:t>
      </w:r>
    </w:p>
    <w:p>
      <w:pPr>
        <w:pStyle w:val="MdParagraph"/>
      </w:pPr>
      <w:r>
        <w:t xml:space="preserve">Área mais importante para o contador: permite escolher ano e mês e baixar os arquivos para análise contábil.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4991100" cy="3810000"/>
            <wp:effectExtent t="0" r="0" b="0" l="0"/>
            <wp:docPr id="1" name="Relatórios e exportação do contador" descr="Relatórios e exportação do contador" title="Relatórios e exportação do cont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Rotina recomendada</w:t>
      </w:r>
    </w:p>
    <w:p>
      <w:pPr>
        <w:pStyle w:val="MdParagraph"/>
      </w:pPr>
      <w:r>
        <w:t xml:space="preserve">Use o sistema diariamente para clientes, contratos, entradas, saídas, notas fiscais e relatórios. Faça backup antes de apagar qualquer banco real.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b35969e44fa22c5a99d3fdc29be7517a3c945de.png"/><Relationship Id="rId7" Type="http://schemas.openxmlformats.org/officeDocument/2006/relationships/image" Target="media/5e4ac58b0f4d47fc68b8145116997b9cec7daa21.png"/><Relationship Id="rId8" Type="http://schemas.openxmlformats.org/officeDocument/2006/relationships/image" Target="media/6c1d4e1e38be13dea2e87d7a13db051a458c6642.png"/><Relationship Id="rId9" Type="http://schemas.openxmlformats.org/officeDocument/2006/relationships/image" Target="media/787a36e9144e9ef4acc316e0b63d1e7f83315c06.png"/><Relationship Id="rId10" Type="http://schemas.openxmlformats.org/officeDocument/2006/relationships/image" Target="media/d3c750184a1e1fd74416b28b58ebd115262a67b1.png"/><Relationship Id="rId11" Type="http://schemas.openxmlformats.org/officeDocument/2006/relationships/image" Target="media/78d8f245e995417fd746913ad7c55737c721b1c3.png"/><Relationship Id="rId12" Type="http://schemas.openxmlformats.org/officeDocument/2006/relationships/image" Target="media/13477b488b0e76a4e108b4c64bd64adb0f0e8c91.png"/><Relationship Id="rId13" Type="http://schemas.openxmlformats.org/officeDocument/2006/relationships/image" Target="media/15609363745abf79851e20b68eec59dbbfc707d3.png"/><Relationship Id="rId14" Type="http://schemas.openxmlformats.org/officeDocument/2006/relationships/image" Target="media/5c81b7e00a34884952297afbac025f30c585a236.png"/><Relationship Id="rId15" Type="http://schemas.openxmlformats.org/officeDocument/2006/relationships/image" Target="media/4d2b51ec33b1203d8e32326075fe1d762a24dc36.png"/><Relationship Id="rId16" Type="http://schemas.openxmlformats.org/officeDocument/2006/relationships/image" Target="media/e30e840d9f53c2122096221d299fda979370bcf9.png"/><Relationship Id="rId17" Type="http://schemas.openxmlformats.org/officeDocument/2006/relationships/image" Target="media/e7feee4c7be977f3e7ef10008e9c09f9ab230cfd.png"/><Relationship Id="rId18" Type="http://schemas.openxmlformats.org/officeDocument/2006/relationships/image" Target="media/852fc581bd887948b0333039751cebf1726e5a13.png"/><Relationship Id="rId19" Type="http://schemas.openxmlformats.org/officeDocument/2006/relationships/image" Target="media/5c55caf77b74475fe11919a441d4f4a51b43a9d7.png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2026-05-11T09:51:10.408Z</dcterms:created>
  <dcterms:modified xsi:type="dcterms:W3CDTF">2026-05-11T09:51:10.408Z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