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85"/>
        <w:gridCol w:w="3298"/>
        <w:gridCol w:w="5133"/>
      </w:tblGrid>
      <w:tr>
        <w:trPr>
          <w:cantSplit/>
          <w:tblHeader/>
        </w:trPr>
        <w:tc>
          <w:tcPr>
            <w:tcW w:w="18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29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51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29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신규 사업 편성 K 비교</w:t>
            </w:r>
          </w:p>
        </w:tc>
        <w:tc>
          <w:tcPr>
            <w:tcW w:w="5133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29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5133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</w:tr>
      <w:tr>
        <w:trPr>
          <w:cantSplit/>
        </w:trPr>
        <w:tc>
          <w:tcPr>
            <w:tcW w:w="18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29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5133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다만 방정식에 들어갈 값 일부는 </w:t>
      </w:r>
      <w:r>
        <w:rPr>
          <w:b/>
          <w:bCs/>
        </w:rPr>
        <w:t xml:space="preserve">글</w:t>
      </w:r>
      <w:r>
        <w:t xml:space="preserve">에 있어,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33시간,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넷째 줄). 그래서 AI 결과는 사전·원문과 대조하고, 요구 기술·기술 이름은 사람이 고른 것만 넣는다(6.4).</w:t>
      </w: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표시, 계산 중 멈추기 가능. 밤사이 AI 없이 긴급 대기 명단·연간 계획·신규 사업 비교를 미리 계산.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4,012건 판정 $0.32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숫자·사실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사람 정보를 AI에 보내지 않는다.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 쌍의 86%가 점수가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72"/>
        <w:gridCol w:w="2334"/>
        <w:gridCol w:w="4861"/>
        <w:gridCol w:w="2049"/>
      </w:tblGrid>
      <w:tr>
        <w:trPr>
          <w:cantSplit/>
          <w:tblHeader/>
        </w:trPr>
        <w:tc>
          <w:tcPr>
            <w:tcW w:w="107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3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86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04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설명용 질의 5종 비교 20번 중 Neo4j가 나은 경우 0, 속도는 메모리 &lt; SQLite &lt; Neo4j. RDF 추론은 "하위 기술 경력 70% 인정" 같은 가중 계산을 표현하지 못한다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07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23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486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20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사이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