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Overview về trang web: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Đây là web cá nhân của 1 nhân hàng cá nhân (VD tên nhãn hàng là VTI), chuyên bán thiết bị điện tử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Đối tương sử dụng trang web: 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Tất cả những người có nhu cầu mua thiết bị điện tử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Người dùng truy cập trang web có thể xem danh sách sản phẩm điện tử đang bán và thực hiện đặt hàng sản phẩm ngay trên trang web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Các chức năng chính của trang web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1. Đăng nhập, đăng ký, quên mật khẩu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2. Profile người dùng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3. Danh sách sản phẩm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+ danh sách tất cả sản phẩm 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+ danh sản phẩm theo category 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+ Filter / sort sản phẩm (theo các điều kiện gì ...)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+ Tìm kiếm sản phẩm (theo các điều kiện ...)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+ Trang detail sản phẩm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5. Giỏ hàng 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+ Danh sách sản phẩm đã thêm vào giỏ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+ Thêm / Xóa sản phẩm khỏi giỏ hàng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6. Thanh toán sản phẩm (thanh toán khi nhận hàng...) 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7. Trạng thái đơn hàng (đã giao hàng thành công / giao hàng thất bại / đơn đã hủy ...)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