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drawing>
          <wp:inline distT="0" distB="0" distL="0" distR="0">
            <wp:extent cx="2857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162175"/>
                    </a:xfrm>
                    <a:prstGeom prst="rect">
                      <a:avLst/>
                    </a:prstGeom>
                  </pic:spPr>
                </pic:pic>
              </a:graphicData>
            </a:graphic>
          </wp:inline>
        </w:drawing>
      </w:r>
    </w:p>
    <w:p>
      <w:pPr>
        <w:spacing w:after="60" w:before="420" w:line="272"/>
        <w:jc w:val="center"/>
      </w:pPr>
      <w:r>
        <w:rPr>
          <w:rFonts w:ascii="Montserrat" w:cs="Montserrat" w:eastAsia="Montserrat" w:hAnsi="Montserrat"/>
          <w:b/>
          <w:bCs/>
          <w:color w:val="0F6B50"/>
          <w:spacing w:val="14"/>
          <w:sz w:val="40"/>
          <w:szCs w:val="40"/>
        </w:rPr>
        <w:t xml:space="preserve">CẨM NANG NHẬN DIỆN THƯƠNG HIỆU</w:t>
      </w:r>
    </w:p>
    <w:p>
      <w:pPr>
        <w:spacing w:after="320" w:before="0" w:line="272"/>
        <w:jc w:val="center"/>
      </w:pPr>
      <w:r>
        <w:rPr>
          <w:rFonts w:ascii="Inter" w:cs="Inter" w:eastAsia="Inter" w:hAnsi="Inter"/>
          <w:color w:val="C9A24B"/>
          <w:spacing w:val="20"/>
          <w:sz w:val="22"/>
          <w:szCs w:val="22"/>
        </w:rPr>
        <w:t xml:space="preserve">Brand Identity Guidelines</w:t>
      </w:r>
    </w:p>
    <w:p>
      <w:pPr>
        <w:spacing w:after="40" w:before="0" w:line="272"/>
        <w:jc w:val="center"/>
      </w:pPr>
      <w:r>
        <w:rPr>
          <w:rFonts w:ascii="Montserrat" w:cs="Montserrat" w:eastAsia="Montserrat" w:hAnsi="Montserrat"/>
          <w:b/>
          <w:bCs/>
          <w:color w:val="2B2B2B"/>
          <w:sz w:val="22"/>
          <w:szCs w:val="22"/>
        </w:rPr>
        <w:t xml:space="preserve">CÔNG TY CỔ PHẦN TẬP ĐOÀN SYNETIC</w:t>
      </w:r>
    </w:p>
    <w:p>
      <w:pPr>
        <w:spacing w:after="110" w:before="0" w:line="272"/>
        <w:jc w:val="center"/>
      </w:pPr>
      <w:r>
        <w:rPr>
          <w:rFonts w:ascii="Inter" w:cs="Inter" w:eastAsia="Inter" w:hAnsi="Inter"/>
          <w:color w:val="6E7A74"/>
          <w:sz w:val="19"/>
          <w:szCs w:val="19"/>
        </w:rPr>
        <w:t xml:space="preserve">Phiên bản 1.0  ·  Hà Nội, 2026</w:t>
      </w:r>
    </w:p>
    <w:p>
      <w:r>
        <w:br w:type="page"/>
      </w:r>
    </w:p>
    <w:p>
      <w:pPr>
        <w:pStyle w:val="Heading1"/>
        <w:spacing w:after="180" w:before="400"/>
      </w:pPr>
      <w:r>
        <w:rPr>
          <w:rFonts w:ascii="Montserrat" w:cs="Montserrat" w:eastAsia="Montserrat" w:hAnsi="Montserrat"/>
          <w:b/>
          <w:bCs/>
          <w:color w:val="0F6B50"/>
          <w:sz w:val="40"/>
          <w:szCs w:val="4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400"/>
      </w:pPr>
      <w:r>
        <w:rPr>
          <w:rFonts w:ascii="Montserrat" w:cs="Montserrat" w:eastAsia="Montserrat" w:hAnsi="Montserrat"/>
          <w:b/>
          <w:bCs/>
          <w:color w:val="0F6B50"/>
          <w:sz w:val="40"/>
          <w:szCs w:val="40"/>
        </w:rPr>
        <w:t xml:space="preserve">1. NỀN TẢNG THƯƠNG HIỆU</w:t>
      </w:r>
    </w:p>
    <w:p>
      <w:pPr>
        <w:pStyle w:val="Heading2"/>
        <w:spacing w:after="120" w:before="300"/>
      </w:pPr>
      <w:r>
        <w:rPr>
          <w:rFonts w:ascii="Montserrat" w:cs="Montserrat" w:eastAsia="Montserrat" w:hAnsi="Montserrat"/>
          <w:b/>
          <w:bCs/>
          <w:color w:val="2B2B2B"/>
          <w:sz w:val="29"/>
          <w:szCs w:val="29"/>
        </w:rPr>
        <w:t xml:space="preserve">1.1. Tên thương hiệu</w:t>
      </w:r>
    </w:p>
    <w:p>
      <w:pPr>
        <w:spacing w:after="110" w:before="0" w:line="272"/>
      </w:pPr>
      <w:r>
        <w:rPr>
          <w:rFonts w:ascii="Inter" w:cs="Inter" w:eastAsia="Inter" w:hAnsi="Inter"/>
          <w:color w:val="2B2B2B"/>
          <w:sz w:val="21"/>
          <w:szCs w:val="21"/>
        </w:rPr>
        <w:t xml:space="preserve">SYNETIC ghép từ hai gốc Hy Lạp: SYN (cùng nhau, hợp lực) và -ETIC từ kinetikos (thuộc về chuyển động). Nghĩa hợp thành: hợp lực trong chuyển động — đúng bản chất của một tập đoàn đa pháp nhân cùng vận hành trên một chuỗi giá trị.</w:t>
      </w:r>
    </w:p>
    <w:p>
      <w:pPr>
        <w:pStyle w:val="Heading2"/>
        <w:spacing w:after="120" w:before="300"/>
      </w:pPr>
      <w:r>
        <w:rPr>
          <w:rFonts w:ascii="Montserrat" w:cs="Montserrat" w:eastAsia="Montserrat" w:hAnsi="Montserrat"/>
          <w:b/>
          <w:bCs/>
          <w:color w:val="2B2B2B"/>
          <w:sz w:val="29"/>
          <w:szCs w:val="29"/>
        </w:rPr>
        <w:t xml:space="preserve">1.2. Khẩu hiệu</w:t>
      </w:r>
    </w:p>
    <w:p>
      <w:pPr>
        <w:spacing w:after="40" w:before="120" w:line="272"/>
        <w:jc w:val="center"/>
      </w:pPr>
      <w:r>
        <w:rPr>
          <w:rFonts w:ascii="Montserrat" w:cs="Montserrat" w:eastAsia="Montserrat" w:hAnsi="Montserrat"/>
          <w:b/>
          <w:bCs/>
          <w:color w:val="0F6B50"/>
          <w:sz w:val="36"/>
          <w:szCs w:val="36"/>
        </w:rPr>
        <w:t xml:space="preserve">Kiến tạo giá trị vượt trội</w:t>
      </w:r>
    </w:p>
    <w:p>
      <w:pPr>
        <w:spacing w:after="200" w:before="0" w:line="272"/>
        <w:jc w:val="center"/>
      </w:pPr>
      <w:r>
        <w:rPr>
          <w:rFonts w:ascii="Inter" w:cs="Inter" w:eastAsia="Inter" w:hAnsi="Inter"/>
          <w:color w:val="C9A24B"/>
          <w:sz w:val="20"/>
          <w:szCs w:val="20"/>
        </w:rPr>
        <w:t xml:space="preserve">Creating Outstanding Value</w:t>
      </w:r>
    </w:p>
    <w:p>
      <w:pPr>
        <w:spacing w:after="110" w:before="0" w:line="272"/>
      </w:pPr>
      <w:r>
        <w:rPr>
          <w:rFonts w:ascii="Inter" w:cs="Inter" w:eastAsia="Inter" w:hAnsi="Inter"/>
          <w:color w:val="2B2B2B"/>
          <w:sz w:val="21"/>
          <w:szCs w:val="21"/>
        </w:rPr>
        <w:t xml:space="preserve">“Kiến tạo” khẳng định Synetic tạo ra giá trị mới chứ không chỉ phân phối lại giá trị có sẵn. “Vượt trội” đặt chuẩn cạnh tranh vào chất lượng và hiệu quả, không vào giá bán — định hướng quan trọng trong các ngành vốn dễ sa vào cuộc đua giảm giá.</w:t>
      </w:r>
    </w:p>
    <w:p>
      <w:pPr>
        <w:spacing w:after="110" w:before="0" w:line="272"/>
      </w:pPr>
      <w:r>
        <w:rPr>
          <w:rFonts w:ascii="Inter" w:cs="Inter" w:eastAsia="Inter" w:hAnsi="Inter"/>
          <w:b/>
          <w:bCs/>
          <w:color w:val="2B2B2B"/>
          <w:sz w:val="20"/>
          <w:szCs w:val="20"/>
        </w:rPr>
        <w:t xml:space="preserve">Tầm nhìn: Mở lối phồn vinh — dùng trong báo cáo và hồ sơ năng lực, không đặt cạnh logo.</w:t>
      </w:r>
    </w:p>
    <w:p>
      <w:pPr>
        <w:pStyle w:val="Heading2"/>
        <w:spacing w:after="120" w:before="300"/>
      </w:pPr>
      <w:r>
        <w:rPr>
          <w:rFonts w:ascii="Montserrat" w:cs="Montserrat" w:eastAsia="Montserrat" w:hAnsi="Montserrat"/>
          <w:b/>
          <w:bCs/>
          <w:color w:val="2B2B2B"/>
          <w:sz w:val="29"/>
          <w:szCs w:val="29"/>
        </w:rPr>
        <w:t xml:space="preserve">1.3. Từ khoá thương hiệu</w:t>
      </w:r>
    </w:p>
    <w:p>
      <w:pPr>
        <w:spacing w:after="150" w:before="130"/>
        <w:jc w:val="center"/>
      </w:pPr>
      <w:r>
        <w:drawing>
          <wp:inline distT="0" distB="0" distL="0" distR="0">
            <wp:extent cx="43815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876300"/>
                    </a:xfrm>
                    <a:prstGeom prst="rect">
                      <a:avLst/>
                    </a:prstGeom>
                  </pic:spPr>
                </pic:pic>
              </a:graphicData>
            </a:graphic>
          </wp:inline>
        </w:drawing>
      </w:r>
    </w:p>
    <w:p>
      <w:pPr>
        <w:pStyle w:val="Heading2"/>
        <w:spacing w:after="120" w:before="300"/>
      </w:pPr>
      <w:r>
        <w:rPr>
          <w:rFonts w:ascii="Montserrat" w:cs="Montserrat" w:eastAsia="Montserrat" w:hAnsi="Montserrat"/>
          <w:b/>
          <w:bCs/>
          <w:color w:val="2B2B2B"/>
          <w:sz w:val="29"/>
          <w:szCs w:val="29"/>
        </w:rPr>
        <w:t xml:space="preserve">1.4. Kiến trúc thương hiệu</w:t>
      </w:r>
    </w:p>
    <w:p>
      <w:pPr>
        <w:spacing w:after="150" w:before="130"/>
        <w:jc w:val="center"/>
      </w:pPr>
      <w:r>
        <w:drawing>
          <wp:inline distT="0" distB="0" distL="0" distR="0">
            <wp:extent cx="4095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1428750"/>
                    </a:xfrm>
                    <a:prstGeom prst="rect">
                      <a:avLst/>
                    </a:prstGeom>
                  </pic:spPr>
                </pic:pic>
              </a:graphicData>
            </a:graphic>
          </wp:inline>
        </w:drawing>
      </w:r>
    </w:p>
    <w:p>
      <w:pPr>
        <w:spacing w:after="230" w:before="0" w:line="272"/>
        <w:jc w:val="center"/>
      </w:pPr>
      <w:r>
        <w:rPr>
          <w:rFonts w:ascii="Inter" w:cs="Inter" w:eastAsia="Inter" w:hAnsi="Inter"/>
          <w:i/>
          <w:iCs/>
          <w:color w:val="6E7A74"/>
          <w:sz w:val="17"/>
          <w:szCs w:val="17"/>
        </w:rPr>
        <w:t xml:space="preserve">Mô hình thương hiệu bảo chứng: thương hiệu mẹ Synetic Group đứng trên, năm công ty thành viên dùng chung biểu tượng và chỉ khác dòng chữ đơn vị cùng màu định danh.</w:t>
      </w:r>
    </w:p>
    <w:p>
      <w:r>
        <w:br w:type="page"/>
      </w:r>
    </w:p>
    <w:p>
      <w:pPr>
        <w:pStyle w:val="Heading1"/>
        <w:spacing w:after="180" w:before="400"/>
      </w:pPr>
      <w:r>
        <w:rPr>
          <w:rFonts w:ascii="Montserrat" w:cs="Montserrat" w:eastAsia="Montserrat" w:hAnsi="Montserrat"/>
          <w:b/>
          <w:bCs/>
          <w:color w:val="0F6B50"/>
          <w:sz w:val="40"/>
          <w:szCs w:val="40"/>
        </w:rPr>
        <w:t xml:space="preserve">2. LOGO</w:t>
      </w:r>
    </w:p>
    <w:p>
      <w:pPr>
        <w:pStyle w:val="Heading2"/>
        <w:spacing w:after="120" w:before="300"/>
      </w:pPr>
      <w:r>
        <w:rPr>
          <w:rFonts w:ascii="Montserrat" w:cs="Montserrat" w:eastAsia="Montserrat" w:hAnsi="Montserrat"/>
          <w:b/>
          <w:bCs/>
          <w:color w:val="2B2B2B"/>
          <w:sz w:val="29"/>
          <w:szCs w:val="29"/>
        </w:rPr>
        <w:t xml:space="preserve">2.1. Ý nghĩa biểu tượng</w:t>
      </w:r>
    </w:p>
    <w:p>
      <w:pPr>
        <w:spacing w:after="110" w:before="0" w:line="272"/>
      </w:pPr>
      <w:r>
        <w:rPr>
          <w:rFonts w:ascii="Inter" w:cs="Inter" w:eastAsia="Inter" w:hAnsi="Inter"/>
          <w:color w:val="2B2B2B"/>
          <w:sz w:val="21"/>
          <w:szCs w:val="21"/>
        </w:rPr>
        <w:t xml:space="preserve">Biểu tượng là dải ruy-băng uốn thành chữ S — chữ cái đầu của Synetic — chuyển sắc liên tục từ Emerald qua Jade Teal tới Ocean Blue.</w:t>
      </w:r>
    </w:p>
    <w:p>
      <w:pPr>
        <w:spacing w:after="110" w:before="0" w:line="272"/>
      </w:pPr>
      <w:r>
        <w:rPr>
          <w:rFonts w:ascii="Inter" w:cs="Inter" w:eastAsia="Inter" w:hAnsi="Inter"/>
          <w:color w:val="2B2B2B"/>
          <w:sz w:val="21"/>
          <w:szCs w:val="21"/>
        </w:rPr>
        <w:t xml:space="preserve">• Dải ruy-băng liền mạch: dòng chảy không đứt đoạn của chuỗi giá trị — từ vốn, dinh dưỡng, thú y đến trang trại và logistics.</w:t>
      </w:r>
    </w:p>
    <w:p>
      <w:pPr>
        <w:spacing w:after="110" w:before="0" w:line="272"/>
      </w:pPr>
      <w:r>
        <w:rPr>
          <w:rFonts w:ascii="Inter" w:cs="Inter" w:eastAsia="Inter" w:hAnsi="Inter"/>
          <w:color w:val="2B2B2B"/>
          <w:sz w:val="21"/>
          <w:szCs w:val="21"/>
        </w:rPr>
        <w:t xml:space="preserve">• Chuyển sắc ba màu: ba trụ cột của thương hiệu — tăng trưởng (Emerald), cân bằng (Jade Teal) và tin cậy (Ocean Blue).</w:t>
      </w:r>
    </w:p>
    <w:p>
      <w:pPr>
        <w:spacing w:after="110" w:before="0" w:line="272"/>
      </w:pPr>
      <w:r>
        <w:rPr>
          <w:rFonts w:ascii="Inter" w:cs="Inter" w:eastAsia="Inter" w:hAnsi="Inter"/>
          <w:color w:val="2B2B2B"/>
          <w:sz w:val="21"/>
          <w:szCs w:val="21"/>
        </w:rPr>
        <w:t xml:space="preserve">• Chiếc lá ở đỉnh: gốc nông nghiệp và cam kết phát triển bền vững.</w:t>
      </w:r>
    </w:p>
    <w:p>
      <w:pPr>
        <w:spacing w:after="110" w:before="0" w:line="272"/>
      </w:pPr>
      <w:r>
        <w:rPr>
          <w:rFonts w:ascii="Inter" w:cs="Inter" w:eastAsia="Inter" w:hAnsi="Inter"/>
          <w:color w:val="2B2B2B"/>
          <w:sz w:val="21"/>
          <w:szCs w:val="21"/>
        </w:rPr>
        <w:t xml:space="preserve">• Ba nút kết nối ở chân: mạng lưới đối tác và năng lực được liên kết — chữ “syn” trong tên gọi.</w:t>
      </w:r>
    </w:p>
    <w:p>
      <w:pPr>
        <w:spacing w:after="150" w:before="130"/>
        <w:jc w:val="center"/>
      </w:pPr>
      <w:r>
        <w:drawing>
          <wp:inline distT="0" distB="0" distL="0" distR="0">
            <wp:extent cx="38100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1419225"/>
                    </a:xfrm>
                    <a:prstGeom prst="rect">
                      <a:avLst/>
                    </a:prstGeom>
                  </pic:spPr>
                </pic:pic>
              </a:graphicData>
            </a:graphic>
          </wp:inline>
        </w:drawing>
      </w:r>
    </w:p>
    <w:p>
      <w:pPr>
        <w:spacing w:after="230" w:before="0" w:line="272"/>
        <w:jc w:val="center"/>
      </w:pPr>
      <w:r>
        <w:rPr>
          <w:rFonts w:ascii="Inter" w:cs="Inter" w:eastAsia="Inter" w:hAnsi="Inter"/>
          <w:i/>
          <w:iCs/>
          <w:color w:val="6E7A74"/>
          <w:sz w:val="17"/>
          <w:szCs w:val="17"/>
        </w:rPr>
        <w:t xml:space="preserve">Logo chính — dạng ngang. Dùng cho tiêu đề thư, website, biển hiệu, chữ ký email.</w:t>
      </w:r>
    </w:p>
    <w:p>
      <w:pPr>
        <w:spacing w:after="150" w:before="130"/>
        <w:jc w:val="center"/>
      </w:pPr>
      <w:r>
        <w:drawing>
          <wp:inline distT="0" distB="0" distL="0" distR="0">
            <wp:extent cx="219075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1657350"/>
                    </a:xfrm>
                    <a:prstGeom prst="rect">
                      <a:avLst/>
                    </a:prstGeom>
                  </pic:spPr>
                </pic:pic>
              </a:graphicData>
            </a:graphic>
          </wp:inline>
        </w:drawing>
      </w:r>
    </w:p>
    <w:p>
      <w:pPr>
        <w:spacing w:after="230" w:before="0" w:line="272"/>
        <w:jc w:val="center"/>
      </w:pPr>
      <w:r>
        <w:rPr>
          <w:rFonts w:ascii="Inter" w:cs="Inter" w:eastAsia="Inter" w:hAnsi="Inter"/>
          <w:i/>
          <w:iCs/>
          <w:color w:val="6E7A74"/>
          <w:sz w:val="17"/>
          <w:szCs w:val="17"/>
        </w:rPr>
        <w:t xml:space="preserve">Logo dọc — dùng cho bìa hồ sơ, backdrop, ấn phẩm khổ hẹp.</w:t>
      </w:r>
    </w:p>
    <w:p>
      <w:pPr>
        <w:spacing w:after="150" w:before="130"/>
        <w:jc w:val="center"/>
      </w:pPr>
      <w:r>
        <w:drawing>
          <wp:inline distT="0" distB="0" distL="0" distR="0">
            <wp:extent cx="409575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1571625"/>
                    </a:xfrm>
                    <a:prstGeom prst="rect">
                      <a:avLst/>
                    </a:prstGeom>
                  </pic:spPr>
                </pic:pic>
              </a:graphicData>
            </a:graphic>
          </wp:inline>
        </w:drawing>
      </w:r>
    </w:p>
    <w:p>
      <w:pPr>
        <w:spacing w:after="230" w:before="0" w:line="272"/>
        <w:jc w:val="center"/>
      </w:pPr>
      <w:r>
        <w:rPr>
          <w:rFonts w:ascii="Inter" w:cs="Inter" w:eastAsia="Inter" w:hAnsi="Inter"/>
          <w:i/>
          <w:iCs/>
          <w:color w:val="6E7A74"/>
          <w:sz w:val="17"/>
          <w:szCs w:val="17"/>
        </w:rPr>
        <w:t xml:space="preserve">Vùng an toàn và kích thước tối thiểu.</w:t>
      </w:r>
    </w:p>
    <w:p>
      <w:pPr>
        <w:pStyle w:val="Heading2"/>
        <w:spacing w:after="120" w:before="300"/>
      </w:pPr>
      <w:r>
        <w:rPr>
          <w:rFonts w:ascii="Montserrat" w:cs="Montserrat" w:eastAsia="Montserrat" w:hAnsi="Montserrat"/>
          <w:b/>
          <w:bCs/>
          <w:color w:val="2B2B2B"/>
          <w:sz w:val="29"/>
          <w:szCs w:val="29"/>
        </w:rPr>
        <w:t xml:space="preserve">2.2. Những điều CẤM khi sử dụng logo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tcBorders>
              <w:top w:val="single" w:color="E4EFEA" w:sz="2"/>
              <w:left w:val="single" w:color="E4EFEA" w:sz="2"/>
              <w:bottom w:val="single" w:color="E4EFEA" w:sz="2"/>
              <w:right w:val="single" w:color="E4EFEA" w:sz="2"/>
            </w:tcBorders>
            <w:shd w:fill="B4472C" w:val="clear"/>
            <w:tcMar>
              <w:top w:type="dxa" w:w="85"/>
              <w:left w:type="dxa" w:w="115"/>
              <w:bottom w:type="dxa" w:w="85"/>
              <w:right w:type="dxa" w:w="115"/>
            </w:tcMar>
          </w:tcPr>
          <w:p>
            <w:pPr>
              <w:spacing w:after="0" w:line="255"/>
            </w:pPr>
            <w:r>
              <w:rPr>
                <w:rFonts w:ascii="Inter" w:cs="Inter" w:eastAsia="Inter" w:hAnsi="Inter"/>
                <w:b/>
                <w:bCs/>
                <w:color w:val="FFFFFF"/>
                <w:sz w:val="19"/>
                <w:szCs w:val="19"/>
              </w:rPr>
              <w:t xml:space="preserve">Cấm</w:t>
            </w:r>
          </w:p>
        </w:tc>
        <w:tc>
          <w:tcPr>
            <w:tcW w:type="dxa" w:w="6000"/>
            <w:tcBorders>
              <w:top w:val="single" w:color="E4EFEA" w:sz="2"/>
              <w:left w:val="single" w:color="E4EFEA" w:sz="2"/>
              <w:bottom w:val="single" w:color="E4EFEA" w:sz="2"/>
              <w:right w:val="single" w:color="E4EFEA" w:sz="2"/>
            </w:tcBorders>
            <w:shd w:fill="B4472C" w:val="clear"/>
            <w:tcMar>
              <w:top w:type="dxa" w:w="85"/>
              <w:left w:type="dxa" w:w="115"/>
              <w:bottom w:type="dxa" w:w="85"/>
              <w:right w:type="dxa" w:w="115"/>
            </w:tcMar>
          </w:tcPr>
          <w:p>
            <w:pPr>
              <w:spacing w:after="0" w:line="255"/>
            </w:pPr>
            <w:r>
              <w:rPr>
                <w:rFonts w:ascii="Inter" w:cs="Inter" w:eastAsia="Inter" w:hAnsi="Inter"/>
                <w:b/>
                <w:bCs/>
                <w:color w:val="FFFFFF"/>
                <w:sz w:val="19"/>
                <w:szCs w:val="19"/>
              </w:rPr>
              <w:t xml:space="preserve">Lý do</w:t>
            </w:r>
          </w:p>
        </w:tc>
      </w:tr>
      <w:tr>
        <w:trPr>
          <w:tblHeader w:val="false"/>
        </w:trPr>
        <w:tc>
          <w:tcPr>
            <w:tcW w:type="dxa" w:w="33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Đổi hướng hoặc đảo chiều chuyển sắc</w:t>
            </w:r>
          </w:p>
        </w:tc>
        <w:tc>
          <w:tcPr>
            <w:tcW w:type="dxa" w:w="60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Thứ tự Emerald → Jade Teal → Ocean Blue mang ý nghĩa chuỗi giá trị.</w:t>
            </w:r>
          </w:p>
        </w:tc>
      </w:tr>
      <w:tr>
        <w:trPr>
          <w:tblHeader w:val="false"/>
        </w:trPr>
        <w:tc>
          <w:tcPr>
            <w:tcW w:type="dxa" w:w="33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Bỏ chiếc lá hoặc ba nút kết nối</w:t>
            </w:r>
          </w:p>
        </w:tc>
        <w:tc>
          <w:tcPr>
            <w:tcW w:type="dxa" w:w="60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Đây là hai yếu tố nhận diện bắt buộc của biểu tượng.</w:t>
            </w:r>
          </w:p>
        </w:tc>
      </w:tr>
      <w:tr>
        <w:trPr>
          <w:tblHeader w:val="false"/>
        </w:trPr>
        <w:tc>
          <w:tcPr>
            <w:tcW w:type="dxa" w:w="33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Dùng hiệu ứng ánh kim, chrome, đổ bóng 3D</w:t>
            </w:r>
          </w:p>
        </w:tc>
        <w:tc>
          <w:tcPr>
            <w:tcW w:type="dxa" w:w="60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Không nằm trong hệ thống nhận diện.</w:t>
            </w:r>
          </w:p>
        </w:tc>
      </w:tr>
      <w:tr>
        <w:trPr>
          <w:tblHeader w:val="false"/>
        </w:trPr>
        <w:tc>
          <w:tcPr>
            <w:tcW w:type="dxa" w:w="33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Kéo giãn, bóp méo, nghiêng logo</w:t>
            </w:r>
          </w:p>
        </w:tc>
        <w:tc>
          <w:tcPr>
            <w:tcW w:type="dxa" w:w="60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Sai tỷ lệ ruy-băng, mất khả năng nhận diện.</w:t>
            </w:r>
          </w:p>
        </w:tc>
      </w:tr>
      <w:tr>
        <w:trPr>
          <w:tblHeader w:val="false"/>
        </w:trPr>
        <w:tc>
          <w:tcPr>
            <w:tcW w:type="dxa" w:w="33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Đặt logo lên nền ảnh rối hoặc thiếu tương phản</w:t>
            </w:r>
          </w:p>
        </w:tc>
        <w:tc>
          <w:tcPr>
            <w:tcW w:type="dxa" w:w="60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Dùng bản đơn sắc sáng trên nền tối thay thế.</w:t>
            </w:r>
          </w:p>
        </w:tc>
      </w:tr>
      <w:tr>
        <w:trPr>
          <w:tblHeader w:val="false"/>
        </w:trPr>
        <w:tc>
          <w:tcPr>
            <w:tcW w:type="dxa" w:w="33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Đặt câu Tầm nhìn cạnh logo</w:t>
            </w:r>
          </w:p>
        </w:tc>
        <w:tc>
          <w:tcPr>
            <w:tcW w:type="dxa" w:w="60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Chỉ khẩu hiệu chính thức được đặt cạnh logo.</w:t>
            </w:r>
          </w:p>
        </w:tc>
      </w:tr>
    </w:tbl>
    <w:p>
      <w:r>
        <w:br w:type="page"/>
      </w:r>
    </w:p>
    <w:p>
      <w:pPr>
        <w:pStyle w:val="Heading1"/>
        <w:spacing w:after="180" w:before="400"/>
      </w:pPr>
      <w:r>
        <w:rPr>
          <w:rFonts w:ascii="Montserrat" w:cs="Montserrat" w:eastAsia="Montserrat" w:hAnsi="Montserrat"/>
          <w:b/>
          <w:bCs/>
          <w:color w:val="0F6B50"/>
          <w:sz w:val="40"/>
          <w:szCs w:val="40"/>
        </w:rPr>
        <w:t xml:space="preserve">3. BỘ MÀU THƯƠNG HIỆU</w:t>
      </w:r>
    </w:p>
    <w:p>
      <w:pPr>
        <w:spacing w:after="150" w:before="130"/>
        <w:jc w:val="center"/>
      </w:pPr>
      <w:r>
        <w:drawing>
          <wp:inline distT="0" distB="0" distL="0" distR="0">
            <wp:extent cx="4000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533650"/>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500"/>
        <w:gridCol w:w="3400"/>
      </w:tblGrid>
      <w:tr>
        <w:trPr>
          <w:tblHeader/>
        </w:trPr>
        <w:tc>
          <w:tcPr>
            <w:tcW w:type="dxa" w:w="2000"/>
            <w:tcBorders>
              <w:top w:val="single" w:color="E4EFEA" w:sz="2"/>
              <w:left w:val="single" w:color="E4EFEA" w:sz="2"/>
              <w:bottom w:val="single" w:color="E4EFEA" w:sz="2"/>
              <w:right w:val="single" w:color="E4EFEA" w:sz="2"/>
            </w:tcBorders>
            <w:shd w:fill="0F6B50" w:val="clear"/>
            <w:tcMar>
              <w:top w:type="dxa" w:w="85"/>
              <w:left w:type="dxa" w:w="115"/>
              <w:bottom w:type="dxa" w:w="85"/>
              <w:right w:type="dxa" w:w="115"/>
            </w:tcMar>
          </w:tcPr>
          <w:p>
            <w:pPr>
              <w:spacing w:after="0" w:line="255"/>
            </w:pPr>
            <w:r>
              <w:rPr>
                <w:rFonts w:ascii="Inter" w:cs="Inter" w:eastAsia="Inter" w:hAnsi="Inter"/>
                <w:b/>
                <w:bCs/>
                <w:color w:val="FFFFFF"/>
                <w:sz w:val="19"/>
                <w:szCs w:val="19"/>
              </w:rPr>
              <w:t xml:space="preserve">Tên màu</w:t>
            </w:r>
          </w:p>
        </w:tc>
        <w:tc>
          <w:tcPr>
            <w:tcW w:type="dxa" w:w="1400"/>
            <w:tcBorders>
              <w:top w:val="single" w:color="E4EFEA" w:sz="2"/>
              <w:left w:val="single" w:color="E4EFEA" w:sz="2"/>
              <w:bottom w:val="single" w:color="E4EFEA" w:sz="2"/>
              <w:right w:val="single" w:color="E4EFEA" w:sz="2"/>
            </w:tcBorders>
            <w:shd w:fill="0F6B50" w:val="clear"/>
            <w:tcMar>
              <w:top w:type="dxa" w:w="85"/>
              <w:left w:type="dxa" w:w="115"/>
              <w:bottom w:type="dxa" w:w="85"/>
              <w:right w:type="dxa" w:w="115"/>
            </w:tcMar>
          </w:tcPr>
          <w:p>
            <w:pPr>
              <w:spacing w:after="0" w:line="255"/>
            </w:pPr>
            <w:r>
              <w:rPr>
                <w:rFonts w:ascii="Inter" w:cs="Inter" w:eastAsia="Inter" w:hAnsi="Inter"/>
                <w:b/>
                <w:bCs/>
                <w:color w:val="FFFFFF"/>
                <w:sz w:val="19"/>
                <w:szCs w:val="19"/>
              </w:rPr>
              <w:t xml:space="preserve">HEX</w:t>
            </w:r>
          </w:p>
        </w:tc>
        <w:tc>
          <w:tcPr>
            <w:tcW w:type="dxa" w:w="2500"/>
            <w:tcBorders>
              <w:top w:val="single" w:color="E4EFEA" w:sz="2"/>
              <w:left w:val="single" w:color="E4EFEA" w:sz="2"/>
              <w:bottom w:val="single" w:color="E4EFEA" w:sz="2"/>
              <w:right w:val="single" w:color="E4EFEA" w:sz="2"/>
            </w:tcBorders>
            <w:shd w:fill="0F6B50" w:val="clear"/>
            <w:tcMar>
              <w:top w:type="dxa" w:w="85"/>
              <w:left w:type="dxa" w:w="115"/>
              <w:bottom w:type="dxa" w:w="85"/>
              <w:right w:type="dxa" w:w="115"/>
            </w:tcMar>
          </w:tcPr>
          <w:p>
            <w:pPr>
              <w:spacing w:after="0" w:line="255"/>
            </w:pPr>
            <w:r>
              <w:rPr>
                <w:rFonts w:ascii="Inter" w:cs="Inter" w:eastAsia="Inter" w:hAnsi="Inter"/>
                <w:b/>
                <w:bCs/>
                <w:color w:val="FFFFFF"/>
                <w:sz w:val="19"/>
                <w:szCs w:val="19"/>
              </w:rPr>
              <w:t xml:space="preserve">Ý nghĩa</w:t>
            </w:r>
          </w:p>
        </w:tc>
        <w:tc>
          <w:tcPr>
            <w:tcW w:type="dxa" w:w="3400"/>
            <w:tcBorders>
              <w:top w:val="single" w:color="E4EFEA" w:sz="2"/>
              <w:left w:val="single" w:color="E4EFEA" w:sz="2"/>
              <w:bottom w:val="single" w:color="E4EFEA" w:sz="2"/>
              <w:right w:val="single" w:color="E4EFEA" w:sz="2"/>
            </w:tcBorders>
            <w:shd w:fill="0F6B50" w:val="clear"/>
            <w:tcMar>
              <w:top w:type="dxa" w:w="85"/>
              <w:left w:type="dxa" w:w="115"/>
              <w:bottom w:type="dxa" w:w="85"/>
              <w:right w:type="dxa" w:w="115"/>
            </w:tcMar>
          </w:tcPr>
          <w:p>
            <w:pPr>
              <w:spacing w:after="0" w:line="255"/>
            </w:pPr>
            <w:r>
              <w:rPr>
                <w:rFonts w:ascii="Inter" w:cs="Inter" w:eastAsia="Inter" w:hAnsi="Inter"/>
                <w:b/>
                <w:bCs/>
                <w:color w:val="FFFFFF"/>
                <w:sz w:val="19"/>
                <w:szCs w:val="19"/>
              </w:rPr>
              <w:t xml:space="preserve">Ứng dụng chính</w:t>
            </w:r>
          </w:p>
        </w:tc>
      </w:tr>
      <w:tr>
        <w:trPr>
          <w:tblHeader w:val="false"/>
        </w:trPr>
        <w:tc>
          <w:tcPr>
            <w:tcW w:type="dxa" w:w="20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Emerald</w:t>
            </w:r>
          </w:p>
        </w:tc>
        <w:tc>
          <w:tcPr>
            <w:tcW w:type="dxa" w:w="14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#0F6B50</w:t>
            </w:r>
          </w:p>
        </w:tc>
        <w:tc>
          <w:tcPr>
            <w:tcW w:type="dxa" w:w="25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Tăng trưởng · Bền vững</w:t>
            </w:r>
          </w:p>
        </w:tc>
        <w:tc>
          <w:tcPr>
            <w:tcW w:type="dxa" w:w="34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Nền chủ đạo, biển hiệu, bìa ấn phẩm</w:t>
            </w:r>
          </w:p>
        </w:tc>
      </w:tr>
      <w:tr>
        <w:trPr>
          <w:tblHeader w:val="false"/>
        </w:trPr>
        <w:tc>
          <w:tcPr>
            <w:tcW w:type="dxa" w:w="20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Jade Teal</w:t>
            </w:r>
          </w:p>
        </w:tc>
        <w:tc>
          <w:tcPr>
            <w:tcW w:type="dxa" w:w="14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#1FA38A</w:t>
            </w:r>
          </w:p>
        </w:tc>
        <w:tc>
          <w:tcPr>
            <w:tcW w:type="dxa" w:w="25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Cân bằng · Hài hoà</w:t>
            </w:r>
          </w:p>
        </w:tc>
        <w:tc>
          <w:tcPr>
            <w:tcW w:type="dxa" w:w="34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Điểm nhấn, biểu tượng phụ, hoạ tiết</w:t>
            </w:r>
          </w:p>
        </w:tc>
      </w:tr>
      <w:tr>
        <w:trPr>
          <w:tblHeader w:val="false"/>
        </w:trPr>
        <w:tc>
          <w:tcPr>
            <w:tcW w:type="dxa" w:w="20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Ocean Blue</w:t>
            </w:r>
          </w:p>
        </w:tc>
        <w:tc>
          <w:tcPr>
            <w:tcW w:type="dxa" w:w="14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#1F5FAF</w:t>
            </w:r>
          </w:p>
        </w:tc>
        <w:tc>
          <w:tcPr>
            <w:tcW w:type="dxa" w:w="25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Tin cậy · Chuyên nghiệp</w:t>
            </w:r>
          </w:p>
        </w:tc>
        <w:tc>
          <w:tcPr>
            <w:tcW w:type="dxa" w:w="34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Synetic Logistics, biểu đồ, liên kết</w:t>
            </w:r>
          </w:p>
        </w:tc>
      </w:tr>
      <w:tr>
        <w:trPr>
          <w:tblHeader w:val="false"/>
        </w:trPr>
        <w:tc>
          <w:tcPr>
            <w:tcW w:type="dxa" w:w="20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Prosperity Gold</w:t>
            </w:r>
          </w:p>
        </w:tc>
        <w:tc>
          <w:tcPr>
            <w:tcW w:type="dxa" w:w="14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#C9A24B</w:t>
            </w:r>
          </w:p>
        </w:tc>
        <w:tc>
          <w:tcPr>
            <w:tcW w:type="dxa" w:w="25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Thịnh vượng · Giá trị</w:t>
            </w:r>
          </w:p>
        </w:tc>
        <w:tc>
          <w:tcPr>
            <w:tcW w:type="dxa" w:w="34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Khẩu hiệu, đường chỉ, Synetic Capital</w:t>
            </w:r>
          </w:p>
        </w:tc>
      </w:tr>
      <w:tr>
        <w:trPr>
          <w:tblHeader w:val="false"/>
        </w:trPr>
        <w:tc>
          <w:tcPr>
            <w:tcW w:type="dxa" w:w="20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Charcoal</w:t>
            </w:r>
          </w:p>
        </w:tc>
        <w:tc>
          <w:tcPr>
            <w:tcW w:type="dxa" w:w="14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#2B2B2B</w:t>
            </w:r>
          </w:p>
        </w:tc>
        <w:tc>
          <w:tcPr>
            <w:tcW w:type="dxa" w:w="25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Vững chắc · Hiện đại</w:t>
            </w:r>
          </w:p>
        </w:tc>
        <w:tc>
          <w:tcPr>
            <w:tcW w:type="dxa" w:w="34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Chữ nội dung, bản đơn sắc tối</w:t>
            </w:r>
          </w:p>
        </w:tc>
      </w:tr>
      <w:tr>
        <w:trPr>
          <w:tblHeader w:val="false"/>
        </w:trPr>
        <w:tc>
          <w:tcPr>
            <w:tcW w:type="dxa" w:w="20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Ivory</w:t>
            </w:r>
          </w:p>
        </w:tc>
        <w:tc>
          <w:tcPr>
            <w:tcW w:type="dxa" w:w="14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#F7F5EF</w:t>
            </w:r>
          </w:p>
        </w:tc>
        <w:tc>
          <w:tcPr>
            <w:tcW w:type="dxa" w:w="25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Tinh tế · Tối giản</w:t>
            </w:r>
          </w:p>
        </w:tc>
        <w:tc>
          <w:tcPr>
            <w:tcW w:type="dxa" w:w="34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Nền trang, khoảng thở</w:t>
            </w:r>
          </w:p>
        </w:tc>
      </w:tr>
    </w:tbl>
    <w:p>
      <w:pPr>
        <w:spacing w:after="110" w:before="140" w:line="272"/>
      </w:pPr>
      <w:r>
        <w:rPr>
          <w:rFonts w:ascii="Inter" w:cs="Inter" w:eastAsia="Inter" w:hAnsi="Inter"/>
          <w:color w:val="2B2B2B"/>
          <w:sz w:val="20"/>
          <w:szCs w:val="20"/>
        </w:rPr>
        <w:t xml:space="preserve">Tỷ lệ khuyến nghị: Emerald 45% · Jade Teal 18% · Ocean Blue 17% · Prosperity Gold 10% · Charcoal 8% · Ivory làm nền.</w:t>
      </w:r>
    </w:p>
    <w:p>
      <w:r>
        <w:br w:type="page"/>
      </w:r>
    </w:p>
    <w:p>
      <w:pPr>
        <w:pStyle w:val="Heading1"/>
        <w:spacing w:after="180" w:before="400"/>
      </w:pPr>
      <w:r>
        <w:rPr>
          <w:rFonts w:ascii="Montserrat" w:cs="Montserrat" w:eastAsia="Montserrat" w:hAnsi="Montserrat"/>
          <w:b/>
          <w:bCs/>
          <w:color w:val="0F6B50"/>
          <w:sz w:val="40"/>
          <w:szCs w:val="40"/>
        </w:rPr>
        <w:t xml:space="preserve">4. KIỂU CHỮ</w:t>
      </w:r>
    </w:p>
    <w:p>
      <w:pPr>
        <w:spacing w:after="150" w:before="130"/>
        <w:jc w:val="center"/>
      </w:pPr>
      <w:r>
        <w:drawing>
          <wp:inline distT="0" distB="0" distL="0" distR="0">
            <wp:extent cx="4191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44792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4200"/>
        <w:gridCol w:w="2200"/>
      </w:tblGrid>
      <w:tr>
        <w:trPr>
          <w:tblHeader/>
        </w:trPr>
        <w:tc>
          <w:tcPr>
            <w:tcW w:type="dxa" w:w="2900"/>
            <w:tcBorders>
              <w:top w:val="single" w:color="E4EFEA" w:sz="2"/>
              <w:left w:val="single" w:color="E4EFEA" w:sz="2"/>
              <w:bottom w:val="single" w:color="E4EFEA" w:sz="2"/>
              <w:right w:val="single" w:color="E4EFEA" w:sz="2"/>
            </w:tcBorders>
            <w:shd w:fill="0F6B50" w:val="clear"/>
            <w:tcMar>
              <w:top w:type="dxa" w:w="85"/>
              <w:left w:type="dxa" w:w="115"/>
              <w:bottom w:type="dxa" w:w="85"/>
              <w:right w:type="dxa" w:w="115"/>
            </w:tcMar>
          </w:tcPr>
          <w:p>
            <w:pPr>
              <w:spacing w:after="0" w:line="255"/>
            </w:pPr>
            <w:r>
              <w:rPr>
                <w:rFonts w:ascii="Inter" w:cs="Inter" w:eastAsia="Inter" w:hAnsi="Inter"/>
                <w:b/>
                <w:bCs/>
                <w:color w:val="FFFFFF"/>
                <w:sz w:val="19"/>
                <w:szCs w:val="19"/>
              </w:rPr>
              <w:t xml:space="preserve">Vai trò</w:t>
            </w:r>
          </w:p>
        </w:tc>
        <w:tc>
          <w:tcPr>
            <w:tcW w:type="dxa" w:w="4200"/>
            <w:tcBorders>
              <w:top w:val="single" w:color="E4EFEA" w:sz="2"/>
              <w:left w:val="single" w:color="E4EFEA" w:sz="2"/>
              <w:bottom w:val="single" w:color="E4EFEA" w:sz="2"/>
              <w:right w:val="single" w:color="E4EFEA" w:sz="2"/>
            </w:tcBorders>
            <w:shd w:fill="0F6B50" w:val="clear"/>
            <w:tcMar>
              <w:top w:type="dxa" w:w="85"/>
              <w:left w:type="dxa" w:w="115"/>
              <w:bottom w:type="dxa" w:w="85"/>
              <w:right w:type="dxa" w:w="115"/>
            </w:tcMar>
          </w:tcPr>
          <w:p>
            <w:pPr>
              <w:spacing w:after="0" w:line="255"/>
            </w:pPr>
            <w:r>
              <w:rPr>
                <w:rFonts w:ascii="Inter" w:cs="Inter" w:eastAsia="Inter" w:hAnsi="Inter"/>
                <w:b/>
                <w:bCs/>
                <w:color w:val="FFFFFF"/>
                <w:sz w:val="19"/>
                <w:szCs w:val="19"/>
              </w:rPr>
              <w:t xml:space="preserve">Kiểu chữ</w:t>
            </w:r>
          </w:p>
        </w:tc>
        <w:tc>
          <w:tcPr>
            <w:tcW w:type="dxa" w:w="2200"/>
            <w:tcBorders>
              <w:top w:val="single" w:color="E4EFEA" w:sz="2"/>
              <w:left w:val="single" w:color="E4EFEA" w:sz="2"/>
              <w:bottom w:val="single" w:color="E4EFEA" w:sz="2"/>
              <w:right w:val="single" w:color="E4EFEA" w:sz="2"/>
            </w:tcBorders>
            <w:shd w:fill="0F6B50" w:val="clear"/>
            <w:tcMar>
              <w:top w:type="dxa" w:w="85"/>
              <w:left w:type="dxa" w:w="115"/>
              <w:bottom w:type="dxa" w:w="85"/>
              <w:right w:type="dxa" w:w="115"/>
            </w:tcMar>
          </w:tcPr>
          <w:p>
            <w:pPr>
              <w:spacing w:after="0" w:line="255"/>
            </w:pPr>
            <w:r>
              <w:rPr>
                <w:rFonts w:ascii="Inter" w:cs="Inter" w:eastAsia="Inter" w:hAnsi="Inter"/>
                <w:b/>
                <w:bCs/>
                <w:color w:val="FFFFFF"/>
                <w:sz w:val="19"/>
                <w:szCs w:val="19"/>
              </w:rPr>
              <w:t xml:space="preserve">Cỡ tham chiếu</w:t>
            </w:r>
          </w:p>
        </w:tc>
      </w:tr>
      <w:tr>
        <w:trPr>
          <w:tblHeader w:val="false"/>
        </w:trPr>
        <w:tc>
          <w:tcPr>
            <w:tcW w:type="dxa" w:w="29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Logo, tiêu đề lớn</w:t>
            </w:r>
          </w:p>
        </w:tc>
        <w:tc>
          <w:tcPr>
            <w:tcW w:type="dxa" w:w="42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Montserrat Bold 700</w:t>
            </w:r>
          </w:p>
        </w:tc>
        <w:tc>
          <w:tcPr>
            <w:tcW w:type="dxa" w:w="22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24 – 52 pt</w:t>
            </w:r>
          </w:p>
        </w:tc>
      </w:tr>
      <w:tr>
        <w:trPr>
          <w:tblHeader w:val="false"/>
        </w:trPr>
        <w:tc>
          <w:tcPr>
            <w:tcW w:type="dxa" w:w="29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Tiêu đề mục</w:t>
            </w:r>
          </w:p>
        </w:tc>
        <w:tc>
          <w:tcPr>
            <w:tcW w:type="dxa" w:w="42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Montserrat SemiBold 600</w:t>
            </w:r>
          </w:p>
        </w:tc>
        <w:tc>
          <w:tcPr>
            <w:tcW w:type="dxa" w:w="22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16 – 22 pt</w:t>
            </w:r>
          </w:p>
        </w:tc>
      </w:tr>
      <w:tr>
        <w:trPr>
          <w:tblHeader w:val="false"/>
        </w:trPr>
        <w:tc>
          <w:tcPr>
            <w:tcW w:type="dxa" w:w="29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Tiêu đề phụ, nhãn hệ thống</w:t>
            </w:r>
          </w:p>
        </w:tc>
        <w:tc>
          <w:tcPr>
            <w:tcW w:type="dxa" w:w="42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Montserrat Medium 500</w:t>
            </w:r>
          </w:p>
        </w:tc>
        <w:tc>
          <w:tcPr>
            <w:tcW w:type="dxa" w:w="22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10 – 14 pt</w:t>
            </w:r>
          </w:p>
        </w:tc>
      </w:tr>
      <w:tr>
        <w:trPr>
          <w:tblHeader w:val="false"/>
        </w:trPr>
        <w:tc>
          <w:tcPr>
            <w:tcW w:type="dxa" w:w="29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Nội dung</w:t>
            </w:r>
          </w:p>
        </w:tc>
        <w:tc>
          <w:tcPr>
            <w:tcW w:type="dxa" w:w="42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Inter Regular 400</w:t>
            </w:r>
          </w:p>
        </w:tc>
        <w:tc>
          <w:tcPr>
            <w:tcW w:type="dxa" w:w="22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10,5 – 12 pt</w:t>
            </w:r>
          </w:p>
        </w:tc>
      </w:tr>
      <w:tr>
        <w:trPr>
          <w:tblHeader w:val="false"/>
        </w:trPr>
        <w:tc>
          <w:tcPr>
            <w:tcW w:type="dxa" w:w="29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Chú thích, nguồn</w:t>
            </w:r>
          </w:p>
        </w:tc>
        <w:tc>
          <w:tcPr>
            <w:tcW w:type="dxa" w:w="42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Inter Regular 400</w:t>
            </w:r>
          </w:p>
        </w:tc>
        <w:tc>
          <w:tcPr>
            <w:tcW w:type="dxa" w:w="22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8,5 – 9,5 pt</w:t>
            </w:r>
          </w:p>
        </w:tc>
      </w:tr>
      <w:tr>
        <w:trPr>
          <w:tblHeader w:val="false"/>
        </w:trPr>
        <w:tc>
          <w:tcPr>
            <w:tcW w:type="dxa" w:w="29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Thay thế khi thiếu font</w:t>
            </w:r>
          </w:p>
        </w:tc>
        <w:tc>
          <w:tcPr>
            <w:tcW w:type="dxa" w:w="42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Arial (Windows) · Helvetica (macOS)</w:t>
            </w:r>
          </w:p>
        </w:tc>
        <w:tc>
          <w:tcPr>
            <w:tcW w:type="dxa" w:w="22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w:t>
            </w:r>
          </w:p>
        </w:tc>
      </w:tr>
    </w:tbl>
    <w:p>
      <w:r>
        <w:br w:type="page"/>
      </w:r>
    </w:p>
    <w:p>
      <w:pPr>
        <w:pStyle w:val="Heading1"/>
        <w:spacing w:after="180" w:before="400"/>
      </w:pPr>
      <w:r>
        <w:rPr>
          <w:rFonts w:ascii="Montserrat" w:cs="Montserrat" w:eastAsia="Montserrat" w:hAnsi="Montserrat"/>
          <w:b/>
          <w:bCs/>
          <w:color w:val="0F6B50"/>
          <w:sz w:val="40"/>
          <w:szCs w:val="40"/>
        </w:rPr>
        <w:t xml:space="preserve">5. CÔNG TY THÀNH VIÊN</w:t>
      </w:r>
    </w:p>
    <w:p>
      <w:pPr>
        <w:spacing w:after="110" w:before="0" w:line="272"/>
      </w:pPr>
      <w:r>
        <w:rPr>
          <w:rFonts w:ascii="Inter" w:cs="Inter" w:eastAsia="Inter" w:hAnsi="Inter"/>
          <w:color w:val="2B2B2B"/>
          <w:sz w:val="21"/>
          <w:szCs w:val="21"/>
        </w:rPr>
        <w:t xml:space="preserve">Năm công ty thành viên dùng chung biểu tượng và cấu trúc khối chữ; phân biệt bằng dòng chữ đơn vị, màu định danh và khẩu hiệu riêng.</w:t>
      </w:r>
    </w:p>
    <w:p>
      <w:pPr>
        <w:spacing w:after="150" w:before="130"/>
        <w:jc w:val="center"/>
      </w:pPr>
      <w:r>
        <w:drawing>
          <wp:inline distT="0" distB="0" distL="0" distR="0">
            <wp:extent cx="38100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1400175"/>
                    </a:xfrm>
                    <a:prstGeom prst="rect">
                      <a:avLst/>
                    </a:prstGeom>
                  </pic:spPr>
                </pic:pic>
              </a:graphicData>
            </a:graphic>
          </wp:inline>
        </w:drawing>
      </w:r>
    </w:p>
    <w:p>
      <w:pPr>
        <w:spacing w:after="150" w:before="130"/>
        <w:jc w:val="center"/>
      </w:pPr>
      <w:r>
        <w:drawing>
          <wp:inline distT="0" distB="0" distL="0" distR="0">
            <wp:extent cx="38100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1400175"/>
                    </a:xfrm>
                    <a:prstGeom prst="rect">
                      <a:avLst/>
                    </a:prstGeom>
                  </pic:spPr>
                </pic:pic>
              </a:graphicData>
            </a:graphic>
          </wp:inline>
        </w:drawing>
      </w:r>
    </w:p>
    <w:p>
      <w:pPr>
        <w:spacing w:after="150" w:before="130"/>
        <w:jc w:val="center"/>
      </w:pPr>
      <w:r>
        <w:drawing>
          <wp:inline distT="0" distB="0" distL="0" distR="0">
            <wp:extent cx="38100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1400175"/>
                    </a:xfrm>
                    <a:prstGeom prst="rect">
                      <a:avLst/>
                    </a:prstGeom>
                  </pic:spPr>
                </pic:pic>
              </a:graphicData>
            </a:graphic>
          </wp:inline>
        </w:drawing>
      </w:r>
    </w:p>
    <w:p>
      <w:pPr>
        <w:spacing w:after="150" w:before="130"/>
        <w:jc w:val="center"/>
      </w:pPr>
      <w:r>
        <w:drawing>
          <wp:inline distT="0" distB="0" distL="0" distR="0">
            <wp:extent cx="38100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1400175"/>
                    </a:xfrm>
                    <a:prstGeom prst="rect">
                      <a:avLst/>
                    </a:prstGeom>
                  </pic:spPr>
                </pic:pic>
              </a:graphicData>
            </a:graphic>
          </wp:inline>
        </w:drawing>
      </w:r>
    </w:p>
    <w:p>
      <w:pPr>
        <w:spacing w:after="150" w:before="130"/>
        <w:jc w:val="center"/>
      </w:pPr>
      <w:r>
        <w:drawing>
          <wp:inline distT="0" distB="0" distL="0" distR="0">
            <wp:extent cx="38100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140017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00"/>
      </w:tblGrid>
      <w:tr>
        <w:trPr>
          <w:tblHeader/>
        </w:trPr>
        <w:tc>
          <w:tcPr>
            <w:tcW w:type="dxa" w:w="2400"/>
            <w:tcBorders>
              <w:top w:val="single" w:color="E4EFEA" w:sz="2"/>
              <w:left w:val="single" w:color="E4EFEA" w:sz="2"/>
              <w:bottom w:val="single" w:color="E4EFEA" w:sz="2"/>
              <w:right w:val="single" w:color="E4EFEA" w:sz="2"/>
            </w:tcBorders>
            <w:shd w:fill="0F6B50" w:val="clear"/>
            <w:tcMar>
              <w:top w:type="dxa" w:w="85"/>
              <w:left w:type="dxa" w:w="115"/>
              <w:bottom w:type="dxa" w:w="85"/>
              <w:right w:type="dxa" w:w="115"/>
            </w:tcMar>
          </w:tcPr>
          <w:p>
            <w:pPr>
              <w:spacing w:after="0" w:line="255"/>
            </w:pPr>
            <w:r>
              <w:rPr>
                <w:rFonts w:ascii="Inter" w:cs="Inter" w:eastAsia="Inter" w:hAnsi="Inter"/>
                <w:b/>
                <w:bCs/>
                <w:color w:val="FFFFFF"/>
                <w:sz w:val="19"/>
                <w:szCs w:val="19"/>
              </w:rPr>
              <w:t xml:space="preserve">Đơn vị</w:t>
            </w:r>
          </w:p>
        </w:tc>
        <w:tc>
          <w:tcPr>
            <w:tcW w:type="dxa" w:w="2200"/>
            <w:tcBorders>
              <w:top w:val="single" w:color="E4EFEA" w:sz="2"/>
              <w:left w:val="single" w:color="E4EFEA" w:sz="2"/>
              <w:bottom w:val="single" w:color="E4EFEA" w:sz="2"/>
              <w:right w:val="single" w:color="E4EFEA" w:sz="2"/>
            </w:tcBorders>
            <w:shd w:fill="0F6B50" w:val="clear"/>
            <w:tcMar>
              <w:top w:type="dxa" w:w="85"/>
              <w:left w:type="dxa" w:w="115"/>
              <w:bottom w:type="dxa" w:w="85"/>
              <w:right w:type="dxa" w:w="115"/>
            </w:tcMar>
          </w:tcPr>
          <w:p>
            <w:pPr>
              <w:spacing w:after="0" w:line="255"/>
            </w:pPr>
            <w:r>
              <w:rPr>
                <w:rFonts w:ascii="Inter" w:cs="Inter" w:eastAsia="Inter" w:hAnsi="Inter"/>
                <w:b/>
                <w:bCs/>
                <w:color w:val="FFFFFF"/>
                <w:sz w:val="19"/>
                <w:szCs w:val="19"/>
              </w:rPr>
              <w:t xml:space="preserve">Màu định danh</w:t>
            </w:r>
          </w:p>
        </w:tc>
        <w:tc>
          <w:tcPr>
            <w:tcW w:type="dxa" w:w="4700"/>
            <w:tcBorders>
              <w:top w:val="single" w:color="E4EFEA" w:sz="2"/>
              <w:left w:val="single" w:color="E4EFEA" w:sz="2"/>
              <w:bottom w:val="single" w:color="E4EFEA" w:sz="2"/>
              <w:right w:val="single" w:color="E4EFEA" w:sz="2"/>
            </w:tcBorders>
            <w:shd w:fill="0F6B50" w:val="clear"/>
            <w:tcMar>
              <w:top w:type="dxa" w:w="85"/>
              <w:left w:type="dxa" w:w="115"/>
              <w:bottom w:type="dxa" w:w="85"/>
              <w:right w:type="dxa" w:w="115"/>
            </w:tcMar>
          </w:tcPr>
          <w:p>
            <w:pPr>
              <w:spacing w:after="0" w:line="255"/>
            </w:pPr>
            <w:r>
              <w:rPr>
                <w:rFonts w:ascii="Inter" w:cs="Inter" w:eastAsia="Inter" w:hAnsi="Inter"/>
                <w:b/>
                <w:bCs/>
                <w:color w:val="FFFFFF"/>
                <w:sz w:val="19"/>
                <w:szCs w:val="19"/>
              </w:rPr>
              <w:t xml:space="preserve">Khẩu hiệu riêng</w:t>
            </w:r>
          </w:p>
        </w:tc>
      </w:tr>
      <w:tr>
        <w:trPr>
          <w:tblHeader w:val="false"/>
        </w:trPr>
        <w:tc>
          <w:tcPr>
            <w:tcW w:type="dxa" w:w="24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Synetic Dinh Dưỡng</w:t>
            </w:r>
          </w:p>
        </w:tc>
        <w:tc>
          <w:tcPr>
            <w:tcW w:type="dxa" w:w="22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Emerald</w:t>
            </w:r>
          </w:p>
        </w:tc>
        <w:tc>
          <w:tcPr>
            <w:tcW w:type="dxa" w:w="47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Chuẩn dinh dưỡng, bền tăng trưởng</w:t>
            </w:r>
          </w:p>
        </w:tc>
      </w:tr>
      <w:tr>
        <w:trPr>
          <w:tblHeader w:val="false"/>
        </w:trPr>
        <w:tc>
          <w:tcPr>
            <w:tcW w:type="dxa" w:w="24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Synetic Thú Y</w:t>
            </w:r>
          </w:p>
        </w:tc>
        <w:tc>
          <w:tcPr>
            <w:tcW w:type="dxa" w:w="22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Jade Teal</w:t>
            </w:r>
          </w:p>
        </w:tc>
        <w:tc>
          <w:tcPr>
            <w:tcW w:type="dxa" w:w="47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Chủ động phòng, bền sức khoẻ</w:t>
            </w:r>
          </w:p>
        </w:tc>
      </w:tr>
      <w:tr>
        <w:trPr>
          <w:tblHeader w:val="false"/>
        </w:trPr>
        <w:tc>
          <w:tcPr>
            <w:tcW w:type="dxa" w:w="24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Synetic Logistics</w:t>
            </w:r>
          </w:p>
        </w:tc>
        <w:tc>
          <w:tcPr>
            <w:tcW w:type="dxa" w:w="22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Ocean Blue</w:t>
            </w:r>
          </w:p>
        </w:tc>
        <w:tc>
          <w:tcPr>
            <w:tcW w:type="dxa" w:w="47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Kết nối chuẩn, vận hành nhanh</w:t>
            </w:r>
          </w:p>
        </w:tc>
      </w:tr>
      <w:tr>
        <w:trPr>
          <w:tblHeader w:val="false"/>
        </w:trPr>
        <w:tc>
          <w:tcPr>
            <w:tcW w:type="dxa" w:w="24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Synetic Nông Trại</w:t>
            </w:r>
          </w:p>
        </w:tc>
        <w:tc>
          <w:tcPr>
            <w:tcW w:type="dxa" w:w="22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Emerald</w:t>
            </w:r>
          </w:p>
        </w:tc>
        <w:tc>
          <w:tcPr>
            <w:tcW w:type="dxa" w:w="47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Nuôi bằng tâm, lớn bằng chuẩn</w:t>
            </w:r>
          </w:p>
        </w:tc>
      </w:tr>
      <w:tr>
        <w:trPr>
          <w:tblHeader w:val="false"/>
        </w:trPr>
        <w:tc>
          <w:tcPr>
            <w:tcW w:type="dxa" w:w="24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Synetic Capital</w:t>
            </w:r>
          </w:p>
        </w:tc>
        <w:tc>
          <w:tcPr>
            <w:tcW w:type="dxa" w:w="22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Prosperity Gold</w:t>
            </w:r>
          </w:p>
        </w:tc>
        <w:tc>
          <w:tcPr>
            <w:tcW w:type="dxa" w:w="47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Dẫn vốn hiệu quả, mở lối tăng trưởng</w:t>
            </w:r>
          </w:p>
        </w:tc>
      </w:tr>
    </w:tbl>
    <w:p>
      <w:r>
        <w:br w:type="page"/>
      </w:r>
    </w:p>
    <w:p>
      <w:pPr>
        <w:pStyle w:val="Heading1"/>
        <w:spacing w:after="180" w:before="400"/>
      </w:pPr>
      <w:r>
        <w:rPr>
          <w:rFonts w:ascii="Montserrat" w:cs="Montserrat" w:eastAsia="Montserrat" w:hAnsi="Montserrat"/>
          <w:b/>
          <w:bCs/>
          <w:color w:val="0F6B50"/>
          <w:sz w:val="40"/>
          <w:szCs w:val="40"/>
        </w:rPr>
        <w:t xml:space="preserve">6. VĂN PHÒNG PHẨM</w:t>
      </w:r>
    </w:p>
    <w:p>
      <w:pPr>
        <w:pStyle w:val="Heading2"/>
        <w:spacing w:after="120" w:before="300"/>
      </w:pPr>
      <w:r>
        <w:rPr>
          <w:rFonts w:ascii="Montserrat" w:cs="Montserrat" w:eastAsia="Montserrat" w:hAnsi="Montserrat"/>
          <w:b/>
          <w:bCs/>
          <w:color w:val="2B2B2B"/>
          <w:sz w:val="29"/>
          <w:szCs w:val="29"/>
        </w:rPr>
        <w:t xml:space="preserve">6.1. Danh thiếp — 90 × 55 mm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none" w:color="FFFFFF" w:sz="0"/>
              <w:left w:val="none" w:color="FFFFFF" w:sz="0"/>
              <w:bottom w:val="none" w:color="FFFFFF" w:sz="0"/>
              <w:right w:val="none" w:color="FFFFFF" w:sz="0"/>
            </w:tcBorders>
          </w:tcPr>
          <w:p>
            <w:pPr>
              <w:spacing w:after="150" w:before="130"/>
              <w:jc w:val="center"/>
            </w:pPr>
            <w:r>
              <w:drawing>
                <wp:inline distT="0" distB="0" distL="0" distR="0">
                  <wp:extent cx="1952625"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52625" cy="1238250"/>
                          </a:xfrm>
                          <a:prstGeom prst="rect">
                            <a:avLst/>
                          </a:prstGeom>
                        </pic:spPr>
                      </pic:pic>
                    </a:graphicData>
                  </a:graphic>
                </wp:inline>
              </w:drawing>
            </w:r>
          </w:p>
        </w:tc>
        <w:tc>
          <w:tcPr>
            <w:tcW w:type="dxa" w:w="4650"/>
            <w:tcBorders>
              <w:top w:val="none" w:color="FFFFFF" w:sz="0"/>
              <w:left w:val="none" w:color="FFFFFF" w:sz="0"/>
              <w:bottom w:val="none" w:color="FFFFFF" w:sz="0"/>
              <w:right w:val="none" w:color="FFFFFF" w:sz="0"/>
            </w:tcBorders>
          </w:tcPr>
          <w:p>
            <w:pPr>
              <w:spacing w:after="150" w:before="130"/>
              <w:jc w:val="center"/>
            </w:pPr>
            <w:r>
              <w:drawing>
                <wp:inline distT="0" distB="0" distL="0" distR="0">
                  <wp:extent cx="1952625"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52625" cy="1238250"/>
                          </a:xfrm>
                          <a:prstGeom prst="rect">
                            <a:avLst/>
                          </a:prstGeom>
                        </pic:spPr>
                      </pic:pic>
                    </a:graphicData>
                  </a:graphic>
                </wp:inline>
              </w:drawing>
            </w:r>
          </w:p>
        </w:tc>
      </w:tr>
    </w:tbl>
    <w:p>
      <w:pPr>
        <w:spacing w:after="230" w:before="0" w:line="272"/>
        <w:jc w:val="center"/>
      </w:pPr>
      <w:r>
        <w:rPr>
          <w:rFonts w:ascii="Inter" w:cs="Inter" w:eastAsia="Inter" w:hAnsi="Inter"/>
          <w:i/>
          <w:iCs/>
          <w:color w:val="6E7A74"/>
          <w:sz w:val="17"/>
          <w:szCs w:val="17"/>
        </w:rPr>
        <w:t xml:space="preserve">Couche mờ 320 gsm, cán mờ hai mặt. Bù xén 3 mm mỗi cạnh.</w:t>
      </w:r>
    </w:p>
    <w:p>
      <w:pPr>
        <w:pStyle w:val="Heading2"/>
        <w:spacing w:after="120" w:before="300"/>
      </w:pPr>
      <w:r>
        <w:rPr>
          <w:rFonts w:ascii="Montserrat" w:cs="Montserrat" w:eastAsia="Montserrat" w:hAnsi="Montserrat"/>
          <w:b/>
          <w:bCs/>
          <w:color w:val="2B2B2B"/>
          <w:sz w:val="29"/>
          <w:szCs w:val="29"/>
        </w:rPr>
        <w:t xml:space="preserve">6.2. Phong bì thư — 220 × 110 mm</w:t>
      </w:r>
    </w:p>
    <w:p>
      <w:pPr>
        <w:spacing w:after="150" w:before="130"/>
        <w:jc w:val="center"/>
      </w:pPr>
      <w:r>
        <w:drawing>
          <wp:inline distT="0" distB="0" distL="0" distR="0">
            <wp:extent cx="40957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2047875"/>
                    </a:xfrm>
                    <a:prstGeom prst="rect">
                      <a:avLst/>
                    </a:prstGeom>
                  </pic:spPr>
                </pic:pic>
              </a:graphicData>
            </a:graphic>
          </wp:inline>
        </w:drawing>
      </w:r>
    </w:p>
    <w:p>
      <w:pPr>
        <w:pStyle w:val="Heading2"/>
        <w:spacing w:after="120" w:before="300"/>
      </w:pPr>
      <w:r>
        <w:rPr>
          <w:rFonts w:ascii="Montserrat" w:cs="Montserrat" w:eastAsia="Montserrat" w:hAnsi="Montserrat"/>
          <w:b/>
          <w:bCs/>
          <w:color w:val="2B2B2B"/>
          <w:sz w:val="29"/>
          <w:szCs w:val="29"/>
        </w:rPr>
        <w:t xml:space="preserve">6.3. Tiêu đề thư và giấy viết thư — A4</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none" w:color="FFFFFF" w:sz="0"/>
              <w:left w:val="none" w:color="FFFFFF" w:sz="0"/>
              <w:bottom w:val="none" w:color="FFFFFF" w:sz="0"/>
              <w:right w:val="none" w:color="FFFFFF" w:sz="0"/>
            </w:tcBorders>
          </w:tcPr>
          <w:p>
            <w:pPr>
              <w:spacing w:after="150" w:before="130"/>
              <w:jc w:val="center"/>
            </w:pPr>
            <w:r>
              <w:drawing>
                <wp:inline distT="0" distB="0" distL="0" distR="0">
                  <wp:extent cx="1809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09750" cy="2562225"/>
                          </a:xfrm>
                          <a:prstGeom prst="rect">
                            <a:avLst/>
                          </a:prstGeom>
                        </pic:spPr>
                      </pic:pic>
                    </a:graphicData>
                  </a:graphic>
                </wp:inline>
              </w:drawing>
            </w:r>
          </w:p>
        </w:tc>
        <w:tc>
          <w:tcPr>
            <w:tcW w:type="dxa" w:w="4650"/>
            <w:tcBorders>
              <w:top w:val="none" w:color="FFFFFF" w:sz="0"/>
              <w:left w:val="none" w:color="FFFFFF" w:sz="0"/>
              <w:bottom w:val="none" w:color="FFFFFF" w:sz="0"/>
              <w:right w:val="none" w:color="FFFFFF" w:sz="0"/>
            </w:tcBorders>
          </w:tcPr>
          <w:p>
            <w:pPr>
              <w:spacing w:after="150" w:before="130"/>
              <w:jc w:val="center"/>
            </w:pPr>
            <w:r>
              <w:drawing>
                <wp:inline distT="0" distB="0" distL="0" distR="0">
                  <wp:extent cx="1809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809750" cy="2562225"/>
                          </a:xfrm>
                          <a:prstGeom prst="rect">
                            <a:avLst/>
                          </a:prstGeom>
                        </pic:spPr>
                      </pic:pic>
                    </a:graphicData>
                  </a:graphic>
                </wp:inline>
              </w:drawing>
            </w:r>
          </w:p>
        </w:tc>
      </w:tr>
    </w:tbl>
    <w:p>
      <w:pPr>
        <w:pStyle w:val="Heading2"/>
        <w:spacing w:after="120" w:before="300"/>
      </w:pPr>
      <w:r>
        <w:rPr>
          <w:rFonts w:ascii="Montserrat" w:cs="Montserrat" w:eastAsia="Montserrat" w:hAnsi="Montserrat"/>
          <w:b/>
          <w:bCs/>
          <w:color w:val="2B2B2B"/>
          <w:sz w:val="29"/>
          <w:szCs w:val="29"/>
        </w:rPr>
        <w:t xml:space="preserve">6.4. Bìa hợp đồng · Bìa hồ sơ · Thẻ nhân viên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W w:type="dxa" w:w="3100"/>
            <w:tcBorders>
              <w:top w:val="none" w:color="FFFFFF" w:sz="0"/>
              <w:left w:val="none" w:color="FFFFFF" w:sz="0"/>
              <w:bottom w:val="none" w:color="FFFFFF" w:sz="0"/>
              <w:right w:val="none" w:color="FFFFFF" w:sz="0"/>
            </w:tcBorders>
          </w:tcPr>
          <w:p>
            <w:pPr>
              <w:spacing w:after="150" w:before="130"/>
              <w:jc w:val="center"/>
            </w:pPr>
            <w:r>
              <w:drawing>
                <wp:inline distT="0" distB="0" distL="0" distR="0">
                  <wp:extent cx="142875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428750" cy="2019300"/>
                          </a:xfrm>
                          <a:prstGeom prst="rect">
                            <a:avLst/>
                          </a:prstGeom>
                        </pic:spPr>
                      </pic:pic>
                    </a:graphicData>
                  </a:graphic>
                </wp:inline>
              </w:drawing>
            </w:r>
          </w:p>
        </w:tc>
        <w:tc>
          <w:tcPr>
            <w:tcW w:type="dxa" w:w="3100"/>
            <w:tcBorders>
              <w:top w:val="none" w:color="FFFFFF" w:sz="0"/>
              <w:left w:val="none" w:color="FFFFFF" w:sz="0"/>
              <w:bottom w:val="none" w:color="FFFFFF" w:sz="0"/>
              <w:right w:val="none" w:color="FFFFFF" w:sz="0"/>
            </w:tcBorders>
          </w:tcPr>
          <w:p>
            <w:pPr>
              <w:spacing w:after="150" w:before="130"/>
              <w:jc w:val="center"/>
            </w:pPr>
            <w:r>
              <w:drawing>
                <wp:inline distT="0" distB="0" distL="0" distR="0">
                  <wp:extent cx="14287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428750" cy="1924050"/>
                          </a:xfrm>
                          <a:prstGeom prst="rect">
                            <a:avLst/>
                          </a:prstGeom>
                        </pic:spPr>
                      </pic:pic>
                    </a:graphicData>
                  </a:graphic>
                </wp:inline>
              </w:drawing>
            </w:r>
          </w:p>
        </w:tc>
        <w:tc>
          <w:tcPr>
            <w:tcW w:type="dxa" w:w="3100"/>
            <w:tcBorders>
              <w:top w:val="none" w:color="FFFFFF" w:sz="0"/>
              <w:left w:val="none" w:color="FFFFFF" w:sz="0"/>
              <w:bottom w:val="none" w:color="FFFFFF" w:sz="0"/>
              <w:right w:val="none" w:color="FFFFFF" w:sz="0"/>
            </w:tcBorders>
          </w:tcPr>
          <w:p>
            <w:pPr>
              <w:spacing w:after="150" w:before="130"/>
              <w:jc w:val="center"/>
            </w:pPr>
            <w:r>
              <w:drawing>
                <wp:inline distT="0" distB="0" distL="0" distR="0">
                  <wp:extent cx="104775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047750" cy="1666875"/>
                          </a:xfrm>
                          <a:prstGeom prst="rect">
                            <a:avLst/>
                          </a:prstGeom>
                        </pic:spPr>
                      </pic:pic>
                    </a:graphicData>
                  </a:graphic>
                </wp:inline>
              </w:drawing>
            </w:r>
          </w:p>
        </w:tc>
      </w:tr>
    </w:tbl>
    <w:p>
      <w:r>
        <w:br w:type="page"/>
      </w:r>
    </w:p>
    <w:p>
      <w:pPr>
        <w:pStyle w:val="Heading1"/>
        <w:spacing w:after="180" w:before="400"/>
      </w:pPr>
      <w:r>
        <w:rPr>
          <w:rFonts w:ascii="Montserrat" w:cs="Montserrat" w:eastAsia="Montserrat" w:hAnsi="Montserrat"/>
          <w:b/>
          <w:bCs/>
          <w:color w:val="0F6B50"/>
          <w:sz w:val="40"/>
          <w:szCs w:val="40"/>
        </w:rPr>
        <w:t xml:space="preserve">7. BIỂN HIỆU &amp; KHÔNG GIAN</w:t>
      </w:r>
    </w:p>
    <w:p>
      <w:pPr>
        <w:spacing w:after="150" w:before="130"/>
        <w:jc w:val="center"/>
      </w:pPr>
      <w:r>
        <w:drawing>
          <wp:inline distT="0" distB="0" distL="0" distR="0">
            <wp:extent cx="428625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86250" cy="885825"/>
                    </a:xfrm>
                    <a:prstGeom prst="rect">
                      <a:avLst/>
                    </a:prstGeom>
                  </pic:spPr>
                </pic:pic>
              </a:graphicData>
            </a:graphic>
          </wp:inline>
        </w:drawing>
      </w:r>
    </w:p>
    <w:p>
      <w:pPr>
        <w:spacing w:after="230" w:before="0" w:line="272"/>
        <w:jc w:val="center"/>
      </w:pPr>
      <w:r>
        <w:rPr>
          <w:rFonts w:ascii="Inter" w:cs="Inter" w:eastAsia="Inter" w:hAnsi="Inter"/>
          <w:i/>
          <w:iCs/>
          <w:color w:val="6E7A74"/>
          <w:sz w:val="17"/>
          <w:szCs w:val="17"/>
        </w:rPr>
        <w:t xml:space="preserve">Biển hiệu ngoại thất — nền Charcoal, chữ và biểu tượng nổi. Chất liệu alu + mica, đèn hắt phía sau.</w:t>
      </w:r>
    </w:p>
    <w:p>
      <w:pPr>
        <w:spacing w:after="150" w:before="130"/>
        <w:jc w:val="center"/>
      </w:pPr>
      <w:r>
        <w:drawing>
          <wp:inline distT="0" distB="0" distL="0" distR="0">
            <wp:extent cx="38100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810000" cy="1695450"/>
                    </a:xfrm>
                    <a:prstGeom prst="rect">
                      <a:avLst/>
                    </a:prstGeom>
                  </pic:spPr>
                </pic:pic>
              </a:graphicData>
            </a:graphic>
          </wp:inline>
        </w:drawing>
      </w:r>
    </w:p>
    <w:p>
      <w:pPr>
        <w:spacing w:after="230" w:before="0" w:line="272"/>
        <w:jc w:val="center"/>
      </w:pPr>
      <w:r>
        <w:rPr>
          <w:rFonts w:ascii="Inter" w:cs="Inter" w:eastAsia="Inter" w:hAnsi="Inter"/>
          <w:i/>
          <w:iCs/>
          <w:color w:val="6E7A74"/>
          <w:sz w:val="17"/>
          <w:szCs w:val="17"/>
        </w:rPr>
        <w:t xml:space="preserve">Logo tại khu vực lễ tân — chữ nổi mica trên nền Ivory.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none" w:color="FFFFFF" w:sz="0"/>
              <w:left w:val="none" w:color="FFFFFF" w:sz="0"/>
              <w:bottom w:val="none" w:color="FFFFFF" w:sz="0"/>
              <w:right w:val="none" w:color="FFFFFF" w:sz="0"/>
            </w:tcBorders>
          </w:tcPr>
          <w:p>
            <w:pPr>
              <w:spacing w:after="150" w:before="130"/>
              <w:jc w:val="center"/>
            </w:pPr>
            <w:r>
              <w:drawing>
                <wp:inline distT="0" distB="0" distL="0" distR="0">
                  <wp:extent cx="14287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428750" cy="2028825"/>
                          </a:xfrm>
                          <a:prstGeom prst="rect">
                            <a:avLst/>
                          </a:prstGeom>
                        </pic:spPr>
                      </pic:pic>
                    </a:graphicData>
                  </a:graphic>
                </wp:inline>
              </w:drawing>
            </w:r>
          </w:p>
        </w:tc>
        <w:tc>
          <w:tcPr>
            <w:tcW w:type="dxa" w:w="4650"/>
            <w:tcBorders>
              <w:top w:val="none" w:color="FFFFFF" w:sz="0"/>
              <w:left w:val="none" w:color="FFFFFF" w:sz="0"/>
              <w:bottom w:val="none" w:color="FFFFFF" w:sz="0"/>
              <w:right w:val="none" w:color="FFFFFF" w:sz="0"/>
            </w:tcBorders>
          </w:tcPr>
          <w:p>
            <w:pPr>
              <w:spacing w:after="150" w:before="130"/>
              <w:jc w:val="center"/>
            </w:pPr>
            <w:r>
              <w:drawing>
                <wp:inline distT="0" distB="0" distL="0" distR="0">
                  <wp:extent cx="10477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047750" cy="2486025"/>
                          </a:xfrm>
                          <a:prstGeom prst="rect">
                            <a:avLst/>
                          </a:prstGeom>
                        </pic:spPr>
                      </pic:pic>
                    </a:graphicData>
                  </a:graphic>
                </wp:inline>
              </w:drawing>
            </w:r>
          </w:p>
        </w:tc>
      </w:tr>
    </w:tbl>
    <w:p>
      <w:pPr>
        <w:spacing w:after="230" w:before="0" w:line="272"/>
        <w:jc w:val="center"/>
      </w:pPr>
      <w:r>
        <w:rPr>
          <w:rFonts w:ascii="Inter" w:cs="Inter" w:eastAsia="Inter" w:hAnsi="Inter"/>
          <w:i/>
          <w:iCs/>
          <w:color w:val="6E7A74"/>
          <w:sz w:val="17"/>
          <w:szCs w:val="17"/>
        </w:rPr>
        <w:t xml:space="preserve">Biển chỉ dẫn nội bộ và standee 0,8 × 1,9 m.</w:t>
      </w:r>
    </w:p>
    <w:p>
      <w:r>
        <w:br w:type="page"/>
      </w:r>
    </w:p>
    <w:p>
      <w:pPr>
        <w:pStyle w:val="Heading1"/>
        <w:spacing w:after="180" w:before="400"/>
      </w:pPr>
      <w:r>
        <w:rPr>
          <w:rFonts w:ascii="Montserrat" w:cs="Montserrat" w:eastAsia="Montserrat" w:hAnsi="Montserrat"/>
          <w:b/>
          <w:bCs/>
          <w:color w:val="0F6B50"/>
          <w:sz w:val="40"/>
          <w:szCs w:val="40"/>
        </w:rPr>
        <w:t xml:space="preserve">8. BAO BÌ &amp; TEM NHÃN — SYNETIC NUTRITION</w:t>
      </w:r>
    </w:p>
    <w:p>
      <w:pPr>
        <w:spacing w:after="150" w:before="130"/>
        <w:jc w:val="center"/>
      </w:pPr>
      <w:r>
        <w:drawing>
          <wp:inline distT="0" distB="0" distL="0" distR="0">
            <wp:extent cx="1809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809750" cy="2476500"/>
                    </a:xfrm>
                    <a:prstGeom prst="rect">
                      <a:avLst/>
                    </a:prstGeom>
                  </pic:spPr>
                </pic:pic>
              </a:graphicData>
            </a:graphic>
          </wp:inline>
        </w:drawing>
      </w:r>
    </w:p>
    <w:p>
      <w:pPr>
        <w:spacing w:after="230" w:before="0" w:line="272"/>
        <w:jc w:val="center"/>
      </w:pPr>
      <w:r>
        <w:rPr>
          <w:rFonts w:ascii="Inter" w:cs="Inter" w:eastAsia="Inter" w:hAnsi="Inter"/>
          <w:i/>
          <w:iCs/>
          <w:color w:val="6E7A74"/>
          <w:sz w:val="17"/>
          <w:szCs w:val="17"/>
        </w:rPr>
        <w:t xml:space="preserve">THỨC ĂN HỖN HỢP · CHO HEO THỊT · 25kg — Mã SN-312 · Số TCCS 01:2026/SNT-NUTRITION</w:t>
      </w:r>
    </w:p>
    <w:p>
      <w:pPr>
        <w:spacing w:after="150" w:before="130"/>
        <w:jc w:val="center"/>
      </w:pPr>
      <w:r>
        <w:drawing>
          <wp:inline distT="0" distB="0" distL="0" distR="0">
            <wp:extent cx="1809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809750" cy="2476500"/>
                    </a:xfrm>
                    <a:prstGeom prst="rect">
                      <a:avLst/>
                    </a:prstGeom>
                  </pic:spPr>
                </pic:pic>
              </a:graphicData>
            </a:graphic>
          </wp:inline>
        </w:drawing>
      </w:r>
    </w:p>
    <w:p>
      <w:pPr>
        <w:spacing w:after="230" w:before="0" w:line="272"/>
        <w:jc w:val="center"/>
      </w:pPr>
      <w:r>
        <w:rPr>
          <w:rFonts w:ascii="Inter" w:cs="Inter" w:eastAsia="Inter" w:hAnsi="Inter"/>
          <w:i/>
          <w:iCs/>
          <w:color w:val="6E7A74"/>
          <w:sz w:val="17"/>
          <w:szCs w:val="17"/>
        </w:rPr>
        <w:t xml:space="preserve">PREMIX · CHO GIA CẦM · 1kg — Mã SN-PMX · Số TCCS 02:2026/SNT-NUTRITION</w:t>
      </w:r>
    </w:p>
    <w:p>
      <w:pPr>
        <w:spacing w:after="150" w:before="130"/>
        <w:jc w:val="center"/>
      </w:pPr>
      <w:r>
        <w:drawing>
          <wp:inline distT="0" distB="0" distL="0" distR="0">
            <wp:extent cx="1809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809750" cy="2476500"/>
                    </a:xfrm>
                    <a:prstGeom prst="rect">
                      <a:avLst/>
                    </a:prstGeom>
                  </pic:spPr>
                </pic:pic>
              </a:graphicData>
            </a:graphic>
          </wp:inline>
        </w:drawing>
      </w:r>
    </w:p>
    <w:p>
      <w:pPr>
        <w:spacing w:after="230" w:before="0" w:line="272"/>
        <w:jc w:val="center"/>
      </w:pPr>
      <w:r>
        <w:rPr>
          <w:rFonts w:ascii="Inter" w:cs="Inter" w:eastAsia="Inter" w:hAnsi="Inter"/>
          <w:i/>
          <w:iCs/>
          <w:color w:val="6E7A74"/>
          <w:sz w:val="17"/>
          <w:szCs w:val="17"/>
        </w:rPr>
        <w:t xml:space="preserve">MULTI VITAMIN · CHO VẬT NUÔI · 1L — Mã SN-MV · Số TCCS 03:2026/SNT-NUTRITION</w:t>
      </w:r>
    </w:p>
    <w:p>
      <w:pPr>
        <w:spacing w:after="150" w:before="130"/>
        <w:jc w:val="center"/>
      </w:pPr>
      <w:r>
        <w:drawing>
          <wp:inline distT="0" distB="0" distL="0" distR="0">
            <wp:extent cx="4000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00500" cy="2543175"/>
                    </a:xfrm>
                    <a:prstGeom prst="rect">
                      <a:avLst/>
                    </a:prstGeom>
                  </pic:spPr>
                </pic:pic>
              </a:graphicData>
            </a:graphic>
          </wp:inline>
        </w:drawing>
      </w:r>
    </w:p>
    <w:p>
      <w:pPr>
        <w:spacing w:after="230" w:before="0" w:line="272"/>
        <w:jc w:val="center"/>
      </w:pPr>
      <w:r>
        <w:rPr>
          <w:rFonts w:ascii="Inter" w:cs="Inter" w:eastAsia="Inter" w:hAnsi="Inter"/>
          <w:i/>
          <w:iCs/>
          <w:color w:val="6E7A74"/>
          <w:sz w:val="17"/>
          <w:szCs w:val="17"/>
        </w:rPr>
        <w:t xml:space="preserve">Tem nhãn 110 × 70 mm — decal giấy cán mờ.</w:t>
      </w:r>
    </w:p>
    <w:p>
      <w:r>
        <w:br w:type="page"/>
      </w:r>
    </w:p>
    <w:p>
      <w:pPr>
        <w:pStyle w:val="Heading1"/>
        <w:spacing w:after="180" w:before="400"/>
      </w:pPr>
      <w:r>
        <w:rPr>
          <w:rFonts w:ascii="Montserrat" w:cs="Montserrat" w:eastAsia="Montserrat" w:hAnsi="Montserrat"/>
          <w:b/>
          <w:bCs/>
          <w:color w:val="0F6B50"/>
          <w:sz w:val="40"/>
          <w:szCs w:val="40"/>
        </w:rPr>
        <w:t xml:space="preserve">9. QUẢN TRỊ THƯƠNG HIỆU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800"/>
        <w:gridCol w:w="3500"/>
      </w:tblGrid>
      <w:tr>
        <w:trPr>
          <w:tblHeader/>
        </w:trPr>
        <w:tc>
          <w:tcPr>
            <w:tcW w:type="dxa" w:w="5800"/>
            <w:tcBorders>
              <w:top w:val="single" w:color="E4EFEA" w:sz="2"/>
              <w:left w:val="single" w:color="E4EFEA" w:sz="2"/>
              <w:bottom w:val="single" w:color="E4EFEA" w:sz="2"/>
              <w:right w:val="single" w:color="E4EFEA" w:sz="2"/>
            </w:tcBorders>
            <w:shd w:fill="0F6B50" w:val="clear"/>
            <w:tcMar>
              <w:top w:type="dxa" w:w="85"/>
              <w:left w:type="dxa" w:w="115"/>
              <w:bottom w:type="dxa" w:w="85"/>
              <w:right w:type="dxa" w:w="115"/>
            </w:tcMar>
          </w:tcPr>
          <w:p>
            <w:pPr>
              <w:spacing w:after="0" w:line="255"/>
            </w:pPr>
            <w:r>
              <w:rPr>
                <w:rFonts w:ascii="Inter" w:cs="Inter" w:eastAsia="Inter" w:hAnsi="Inter"/>
                <w:b/>
                <w:bCs/>
                <w:color w:val="FFFFFF"/>
                <w:sz w:val="19"/>
                <w:szCs w:val="19"/>
              </w:rPr>
              <w:t xml:space="preserve">Nội dung</w:t>
            </w:r>
          </w:p>
        </w:tc>
        <w:tc>
          <w:tcPr>
            <w:tcW w:type="dxa" w:w="3500"/>
            <w:tcBorders>
              <w:top w:val="single" w:color="E4EFEA" w:sz="2"/>
              <w:left w:val="single" w:color="E4EFEA" w:sz="2"/>
              <w:bottom w:val="single" w:color="E4EFEA" w:sz="2"/>
              <w:right w:val="single" w:color="E4EFEA" w:sz="2"/>
            </w:tcBorders>
            <w:shd w:fill="0F6B50" w:val="clear"/>
            <w:tcMar>
              <w:top w:type="dxa" w:w="85"/>
              <w:left w:type="dxa" w:w="115"/>
              <w:bottom w:type="dxa" w:w="85"/>
              <w:right w:type="dxa" w:w="115"/>
            </w:tcMar>
          </w:tcPr>
          <w:p>
            <w:pPr>
              <w:spacing w:after="0" w:line="255"/>
            </w:pPr>
            <w:r>
              <w:rPr>
                <w:rFonts w:ascii="Inter" w:cs="Inter" w:eastAsia="Inter" w:hAnsi="Inter"/>
                <w:b/>
                <w:bCs/>
                <w:color w:val="FFFFFF"/>
                <w:sz w:val="19"/>
                <w:szCs w:val="19"/>
              </w:rPr>
              <w:t xml:space="preserve">Trách nhiệm</w:t>
            </w:r>
          </w:p>
        </w:tc>
      </w:tr>
      <w:tr>
        <w:trPr>
          <w:tblHeader w:val="false"/>
        </w:trPr>
        <w:tc>
          <w:tcPr>
            <w:tcW w:type="dxa" w:w="58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Phê duyệt mọi ấn phẩm mang logo trước khi in</w:t>
            </w:r>
          </w:p>
        </w:tc>
        <w:tc>
          <w:tcPr>
            <w:tcW w:type="dxa" w:w="35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Ban Thương hiệu Tập đoàn</w:t>
            </w:r>
          </w:p>
        </w:tc>
      </w:tr>
      <w:tr>
        <w:trPr>
          <w:tblHeader w:val="false"/>
        </w:trPr>
        <w:tc>
          <w:tcPr>
            <w:tcW w:type="dxa" w:w="58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Lưu trữ file gốc SVG/PDF, cấm dùng JPG nén để in</w:t>
            </w:r>
          </w:p>
        </w:tc>
        <w:tc>
          <w:tcPr>
            <w:tcW w:type="dxa" w:w="35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Ban Thương hiệu Tập đoàn</w:t>
            </w:r>
          </w:p>
        </w:tc>
      </w:tr>
      <w:tr>
        <w:trPr>
          <w:tblHeader w:val="false"/>
        </w:trPr>
        <w:tc>
          <w:tcPr>
            <w:tcW w:type="dxa" w:w="58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Kiểm soát việc dùng đúng khẩu hiệu chính thức</w:t>
            </w:r>
          </w:p>
        </w:tc>
        <w:tc>
          <w:tcPr>
            <w:tcW w:type="dxa" w:w="35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Ban Thương hiệu Tập đoàn</w:t>
            </w:r>
          </w:p>
        </w:tc>
      </w:tr>
      <w:tr>
        <w:trPr>
          <w:tblHeader w:val="false"/>
        </w:trPr>
        <w:tc>
          <w:tcPr>
            <w:tcW w:type="dxa" w:w="58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Đăng ký và duy trì hiệu lực nhãn hiệu tại Cục SHTT</w:t>
            </w:r>
          </w:p>
        </w:tc>
        <w:tc>
          <w:tcPr>
            <w:tcW w:type="dxa" w:w="35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Phòng Pháp chế</w:t>
            </w:r>
          </w:p>
        </w:tc>
      </w:tr>
      <w:tr>
        <w:trPr>
          <w:tblHeader w:val="false"/>
        </w:trPr>
        <w:tc>
          <w:tcPr>
            <w:tcW w:type="dxa" w:w="58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Cấp quyền dùng logo cho đại lý, nhà phân phối</w:t>
            </w:r>
          </w:p>
        </w:tc>
        <w:tc>
          <w:tcPr>
            <w:tcW w:type="dxa" w:w="35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Ban Thương hiệu Tập đoàn</w:t>
            </w:r>
          </w:p>
        </w:tc>
      </w:tr>
      <w:tr>
        <w:trPr>
          <w:tblHeader w:val="false"/>
        </w:trPr>
        <w:tc>
          <w:tcPr>
            <w:tcW w:type="dxa" w:w="58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Rà soát tuân thủ nhận diện định kỳ 6 tháng/lần</w:t>
            </w:r>
          </w:p>
        </w:tc>
        <w:tc>
          <w:tcPr>
            <w:tcW w:type="dxa" w:w="35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color w:val="2B2B2B"/>
                <w:sz w:val="19"/>
                <w:szCs w:val="19"/>
              </w:rPr>
              <w:t xml:space="preserve">Ban Thương hiệu Tập đoàn</w:t>
            </w:r>
          </w:p>
        </w:tc>
      </w:tr>
    </w:tbl>
    <w:p>
      <w:pPr>
        <w:pStyle w:val="Heading2"/>
        <w:spacing w:after="120" w:before="300"/>
      </w:pPr>
      <w:r>
        <w:rPr>
          <w:rFonts w:ascii="Montserrat" w:cs="Montserrat" w:eastAsia="Montserrat" w:hAnsi="Montserrat"/>
          <w:b/>
          <w:bCs/>
          <w:color w:val="2B2B2B"/>
          <w:sz w:val="29"/>
          <w:szCs w:val="29"/>
        </w:rPr>
        <w:t xml:space="preserve">Việc cần làm trước khi công bố</w:t>
      </w:r>
    </w:p>
    <w:p>
      <w:pPr>
        <w:spacing w:after="110" w:before="0" w:line="272"/>
      </w:pPr>
      <w:r>
        <w:rPr>
          <w:rFonts w:ascii="Inter" w:cs="Inter" w:eastAsia="Inter" w:hAnsi="Inter"/>
          <w:color w:val="2B2B2B"/>
          <w:sz w:val="21"/>
          <w:szCs w:val="21"/>
        </w:rPr>
        <w:t xml:space="preserve">1. Tra cứu nhãn hiệu SYNETIC và phần hình tại Cục Sở hữu trí tuệ và WIPO — Nhóm Nice 05, 29, 30, 31, 35, 36, 39, 44.</w:t>
      </w:r>
    </w:p>
    <w:p>
      <w:pPr>
        <w:spacing w:after="110" w:before="0" w:line="272"/>
      </w:pPr>
      <w:r>
        <w:rPr>
          <w:rFonts w:ascii="Inter" w:cs="Inter" w:eastAsia="Inter" w:hAnsi="Inter"/>
          <w:color w:val="2B2B2B"/>
          <w:sz w:val="21"/>
          <w:szCs w:val="21"/>
        </w:rPr>
        <w:t xml:space="preserve">2. Nộp đơn đăng ký trước khi công bố ra bên ngoài để giữ ngày ưu tiên. Đăng ký cả phần chữ và phần hình.</w:t>
      </w:r>
    </w:p>
    <w:p>
      <w:pPr>
        <w:spacing w:after="110" w:before="0" w:line="272"/>
      </w:pPr>
      <w:r>
        <w:rPr>
          <w:rFonts w:ascii="Inter" w:cs="Inter" w:eastAsia="Inter" w:hAnsi="Inter"/>
          <w:color w:val="2B2B2B"/>
          <w:sz w:val="21"/>
          <w:szCs w:val="21"/>
        </w:rPr>
        <w:t xml:space="preserve">3. Tra cứu tên doanh nghiệp tại Cổng thông tin quốc gia về đăng ký doanh nghiệp (Điều 41 Luật Doanh nghiệp 2020).</w:t>
      </w:r>
    </w:p>
    <w:p>
      <w:pPr>
        <w:spacing w:after="110" w:before="0" w:line="272"/>
      </w:pPr>
      <w:r>
        <w:rPr>
          <w:rFonts w:ascii="Inter" w:cs="Inter" w:eastAsia="Inter" w:hAnsi="Inter"/>
          <w:color w:val="2B2B2B"/>
          <w:sz w:val="21"/>
          <w:szCs w:val="21"/>
        </w:rPr>
        <w:t xml:space="preserve">4. Đăng ký tên miền phòng thủ: synetic.vn, synetic.com.vn, syneticgroup.vn.</w:t>
      </w:r>
    </w:p>
    <w:p>
      <w:pPr>
        <w:spacing w:after="110" w:before="0" w:line="272"/>
      </w:pPr>
      <w:r>
        <w:rPr>
          <w:rFonts w:ascii="Inter" w:cs="Inter" w:eastAsia="Inter" w:hAnsi="Inter"/>
          <w:color w:val="2B2B2B"/>
          <w:sz w:val="21"/>
          <w:szCs w:val="21"/>
        </w:rPr>
        <w:t xml:space="preserve">5. SYNETIC thuộc nhóm tên ghép “syn-” rất đông ở nước ngoài — tra cứu quốc tế song song, mở rộng Nhóm 12, 35, 42.</w:t>
      </w:r>
    </w:p>
    <w:sectPr>
      <w:footerReference w:type="default" r:id="rId7"/>
      <w:pgSz w:w="11906" w:h="16838" w:orient="portrait"/>
      <w:pgMar w:top="1000" w:right="1000"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E7A74"/>
        <w:sz w:val="16"/>
        <w:szCs w:val="16"/>
      </w:rPr>
      <w:t xml:space="preserve">Synetic — Cẩm nang nhận diện thương hiệu  ·  Trang </w:t>
    </w:r>
    <w:r>
      <w:rPr>
        <w:rFonts w:ascii="Inter" w:cs="Inter" w:eastAsia="Inter" w:hAnsi="Inter"/>
        <w:color w:val="6E7A7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8a871b9a67c144e571c25755c343183f6674fc6.png"/><Relationship Id="rId9" Type="http://schemas.openxmlformats.org/officeDocument/2006/relationships/image" Target="media/8e7f47eff68f42073663592fa8410a5325a9ec0e.png"/><Relationship Id="rId10" Type="http://schemas.openxmlformats.org/officeDocument/2006/relationships/image" Target="media/c9d7ed9dcdabe849d354926c12af9d9073b95984.png"/><Relationship Id="rId11" Type="http://schemas.openxmlformats.org/officeDocument/2006/relationships/image" Target="media/f4fd63e78e1bc4349ae703229c6eb7034e680b80.png"/><Relationship Id="rId12" Type="http://schemas.openxmlformats.org/officeDocument/2006/relationships/image" Target="media/4d8362cb662c989fa8d2d67af3c9c4617b5f655e.png"/><Relationship Id="rId13" Type="http://schemas.openxmlformats.org/officeDocument/2006/relationships/image" Target="media/e19c662f6b16e899df84cad584b3eaa722578b76.png"/><Relationship Id="rId14" Type="http://schemas.openxmlformats.org/officeDocument/2006/relationships/image" Target="media/0ba623f2f2664f292585004511581dd6751e5274.png"/><Relationship Id="rId15" Type="http://schemas.openxmlformats.org/officeDocument/2006/relationships/image" Target="media/35a7ef9d40997bc0faab3770aacbda9305bb1307.png"/><Relationship Id="rId16" Type="http://schemas.openxmlformats.org/officeDocument/2006/relationships/image" Target="media/285bc6b0933f91bfbc50016805b69d32fe1f1814.png"/><Relationship Id="rId17" Type="http://schemas.openxmlformats.org/officeDocument/2006/relationships/image" Target="media/1e47ef8c4b079543938b92d464e8682bf5c8eb7b.png"/><Relationship Id="rId18" Type="http://schemas.openxmlformats.org/officeDocument/2006/relationships/image" Target="media/ab351be8cffa00b4b1ee519b500920c78bb89956.png"/><Relationship Id="rId19" Type="http://schemas.openxmlformats.org/officeDocument/2006/relationships/image" Target="media/027351f4e57a8e020cebf16feac43b0bf60dd577.png"/><Relationship Id="rId20" Type="http://schemas.openxmlformats.org/officeDocument/2006/relationships/image" Target="media/e6fa2644a20a9239f3bf90f3eb1ec34bf82b89cc.png"/><Relationship Id="rId21" Type="http://schemas.openxmlformats.org/officeDocument/2006/relationships/image" Target="media/5dfc9a32a7c434f05b3d93e6d2f9c17367871c94.png"/><Relationship Id="rId22" Type="http://schemas.openxmlformats.org/officeDocument/2006/relationships/image" Target="media/a89dbdcd766e59f66783a55f495a7ba555779679.png"/><Relationship Id="rId23" Type="http://schemas.openxmlformats.org/officeDocument/2006/relationships/image" Target="media/886c4fb36640c9aa625d8009693df9d664a3f6de.png"/><Relationship Id="rId24" Type="http://schemas.openxmlformats.org/officeDocument/2006/relationships/image" Target="media/60f6f7a848f84da300b6a20173d817a0c39e3408.png"/><Relationship Id="rId25" Type="http://schemas.openxmlformats.org/officeDocument/2006/relationships/image" Target="media/77746beadf3675d8e06874ec38cf22b14458e97a.png"/><Relationship Id="rId26" Type="http://schemas.openxmlformats.org/officeDocument/2006/relationships/image" Target="media/228be4c46e6e88842c9bb63e0c5579ae36ed4e8b.png"/><Relationship Id="rId27" Type="http://schemas.openxmlformats.org/officeDocument/2006/relationships/image" Target="media/1c4f7703158a2619950258e82e5d75e175ff1bfe.png"/><Relationship Id="rId28" Type="http://schemas.openxmlformats.org/officeDocument/2006/relationships/image" Target="media/676e68366fc318c6698beb2bb50c01af547b1717.png"/><Relationship Id="rId29" Type="http://schemas.openxmlformats.org/officeDocument/2006/relationships/image" Target="media/abf03dcc84e86a16583031b27b6382a326b9fdc7.png"/><Relationship Id="rId30" Type="http://schemas.openxmlformats.org/officeDocument/2006/relationships/image" Target="media/e2bf054e84db8a72fbe9023096d5a943a752d984.png"/><Relationship Id="rId31" Type="http://schemas.openxmlformats.org/officeDocument/2006/relationships/image" Target="media/bce3528fc4699283d7b589c92f5adc084ef936a9.png"/><Relationship Id="rId32" Type="http://schemas.openxmlformats.org/officeDocument/2006/relationships/image" Target="media/69e4f4c2c4f1dca7a0758e3c3cab935d5a6f152b.png"/><Relationship Id="rId33" Type="http://schemas.openxmlformats.org/officeDocument/2006/relationships/image" Target="media/201fce2eb58056b603a9b4c00545a2938a6bec00.png"/><Relationship Id="rId34" Type="http://schemas.openxmlformats.org/officeDocument/2006/relationships/image" Target="media/a1b01c8589d7c46e4b709c53168355679d94cd2e.png"/><Relationship Id="rId35" Type="http://schemas.openxmlformats.org/officeDocument/2006/relationships/image" Target="media/3110c844d53f3b765080374626a8ca612cd206b9.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2026-08-15T07:01:19.747Z</dcterms:created>
  <dcterms:modified xsi:type="dcterms:W3CDTF">2026-08-15T07:01:19.748Z</dcterms:modified>
</cp:coreProperties>
</file>

<file path=docProps/custom.xml><?xml version="1.0" encoding="utf-8"?>
<Properties xmlns="http://schemas.openxmlformats.org/officeDocument/2006/custom-properties" xmlns:vt="http://schemas.openxmlformats.org/officeDocument/2006/docPropsVTypes"/>
</file>