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03" w:rsidRDefault="00DE7903" w:rsidP="003228AF">
      <w:pPr>
        <w:pStyle w:val="1"/>
        <w:rPr>
          <w:rFonts w:eastAsia="Calibri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Московский государственный университет геодезии и картографии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(МИИГАИК) </w:t>
      </w:r>
    </w:p>
    <w:p w:rsidR="00DE7903" w:rsidRDefault="00DE7903" w:rsidP="00DE7903">
      <w:pPr>
        <w:pBdr>
          <w:top w:val="single" w:sz="4" w:space="1" w:color="auto"/>
        </w:pBdr>
        <w:ind w:left="-567"/>
        <w:jc w:val="center"/>
        <w:rPr>
          <w:rFonts w:ascii="Times New Roman" w:eastAsia="Calibri" w:hAnsi="Times New Roman" w:cs="Times New Roman"/>
          <w:sz w:val="32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прикладной информатики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Дисциплина: «</w:t>
      </w:r>
      <w:proofErr w:type="spellStart"/>
      <w:r>
        <w:rPr>
          <w:rFonts w:ascii="Times New Roman" w:eastAsia="Calibri" w:hAnsi="Times New Roman" w:cs="Times New Roman"/>
          <w:sz w:val="28"/>
        </w:rPr>
        <w:t>Геоинформатика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3228AF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№1</w:t>
      </w:r>
      <w:r w:rsidR="003B5C85">
        <w:rPr>
          <w:rFonts w:ascii="Times New Roman" w:eastAsia="Calibri" w:hAnsi="Times New Roman" w:cs="Times New Roman"/>
          <w:sz w:val="28"/>
        </w:rPr>
        <w:t>4</w:t>
      </w:r>
      <w:r w:rsidR="00DE7903">
        <w:rPr>
          <w:rFonts w:ascii="Times New Roman" w:eastAsia="Calibri" w:hAnsi="Times New Roman" w:cs="Times New Roman"/>
          <w:sz w:val="28"/>
        </w:rPr>
        <w:t>:</w:t>
      </w:r>
    </w:p>
    <w:p w:rsidR="00DE7903" w:rsidRDefault="00DD46F8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Географический анализ</w:t>
      </w:r>
      <w:r w:rsidR="00DE7903">
        <w:rPr>
          <w:rFonts w:ascii="Times New Roman" w:eastAsia="Calibri" w:hAnsi="Times New Roman" w:cs="Times New Roman"/>
          <w:sz w:val="28"/>
        </w:rPr>
        <w:t>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Работу выполнил:</w:t>
      </w:r>
      <w:r>
        <w:rPr>
          <w:rFonts w:ascii="Times New Roman" w:eastAsia="Calibri" w:hAnsi="Times New Roman" w:cs="Times New Roman"/>
          <w:sz w:val="28"/>
        </w:rPr>
        <w:br/>
        <w:t>студент ГФ ИНФ 3 – 1б</w:t>
      </w:r>
      <w:r>
        <w:rPr>
          <w:rFonts w:ascii="Times New Roman" w:eastAsia="Calibri" w:hAnsi="Times New Roman" w:cs="Times New Roman"/>
          <w:sz w:val="28"/>
        </w:rPr>
        <w:br/>
        <w:t>Фатеев Д.В.</w:t>
      </w:r>
      <w:r>
        <w:rPr>
          <w:rFonts w:ascii="Times New Roman" w:eastAsia="Calibri" w:hAnsi="Times New Roman" w:cs="Times New Roman"/>
          <w:sz w:val="28"/>
        </w:rPr>
        <w:br/>
        <w:t>Вариант 21</w:t>
      </w: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Работу принял: </w:t>
      </w:r>
      <w:r>
        <w:rPr>
          <w:rFonts w:ascii="Times New Roman" w:eastAsia="Calibri" w:hAnsi="Times New Roman" w:cs="Times New Roman"/>
          <w:sz w:val="28"/>
        </w:rPr>
        <w:br/>
        <w:t>ст. преподаватель</w:t>
      </w:r>
      <w:r>
        <w:rPr>
          <w:rFonts w:ascii="Times New Roman" w:eastAsia="Calibri" w:hAnsi="Times New Roman" w:cs="Times New Roman"/>
          <w:sz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</w:rPr>
        <w:t>Лыгин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А.Н.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>
        <w:rPr>
          <w:rFonts w:ascii="Times New Roman" w:eastAsia="Calibri" w:hAnsi="Times New Roman" w:cs="Times New Roman"/>
          <w:sz w:val="28"/>
        </w:rPr>
        <w:br/>
        <w:t>2020</w:t>
      </w:r>
    </w:p>
    <w:p w:rsidR="00DE7903" w:rsidRDefault="00DE7903" w:rsidP="00DE7903">
      <w:pPr>
        <w:spacing w:after="0"/>
        <w:rPr>
          <w:rFonts w:ascii="Times New Roman" w:eastAsia="Calibri" w:hAnsi="Times New Roman" w:cs="Times New Roman"/>
          <w:sz w:val="28"/>
        </w:rPr>
        <w:sectPr w:rsidR="00DE7903">
          <w:pgSz w:w="11906" w:h="16838"/>
          <w:pgMar w:top="1134" w:right="850" w:bottom="1134" w:left="1701" w:header="708" w:footer="708" w:gutter="0"/>
          <w:cols w:space="720"/>
        </w:sectPr>
      </w:pPr>
    </w:p>
    <w:p w:rsidR="00DE7903" w:rsidRDefault="00DD46F8" w:rsidP="00DE7903">
      <w:pPr>
        <w:keepNext/>
        <w:keepLines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3585400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№14</w:t>
      </w:r>
      <w:r w:rsidR="00DE7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bookmarkEnd w:id="0"/>
    </w:p>
    <w:p w:rsidR="00333BE9" w:rsidRDefault="00333BE9" w:rsidP="00333BE9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E7903" w:rsidRDefault="00DE7903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  <w:r w:rsidR="00DD46F8">
        <w:rPr>
          <w:rFonts w:ascii="Times New Roman" w:hAnsi="Times New Roman" w:cs="Times New Roman"/>
          <w:sz w:val="28"/>
          <w:szCs w:val="28"/>
        </w:rPr>
        <w:t xml:space="preserve"> научиться таким видам географического анализа, как построение буферных зон и объединение областей.</w:t>
      </w:r>
    </w:p>
    <w:p w:rsidR="00800D6B" w:rsidRDefault="00800D6B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800D6B" w:rsidRPr="00DD46F8" w:rsidRDefault="00DD46F8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Объединили области западной части России в один объект с названием Запад.</w:t>
      </w:r>
    </w:p>
    <w:p w:rsidR="003B5C85" w:rsidRDefault="003B5C85" w:rsidP="003B5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A6A56" wp14:editId="1C9A4895">
            <wp:extent cx="5940425" cy="331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8" w:rsidRDefault="00DD46F8" w:rsidP="00DD4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Объединили остальные области в регион Восток и задали им разные стили оформления.</w:t>
      </w:r>
    </w:p>
    <w:p w:rsidR="003B5C85" w:rsidRDefault="003B5C85" w:rsidP="003B5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F53C08" wp14:editId="0C88C6C0">
            <wp:extent cx="5783580" cy="3505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8" w:rsidRDefault="00DD46F8" w:rsidP="00DD4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буферную зону</w:t>
      </w:r>
      <w:r w:rsidR="00FE0E64">
        <w:rPr>
          <w:rFonts w:ascii="Times New Roman" w:hAnsi="Times New Roman" w:cs="Times New Roman"/>
          <w:sz w:val="28"/>
          <w:szCs w:val="28"/>
        </w:rPr>
        <w:t>, равноудалённую на</w:t>
      </w:r>
      <w:r>
        <w:rPr>
          <w:rFonts w:ascii="Times New Roman" w:hAnsi="Times New Roman" w:cs="Times New Roman"/>
          <w:sz w:val="28"/>
          <w:szCs w:val="28"/>
        </w:rPr>
        <w:t xml:space="preserve"> 50 км от города Москвы.</w:t>
      </w:r>
    </w:p>
    <w:p w:rsidR="003B5C85" w:rsidRDefault="003B5C85" w:rsidP="003B5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71753" wp14:editId="69780207">
            <wp:extent cx="3543300" cy="2583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64" w:rsidRDefault="00FE0E64" w:rsidP="00FE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буфер вокруг линейного объекта железной дороги с шириной 5 км.</w:t>
      </w:r>
    </w:p>
    <w:p w:rsidR="00FE0E64" w:rsidRDefault="00FE0E64" w:rsidP="00FE0E64">
      <w:pPr>
        <w:rPr>
          <w:rFonts w:ascii="Times New Roman" w:hAnsi="Times New Roman" w:cs="Times New Roman"/>
          <w:sz w:val="28"/>
          <w:szCs w:val="28"/>
        </w:rPr>
      </w:pPr>
    </w:p>
    <w:p w:rsidR="003B5C85" w:rsidRDefault="00831913" w:rsidP="003B5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87240F" wp14:editId="66460038">
            <wp:extent cx="5940425" cy="51427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64" w:rsidRDefault="00FE0E64" w:rsidP="00FE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Задали нескольким городам каждому свой буфер в 15 км.</w:t>
      </w:r>
    </w:p>
    <w:p w:rsidR="005A4118" w:rsidRDefault="00831913" w:rsidP="00831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FE9BB" wp14:editId="439E09DC">
            <wp:extent cx="5067300" cy="3954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64" w:rsidRDefault="00FE0E64" w:rsidP="00FE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Построили концентрические буферные кольца вокруг города в три радиуса – 10, 20 и 30 км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сглаживанием 12 полигонов.</w:t>
      </w:r>
    </w:p>
    <w:p w:rsidR="00FE0E64" w:rsidRDefault="00EC40ED" w:rsidP="00FE0E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8472C" wp14:editId="200F0E38">
            <wp:extent cx="4450080" cy="37338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64" w:rsidRDefault="00FE0E64" w:rsidP="00FE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треугольный буфер.</w:t>
      </w:r>
    </w:p>
    <w:p w:rsidR="00EC40ED" w:rsidRDefault="00EC40ED" w:rsidP="00831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16E257" wp14:editId="7DF62CDF">
            <wp:extent cx="2529840" cy="22936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64" w:rsidRDefault="00FE0E64" w:rsidP="00FE0E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объектов – создание единого объекта из разрозненных составляющих</w:t>
      </w:r>
      <w:r w:rsidR="00FC7398">
        <w:rPr>
          <w:rFonts w:ascii="Times New Roman" w:hAnsi="Times New Roman" w:cs="Times New Roman"/>
          <w:sz w:val="28"/>
          <w:szCs w:val="28"/>
        </w:rPr>
        <w:t>.</w:t>
      </w:r>
    </w:p>
    <w:p w:rsidR="00FC7398" w:rsidRDefault="00FC7398" w:rsidP="00FC73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Буферные зоны – равноудаленные от центра построения зоны, построенные с различными целями (зоны бедствий,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радиопокрытия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досягаемости и т.п.).</w:t>
      </w:r>
    </w:p>
    <w:p w:rsidR="00FC7398" w:rsidRPr="00FC7398" w:rsidRDefault="00FC7398" w:rsidP="00FC7398">
      <w:pPr>
        <w:jc w:val="both"/>
        <w:rPr>
          <w:rFonts w:ascii="Times New Roman" w:hAnsi="Times New Roman" w:cs="Times New Roman"/>
          <w:sz w:val="28"/>
          <w:szCs w:val="28"/>
        </w:rPr>
      </w:pPr>
      <w:r w:rsidRPr="00FC7398">
        <w:rPr>
          <w:rFonts w:ascii="Times New Roman" w:hAnsi="Times New Roman" w:cs="Times New Roman"/>
          <w:sz w:val="28"/>
          <w:szCs w:val="28"/>
        </w:rPr>
        <w:t>Виды буферов:</w:t>
      </w:r>
    </w:p>
    <w:p w:rsidR="00FC7398" w:rsidRPr="00FC7398" w:rsidRDefault="00FC7398" w:rsidP="00FC73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7398">
        <w:rPr>
          <w:rFonts w:ascii="Times New Roman" w:hAnsi="Times New Roman" w:cs="Times New Roman"/>
          <w:sz w:val="28"/>
          <w:szCs w:val="28"/>
        </w:rPr>
        <w:t>Кольцевой буфер – с его помощью можно создать несколько буферных зон (колец)</w:t>
      </w:r>
    </w:p>
    <w:p w:rsidR="00FC7398" w:rsidRPr="00FC7398" w:rsidRDefault="00FC7398" w:rsidP="00FC73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7398">
        <w:rPr>
          <w:rFonts w:ascii="Times New Roman" w:hAnsi="Times New Roman" w:cs="Times New Roman"/>
          <w:sz w:val="28"/>
          <w:szCs w:val="28"/>
        </w:rPr>
        <w:t>Буфер оконтуривания объектов</w:t>
      </w:r>
    </w:p>
    <w:p w:rsidR="00FC7398" w:rsidRPr="00FC7398" w:rsidRDefault="00FC7398" w:rsidP="00FC73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7398">
        <w:rPr>
          <w:rFonts w:ascii="Times New Roman" w:hAnsi="Times New Roman" w:cs="Times New Roman"/>
          <w:sz w:val="28"/>
          <w:szCs w:val="28"/>
        </w:rPr>
        <w:t>Буферные зоны для каждого объекта, приводит к появлению буфера для каждого объекта с соответствующим количеством записей в таблице</w:t>
      </w:r>
    </w:p>
    <w:p w:rsidR="00FC7398" w:rsidRPr="00FC7398" w:rsidRDefault="00FC7398" w:rsidP="00FC73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7398">
        <w:rPr>
          <w:rFonts w:ascii="Times New Roman" w:hAnsi="Times New Roman" w:cs="Times New Roman"/>
          <w:sz w:val="28"/>
          <w:szCs w:val="28"/>
        </w:rPr>
        <w:t>Один буфер для нескольких объектов – приводит к созданию одного буфера, охватывающего несколько точек</w:t>
      </w:r>
    </w:p>
    <w:p w:rsidR="00FC7398" w:rsidRDefault="00FC7398" w:rsidP="00FE0E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 первой части работы заключался в том, чтобы создать территории сбыта областей РФ, разделив их на два региона. Объединение объектов помогает проводить дальнейший анализ карты.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второй части работы мы использовали буферные кольца, которые имеют свойства полигонов</w:t>
      </w:r>
      <w:r w:rsidRPr="00FC7398">
        <w:rPr>
          <w:rFonts w:ascii="Times New Roman" w:hAnsi="Times New Roman" w:cs="Times New Roman"/>
          <w:sz w:val="28"/>
          <w:szCs w:val="28"/>
        </w:rPr>
        <w:t>, поэтому к ним можно применять различные инструменты, а также выбирать другие объекты для анализа (например, для городов, входящих в буферную зону).</w:t>
      </w:r>
      <w:r>
        <w:rPr>
          <w:rFonts w:ascii="Times New Roman" w:hAnsi="Times New Roman" w:cs="Times New Roman"/>
          <w:sz w:val="28"/>
          <w:szCs w:val="28"/>
        </w:rPr>
        <w:t xml:space="preserve"> С их помощью, например, можно простроить карту последствий ядерного взрыва, где в каждом кольце будет разная степень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разрушенности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зданий, а расстояния этих областей будут</w:t>
      </w:r>
      <w:r w:rsidR="003A0EA6">
        <w:rPr>
          <w:rFonts w:ascii="Times New Roman" w:hAnsi="Times New Roman" w:cs="Times New Roman"/>
          <w:sz w:val="28"/>
          <w:szCs w:val="28"/>
        </w:rPr>
        <w:t xml:space="preserve"> отсчитываться от центра взрыва.</w:t>
      </w:r>
      <w:bookmarkStart w:id="1" w:name="_GoBack"/>
      <w:bookmarkEnd w:id="1"/>
    </w:p>
    <w:p w:rsidR="006E760A" w:rsidRPr="00FE0E64" w:rsidRDefault="006E760A" w:rsidP="00FE0E64">
      <w:pPr>
        <w:rPr>
          <w:rFonts w:ascii="Times New Roman" w:hAnsi="Times New Roman" w:cs="Times New Roman"/>
          <w:sz w:val="28"/>
          <w:szCs w:val="28"/>
        </w:rPr>
      </w:pPr>
    </w:p>
    <w:sectPr w:rsidR="006E760A" w:rsidRPr="00FE0E64" w:rsidSect="0041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D28A1"/>
    <w:multiLevelType w:val="hybridMultilevel"/>
    <w:tmpl w:val="E01A0228"/>
    <w:lvl w:ilvl="0" w:tplc="7AEC106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D500E7"/>
    <w:multiLevelType w:val="hybridMultilevel"/>
    <w:tmpl w:val="A7A62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12616"/>
    <w:multiLevelType w:val="hybridMultilevel"/>
    <w:tmpl w:val="1032A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6B3"/>
    <w:rsid w:val="00037588"/>
    <w:rsid w:val="002676B3"/>
    <w:rsid w:val="00281116"/>
    <w:rsid w:val="003228AF"/>
    <w:rsid w:val="00333BE9"/>
    <w:rsid w:val="00395970"/>
    <w:rsid w:val="003A0EA6"/>
    <w:rsid w:val="003B5C85"/>
    <w:rsid w:val="003C3273"/>
    <w:rsid w:val="004120EF"/>
    <w:rsid w:val="0042391B"/>
    <w:rsid w:val="00543D36"/>
    <w:rsid w:val="005A4118"/>
    <w:rsid w:val="005C1B09"/>
    <w:rsid w:val="00620125"/>
    <w:rsid w:val="006E760A"/>
    <w:rsid w:val="007E14E6"/>
    <w:rsid w:val="00800D6B"/>
    <w:rsid w:val="00831913"/>
    <w:rsid w:val="00861702"/>
    <w:rsid w:val="008B358A"/>
    <w:rsid w:val="008F6CB4"/>
    <w:rsid w:val="009B53AF"/>
    <w:rsid w:val="00A13F71"/>
    <w:rsid w:val="00A65FC9"/>
    <w:rsid w:val="00BB644D"/>
    <w:rsid w:val="00BC6FD1"/>
    <w:rsid w:val="00DC2C93"/>
    <w:rsid w:val="00DD46F8"/>
    <w:rsid w:val="00DE7903"/>
    <w:rsid w:val="00E85C2A"/>
    <w:rsid w:val="00EC40ED"/>
    <w:rsid w:val="00F1523A"/>
    <w:rsid w:val="00FC7398"/>
    <w:rsid w:val="00F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F"/>
  </w:style>
  <w:style w:type="paragraph" w:styleId="1">
    <w:name w:val="heading 1"/>
    <w:basedOn w:val="a"/>
    <w:next w:val="a"/>
    <w:link w:val="10"/>
    <w:uiPriority w:val="9"/>
    <w:qFormat/>
    <w:rsid w:val="00322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F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22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DC621-4545-405E-B9F3-88F35D11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kett</cp:lastModifiedBy>
  <cp:revision>21</cp:revision>
  <dcterms:created xsi:type="dcterms:W3CDTF">2020-04-03T11:12:00Z</dcterms:created>
  <dcterms:modified xsi:type="dcterms:W3CDTF">2020-04-19T17:35:00Z</dcterms:modified>
</cp:coreProperties>
</file>