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Times New Roman" w:hAnsi="Times New Roman" w:eastAsia="Times New Roman"/>
          <w:b/>
          <w:i w:val="0"/>
          <w:color w:val="1B2A4A"/>
          <w:sz w:val="44"/>
        </w:rPr>
        <w:t>SONAAL TOPNO</w:t>
      </w:r>
    </w:p>
    <w:p>
      <w:pPr>
        <w:spacing w:after="60" w:line="240" w:lineRule="auto"/>
        <w:jc w:val="center"/>
      </w:pPr>
      <w:r>
        <w:rPr>
          <w:rFonts w:ascii="Times New Roman" w:hAnsi="Times New Roman" w:eastAsia="Times New Roman"/>
          <w:b w:val="0"/>
          <w:i w:val="0"/>
          <w:sz w:val="19"/>
        </w:rPr>
        <w:t>Senior Business Consultant  |  AI Automation  |  Data Analytics &amp; Strategy  |  IIT Roorkee</w:t>
      </w:r>
    </w:p>
    <w:p>
      <w:pPr>
        <w:spacing w:after="200" w:line="240" w:lineRule="auto"/>
        <w:jc w:val="center"/>
      </w:pPr>
      <w:r>
        <w:rPr>
          <w:rFonts w:ascii="Times New Roman" w:hAnsi="Times New Roman" w:eastAsia="Times New Roman"/>
          <w:b w:val="0"/>
          <w:i w:val="0"/>
          <w:color w:val="5A6578"/>
          <w:sz w:val="17"/>
        </w:rPr>
        <w:t>New Delhi, India  |  +91-7549053816  |  sonaaltopno.iitr@gmail.com  |  https://linkedin.com/in/sonaal-topno-408531aa</w:t>
      </w:r>
    </w:p>
    <w:p>
      <w:pPr>
        <w:keepNext/>
        <w:spacing w:before="160" w:after="40"/>
      </w:pPr>
      <w:r>
        <w:rPr>
          <w:rFonts w:ascii="Calibri" w:hAnsi="Calibri" w:eastAsia="Calibri"/>
          <w:b/>
          <w:i w:val="0"/>
          <w:color w:val="1B2A4A"/>
          <w:sz w:val="22"/>
        </w:rPr>
        <w:t>PROFESSIONAL SUMMARY</w:t>
      </w:r>
    </w:p>
    <w:p>
      <w:pPr>
        <w:spacing w:after="80" w:line="276" w:lineRule="auto"/>
      </w:pPr>
      <w:r>
        <w:rPr>
          <w:rFonts w:ascii="Times New Roman" w:hAnsi="Times New Roman" w:eastAsia="Times New Roman"/>
          <w:b w:val="0"/>
          <w:i w:val="0"/>
          <w:sz w:val="21"/>
        </w:rPr>
        <w:t>Senior Business Consultant with 10+ years in customer analytics, growth strategy, and consumer insights across gaming, market research, and consumer digital platforms. IIT Roorkee graduate who delivers actionable recommendations through SQL, Python, predictive modelling, experimentation, and BI (Power BI, Tableau), partnering with product, marketing, and commercial leaders from brief to measurement. Architects AI-assisted workflows with Cursor, GitHub Copilot, and Claude—using MCP to connect monday.com intakes, Databricks SQL, and LLMs so context, governed data pulls, analysis, and structured replies flow back into business systems as a repeatable pipeline. Leads cross-functional analytics teams with a focus on rigour, automation at scale, and executive-ready communication.</w:t>
      </w:r>
    </w:p>
    <w:p>
      <w:pPr>
        <w:keepNext/>
        <w:spacing w:before="160" w:after="40"/>
      </w:pPr>
      <w:r>
        <w:rPr>
          <w:rFonts w:ascii="Calibri" w:hAnsi="Calibri" w:eastAsia="Calibri"/>
          <w:b/>
          <w:i w:val="0"/>
          <w:color w:val="1B2A4A"/>
          <w:sz w:val="22"/>
        </w:rPr>
        <w:t>CORE COMPETENCIES</w:t>
      </w:r>
    </w:p>
    <w:p>
      <w:pPr>
        <w:spacing w:after="40" w:line="276" w:lineRule="auto"/>
      </w:pPr>
      <w:r>
        <w:rPr>
          <w:rFonts w:ascii="Times New Roman" w:hAnsi="Times New Roman" w:eastAsia="Times New Roman"/>
          <w:b w:val="0"/>
          <w:i w:val="0"/>
          <w:sz w:val="21"/>
        </w:rPr>
        <w:t>AI and Automation: Cursor IDE, GitHub Copilot, ChatGPT, Claude, MCP Server Development, LLM Workflow Automation, AI-Assisted Analytics, Prompt Engineering, Internal App Development</w:t>
      </w:r>
    </w:p>
    <w:p>
      <w:pPr>
        <w:spacing w:after="40" w:line="276" w:lineRule="auto"/>
      </w:pPr>
      <w:r>
        <w:rPr>
          <w:rFonts w:ascii="Times New Roman" w:hAnsi="Times New Roman" w:eastAsia="Times New Roman"/>
          <w:b w:val="0"/>
          <w:i w:val="0"/>
          <w:sz w:val="21"/>
        </w:rPr>
        <w:t>Cloud and Data Platforms: Amazon Web Services (AWS S3, Athena, Lambda), Snowflake, Databricks</w:t>
      </w:r>
    </w:p>
    <w:p>
      <w:pPr>
        <w:spacing w:after="40" w:line="276" w:lineRule="auto"/>
      </w:pPr>
      <w:r>
        <w:rPr>
          <w:rFonts w:ascii="Times New Roman" w:hAnsi="Times New Roman" w:eastAsia="Times New Roman"/>
          <w:b w:val="0"/>
          <w:i w:val="0"/>
          <w:sz w:val="21"/>
        </w:rPr>
        <w:t>Programming and Databases: Python, SQL, R, VBA</w:t>
      </w:r>
    </w:p>
    <w:p>
      <w:pPr>
        <w:spacing w:after="40" w:line="276" w:lineRule="auto"/>
      </w:pPr>
      <w:r>
        <w:rPr>
          <w:rFonts w:ascii="Times New Roman" w:hAnsi="Times New Roman" w:eastAsia="Times New Roman"/>
          <w:b w:val="0"/>
          <w:i w:val="0"/>
          <w:sz w:val="21"/>
        </w:rPr>
        <w:t>Analytics and Visualization: Power BI, Tableau, Jupyter Notebook, Google Colab, Plotly, Looker Studio, Microsoft Excel</w:t>
      </w:r>
    </w:p>
    <w:p>
      <w:pPr>
        <w:spacing w:after="40" w:line="276" w:lineRule="auto"/>
      </w:pPr>
      <w:r>
        <w:rPr>
          <w:rFonts w:ascii="Times New Roman" w:hAnsi="Times New Roman" w:eastAsia="Times New Roman"/>
          <w:b w:val="0"/>
          <w:i w:val="0"/>
          <w:sz w:val="21"/>
        </w:rPr>
        <w:t>Machine Learning and Experimentation: Predictive Modeling, Churn Modeling, A/B Testing, Multi-Channel Attribution, XGBoost, Deep Learning</w:t>
      </w:r>
    </w:p>
    <w:p>
      <w:pPr>
        <w:spacing w:after="40" w:line="276" w:lineRule="auto"/>
      </w:pPr>
      <w:r>
        <w:rPr>
          <w:rFonts w:ascii="Times New Roman" w:hAnsi="Times New Roman" w:eastAsia="Times New Roman"/>
          <w:b w:val="0"/>
          <w:i w:val="0"/>
          <w:sz w:val="21"/>
        </w:rPr>
        <w:t>Business Strategy: Customer Segmentation, Lifetime Value (LTV) Analysis, Go-to-Market Strategy, Financial Modeling, Competitor Benchmarking</w:t>
      </w:r>
    </w:p>
    <w:p>
      <w:pPr>
        <w:spacing w:after="40" w:line="276" w:lineRule="auto"/>
      </w:pPr>
      <w:r>
        <w:rPr>
          <w:rFonts w:ascii="Times New Roman" w:hAnsi="Times New Roman" w:eastAsia="Times New Roman"/>
          <w:b w:val="0"/>
          <w:i w:val="0"/>
          <w:sz w:val="21"/>
        </w:rPr>
        <w:t>Marketing and CRM: Campaign Analytics, Manual List Automation, Braze CRM, Retention Marketing, Free-to-Cash Conversion, Regional Marketing Insights</w:t>
      </w:r>
    </w:p>
    <w:p>
      <w:pPr>
        <w:keepNext/>
        <w:spacing w:before="160" w:after="40"/>
      </w:pPr>
      <w:r>
        <w:rPr>
          <w:rFonts w:ascii="Calibri" w:hAnsi="Calibri" w:eastAsia="Calibri"/>
          <w:b/>
          <w:i w:val="0"/>
          <w:color w:val="1B2A4A"/>
          <w:sz w:val="22"/>
        </w:rPr>
        <w:t>PROFESSIONAL EXPERIENCE</w:t>
      </w:r>
    </w:p>
    <w:tbl>
      <w:tblPr>
        <w:tblW w:type="auto" w:w="0"/>
        <w:tblLayout w:type="fixed"/>
        <w:tblLook w:firstColumn="1" w:firstRow="1" w:lastColumn="0" w:lastRow="0" w:noHBand="0" w:noVBand="1" w:val="04A0"/>
      </w:tblPr>
      <w:tblGrid>
        <w:gridCol w:w="6912"/>
        <w:gridCol w:w="2448"/>
      </w:tblGrid>
      <w:tr>
        <w:tc>
          <w:tcPr>
            <w:tcW w:type="dxa" w:w="5184"/>
          </w:tcPr>
          <w:p>
            <w:r>
              <w:rPr>
                <w:rFonts w:ascii="Calibri" w:hAnsi="Calibri" w:eastAsia="Calibri"/>
                <w:b/>
                <w:i w:val="0"/>
                <w:color w:val="1B2A4A"/>
                <w:sz w:val="22"/>
              </w:rPr>
              <w:t>Senior Business Consultant</w:t>
            </w:r>
          </w:p>
        </w:tc>
        <w:tc>
          <w:tcPr>
            <w:tcW w:type="dxa" w:w="5184"/>
          </w:tcPr>
          <w:p>
            <w:pPr>
              <w:jc w:val="right"/>
            </w:pPr>
            <w:r>
              <w:rPr>
                <w:rFonts w:ascii="Calibri" w:hAnsi="Calibri" w:eastAsia="Calibri"/>
                <w:b w:val="0"/>
                <w:i w:val="0"/>
                <w:color w:val="5A6578"/>
                <w:sz w:val="20"/>
              </w:rPr>
              <w:t>07/2022 - 10/09/2026</w:t>
            </w:r>
          </w:p>
        </w:tc>
      </w:tr>
    </w:tbl>
    <w:p>
      <w:pPr>
        <w:spacing w:after="40" w:line="276" w:lineRule="auto"/>
      </w:pPr>
      <w:r>
        <w:rPr>
          <w:rFonts w:ascii="Times New Roman" w:hAnsi="Times New Roman" w:eastAsia="Times New Roman"/>
          <w:b w:val="0"/>
          <w:i/>
          <w:color w:val="5A6578"/>
          <w:sz w:val="21"/>
        </w:rPr>
        <w:t>Flutter Entertainment Group — Sportsbet (Melbourne, Australia) &amp; Junglee Games (Gurgaon, India)</w:t>
      </w:r>
    </w:p>
    <w:p>
      <w:pPr>
        <w:spacing w:after="40" w:line="276" w:lineRule="auto"/>
      </w:pPr>
      <w:r>
        <w:rPr>
          <w:rFonts w:ascii="Times New Roman" w:hAnsi="Times New Roman" w:eastAsia="Times New Roman"/>
          <w:b w:val="0"/>
          <w:i/>
          <w:color w:val="5A6578"/>
          <w:sz w:val="21"/>
        </w:rPr>
        <w:t>Marketing &amp; Insights — Sportsbet, APAC (10/2025 - 10/09/2026)</w:t>
      </w:r>
    </w:p>
    <w:p>
      <w:pPr>
        <w:pStyle w:val="ListBullet"/>
        <w:spacing w:after="20" w:line="269" w:lineRule="auto"/>
        <w:ind w:left="288"/>
      </w:pPr>
      <w:r>
        <w:rPr>
          <w:rFonts w:ascii="Times New Roman" w:hAnsi="Times New Roman" w:eastAsia="Times New Roman"/>
          <w:b w:val="0"/>
          <w:i w:val="0"/>
          <w:sz w:val="21"/>
        </w:rPr>
        <w:t>Lead marketing analytics and consumer insights for Sportsbet (Melbourne); deployed from Junglee Games India under Flutter group mobility.</w:t>
      </w:r>
    </w:p>
    <w:p>
      <w:pPr>
        <w:pStyle w:val="ListBullet"/>
        <w:spacing w:after="20" w:line="269" w:lineRule="auto"/>
        <w:ind w:left="288"/>
      </w:pPr>
      <w:r>
        <w:rPr>
          <w:rFonts w:ascii="Times New Roman" w:hAnsi="Times New Roman" w:eastAsia="Times New Roman"/>
          <w:b w:val="0"/>
          <w:i w:val="0"/>
          <w:sz w:val="21"/>
        </w:rPr>
        <w:t>Built internal apps for CRM manual list automation, Power BI dashboards, A/B experiments, and MCP server integrations (Databricks SQL, monday.com) within Cursor.</w:t>
      </w:r>
    </w:p>
    <w:p>
      <w:pPr>
        <w:pStyle w:val="ListBullet"/>
        <w:spacing w:after="20" w:line="269" w:lineRule="auto"/>
        <w:ind w:left="288"/>
      </w:pPr>
      <w:r>
        <w:rPr>
          <w:rFonts w:ascii="Times New Roman" w:hAnsi="Times New Roman" w:eastAsia="Times New Roman"/>
          <w:b w:val="0"/>
          <w:i w:val="0"/>
          <w:sz w:val="21"/>
        </w:rPr>
        <w:t>Deliver campaign performance reporting and ad-hoc analysis for product, marketing, and commercial teams.</w:t>
      </w:r>
    </w:p>
    <w:p>
      <w:pPr>
        <w:pStyle w:val="ListBullet"/>
        <w:spacing w:after="20" w:line="269" w:lineRule="auto"/>
        <w:ind w:left="288"/>
      </w:pPr>
      <w:r>
        <w:rPr>
          <w:rFonts w:ascii="Times New Roman" w:hAnsi="Times New Roman" w:eastAsia="Times New Roman"/>
          <w:b w:val="0"/>
          <w:i w:val="0"/>
          <w:sz w:val="21"/>
        </w:rPr>
        <w:t>Use AI-assisted development (Cursor, GitHub Copilot, MCP) to speed up tool building, SQL analytics, and repeatable reporting.</w:t>
      </w:r>
    </w:p>
    <w:p>
      <w:pPr>
        <w:spacing w:after="80"/>
      </w:pPr>
    </w:p>
    <w:p>
      <w:pPr>
        <w:spacing w:after="40" w:line="276" w:lineRule="auto"/>
      </w:pPr>
      <w:r>
        <w:rPr>
          <w:rFonts w:ascii="Times New Roman" w:hAnsi="Times New Roman" w:eastAsia="Times New Roman"/>
          <w:b w:val="0"/>
          <w:i/>
          <w:color w:val="5A6578"/>
          <w:sz w:val="21"/>
        </w:rPr>
        <w:t>Analytics &amp; Growth — Junglee Games, India (07/2022 - 09/2025)</w:t>
      </w:r>
    </w:p>
    <w:p>
      <w:pPr>
        <w:pStyle w:val="ListBullet"/>
        <w:spacing w:after="20" w:line="269" w:lineRule="auto"/>
        <w:ind w:left="288"/>
      </w:pPr>
      <w:r>
        <w:rPr>
          <w:rFonts w:ascii="Times New Roman" w:hAnsi="Times New Roman" w:eastAsia="Times New Roman"/>
          <w:b w:val="0"/>
          <w:i w:val="0"/>
          <w:sz w:val="21"/>
        </w:rPr>
        <w:t>Increased revenue approximately 6% through free-to-cash re-engagement campaigns and personalized user journeys.</w:t>
      </w:r>
    </w:p>
    <w:p>
      <w:pPr>
        <w:pStyle w:val="ListBullet"/>
        <w:spacing w:after="20" w:line="269" w:lineRule="auto"/>
        <w:ind w:left="288"/>
      </w:pPr>
      <w:r>
        <w:rPr>
          <w:rFonts w:ascii="Times New Roman" w:hAnsi="Times New Roman" w:eastAsia="Times New Roman"/>
          <w:b w:val="0"/>
          <w:i w:val="0"/>
          <w:sz w:val="21"/>
        </w:rPr>
        <w:t>Built ML churn models; reduced new-user churn 21% and existing-user churn 12%.</w:t>
      </w:r>
    </w:p>
    <w:p>
      <w:pPr>
        <w:pStyle w:val="ListBullet"/>
        <w:spacing w:after="20" w:line="269" w:lineRule="auto"/>
        <w:ind w:left="288"/>
      </w:pPr>
      <w:r>
        <w:rPr>
          <w:rFonts w:ascii="Times New Roman" w:hAnsi="Times New Roman" w:eastAsia="Times New Roman"/>
          <w:b w:val="0"/>
          <w:i w:val="0"/>
          <w:sz w:val="21"/>
        </w:rPr>
        <w:t>Led A/B testing on Rummy.com money movement; improved revenue-to-deposit ratio 12pp, ARPU 2.1%, NGR 4.2%.</w:t>
      </w:r>
    </w:p>
    <w:p>
      <w:pPr>
        <w:pStyle w:val="ListBullet"/>
        <w:spacing w:after="20" w:line="269" w:lineRule="auto"/>
        <w:ind w:left="288"/>
      </w:pPr>
      <w:r>
        <w:rPr>
          <w:rFonts w:ascii="Times New Roman" w:hAnsi="Times New Roman" w:eastAsia="Times New Roman"/>
          <w:b w:val="0"/>
          <w:i w:val="0"/>
          <w:sz w:val="21"/>
        </w:rPr>
        <w:t>Deployed XGBoost fraud detection; 84% accuracy in flagging high-risk accounts.</w:t>
      </w:r>
    </w:p>
    <w:p>
      <w:pPr>
        <w:spacing w:after="80"/>
      </w:pPr>
    </w:p>
    <w:tbl>
      <w:tblPr>
        <w:tblW w:type="auto" w:w="0"/>
        <w:tblLayout w:type="fixed"/>
        <w:tblLook w:firstColumn="1" w:firstRow="1" w:lastColumn="0" w:lastRow="0" w:noHBand="0" w:noVBand="1" w:val="04A0"/>
      </w:tblPr>
      <w:tblGrid>
        <w:gridCol w:w="6912"/>
        <w:gridCol w:w="2448"/>
      </w:tblGrid>
      <w:tr>
        <w:tc>
          <w:tcPr>
            <w:tcW w:type="dxa" w:w="5184"/>
          </w:tcPr>
          <w:p>
            <w:r>
              <w:rPr>
                <w:rFonts w:ascii="Calibri" w:hAnsi="Calibri" w:eastAsia="Calibri"/>
                <w:b/>
                <w:i w:val="0"/>
                <w:color w:val="1B2A4A"/>
                <w:sz w:val="22"/>
              </w:rPr>
              <w:t>Team Lead, Business Analyst</w:t>
            </w:r>
          </w:p>
        </w:tc>
        <w:tc>
          <w:tcPr>
            <w:tcW w:type="dxa" w:w="5184"/>
          </w:tcPr>
          <w:p>
            <w:pPr>
              <w:jc w:val="right"/>
            </w:pPr>
            <w:r>
              <w:rPr>
                <w:rFonts w:ascii="Calibri" w:hAnsi="Calibri" w:eastAsia="Calibri"/>
                <w:b w:val="0"/>
                <w:i w:val="0"/>
                <w:color w:val="5A6578"/>
                <w:sz w:val="20"/>
              </w:rPr>
              <w:t>04/2018 - 07/2022</w:t>
            </w:r>
          </w:p>
        </w:tc>
      </w:tr>
    </w:tbl>
    <w:p>
      <w:pPr>
        <w:spacing w:after="40" w:line="276" w:lineRule="auto"/>
      </w:pPr>
      <w:r>
        <w:rPr>
          <w:rFonts w:ascii="Times New Roman" w:hAnsi="Times New Roman" w:eastAsia="Times New Roman"/>
          <w:b w:val="0"/>
          <w:i/>
          <w:color w:val="5A6578"/>
          <w:sz w:val="21"/>
        </w:rPr>
        <w:t>IPSOS (Crownit), Global Market Research, Gurgaon, India</w:t>
      </w:r>
    </w:p>
    <w:p>
      <w:pPr>
        <w:pStyle w:val="ListBullet"/>
        <w:spacing w:after="20" w:line="269" w:lineRule="auto"/>
        <w:ind w:left="288"/>
      </w:pPr>
      <w:r>
        <w:rPr>
          <w:rFonts w:ascii="Times New Roman" w:hAnsi="Times New Roman" w:eastAsia="Times New Roman"/>
          <w:b w:val="0"/>
          <w:i w:val="0"/>
          <w:sz w:val="21"/>
        </w:rPr>
        <w:t>Led team delivering market research, consumer insights, and analytics for business decisions.</w:t>
      </w:r>
    </w:p>
    <w:p>
      <w:pPr>
        <w:pStyle w:val="ListBullet"/>
        <w:spacing w:after="20" w:line="269" w:lineRule="auto"/>
        <w:ind w:left="288"/>
      </w:pPr>
      <w:r>
        <w:rPr>
          <w:rFonts w:ascii="Times New Roman" w:hAnsi="Times New Roman" w:eastAsia="Times New Roman"/>
          <w:b w:val="0"/>
          <w:i w:val="0"/>
          <w:sz w:val="21"/>
        </w:rPr>
        <w:t>Reduced marketing costs approximately 30% through segmentation models and predictive analytics.</w:t>
      </w:r>
    </w:p>
    <w:p>
      <w:pPr>
        <w:pStyle w:val="ListBullet"/>
        <w:spacing w:after="20" w:line="269" w:lineRule="auto"/>
        <w:ind w:left="288"/>
      </w:pPr>
      <w:r>
        <w:rPr>
          <w:rFonts w:ascii="Times New Roman" w:hAnsi="Times New Roman" w:eastAsia="Times New Roman"/>
          <w:b w:val="0"/>
          <w:i w:val="0"/>
          <w:sz w:val="21"/>
        </w:rPr>
        <w:t>Built ML targeting tools (Naive Bayes, KNN) and R/Python dashboards for KPI tracking.</w:t>
      </w:r>
    </w:p>
    <w:p>
      <w:pPr>
        <w:pStyle w:val="ListBullet"/>
        <w:spacing w:after="20" w:line="269" w:lineRule="auto"/>
        <w:ind w:left="288"/>
      </w:pPr>
      <w:r>
        <w:rPr>
          <w:rFonts w:ascii="Times New Roman" w:hAnsi="Times New Roman" w:eastAsia="Times New Roman"/>
          <w:b w:val="0"/>
          <w:i w:val="0"/>
          <w:sz w:val="21"/>
        </w:rPr>
        <w:t>Automated recommendations workflow; improved team efficiency 40%.</w:t>
      </w:r>
    </w:p>
    <w:p>
      <w:pPr>
        <w:spacing w:after="80"/>
      </w:pPr>
    </w:p>
    <w:p>
      <w:r>
        <w:br w:type="page"/>
      </w:r>
    </w:p>
    <w:tbl>
      <w:tblPr>
        <w:tblW w:type="auto" w:w="0"/>
        <w:tblLayout w:type="fixed"/>
        <w:tblLook w:firstColumn="1" w:firstRow="1" w:lastColumn="0" w:lastRow="0" w:noHBand="0" w:noVBand="1" w:val="04A0"/>
      </w:tblPr>
      <w:tblGrid>
        <w:gridCol w:w="6912"/>
        <w:gridCol w:w="2448"/>
      </w:tblGrid>
      <w:tr>
        <w:tc>
          <w:tcPr>
            <w:tcW w:type="dxa" w:w="5184"/>
          </w:tcPr>
          <w:p>
            <w:r>
              <w:rPr>
                <w:rFonts w:ascii="Calibri" w:hAnsi="Calibri" w:eastAsia="Calibri"/>
                <w:b/>
                <w:i w:val="0"/>
                <w:color w:val="1B2A4A"/>
                <w:sz w:val="22"/>
              </w:rPr>
              <w:t>Co-Founder and Strategy Head</w:t>
            </w:r>
          </w:p>
        </w:tc>
        <w:tc>
          <w:tcPr>
            <w:tcW w:type="dxa" w:w="5184"/>
          </w:tcPr>
          <w:p>
            <w:pPr>
              <w:jc w:val="right"/>
            </w:pPr>
            <w:r>
              <w:rPr>
                <w:rFonts w:ascii="Calibri" w:hAnsi="Calibri" w:eastAsia="Calibri"/>
                <w:b w:val="0"/>
                <w:i w:val="0"/>
                <w:color w:val="5A6578"/>
                <w:sz w:val="20"/>
              </w:rPr>
              <w:t>07/2015 - 04/2018</w:t>
            </w:r>
          </w:p>
        </w:tc>
      </w:tr>
    </w:tbl>
    <w:p>
      <w:pPr>
        <w:spacing w:after="40" w:line="276" w:lineRule="auto"/>
      </w:pPr>
      <w:r>
        <w:rPr>
          <w:rFonts w:ascii="Times New Roman" w:hAnsi="Times New Roman" w:eastAsia="Times New Roman"/>
          <w:b w:val="0"/>
          <w:i/>
          <w:color w:val="5A6578"/>
          <w:sz w:val="21"/>
        </w:rPr>
        <w:t>MadCloud Technologies Pvt. Ltd., Hyderabad, India</w:t>
      </w:r>
    </w:p>
    <w:p>
      <w:pPr>
        <w:pStyle w:val="ListBullet"/>
        <w:spacing w:after="20" w:line="269" w:lineRule="auto"/>
        <w:ind w:left="288"/>
      </w:pPr>
      <w:r>
        <w:rPr>
          <w:rFonts w:ascii="Times New Roman" w:hAnsi="Times New Roman" w:eastAsia="Times New Roman"/>
          <w:b w:val="0"/>
          <w:i w:val="0"/>
          <w:sz w:val="21"/>
        </w:rPr>
        <w:t>Co-founded ed-tech platform for government exam prep in four regional languages; 1M+ downloads in 6 months.</w:t>
      </w:r>
    </w:p>
    <w:p>
      <w:pPr>
        <w:pStyle w:val="ListBullet"/>
        <w:spacing w:after="20" w:line="269" w:lineRule="auto"/>
        <w:ind w:left="288"/>
      </w:pPr>
      <w:r>
        <w:rPr>
          <w:rFonts w:ascii="Times New Roman" w:hAnsi="Times New Roman" w:eastAsia="Times New Roman"/>
          <w:b w:val="0"/>
          <w:i w:val="0"/>
          <w:sz w:val="21"/>
        </w:rPr>
        <w:t>Grew Google Ads revenue 45% through data-driven go-to-market and user acquisition.</w:t>
      </w:r>
    </w:p>
    <w:p>
      <w:pPr>
        <w:pStyle w:val="ListBullet"/>
        <w:spacing w:after="20" w:line="269" w:lineRule="auto"/>
        <w:ind w:left="288"/>
      </w:pPr>
      <w:r>
        <w:rPr>
          <w:rFonts w:ascii="Times New Roman" w:hAnsi="Times New Roman" w:eastAsia="Times New Roman"/>
          <w:b w:val="0"/>
          <w:i w:val="0"/>
          <w:sz w:val="21"/>
        </w:rPr>
        <w:t>Led product development, hiring, and fundraising.</w:t>
      </w:r>
    </w:p>
    <w:p>
      <w:pPr>
        <w:spacing w:after="80"/>
      </w:pPr>
    </w:p>
    <w:p>
      <w:pPr>
        <w:keepNext/>
        <w:spacing w:before="160" w:after="40"/>
      </w:pPr>
      <w:r>
        <w:rPr>
          <w:rFonts w:ascii="Calibri" w:hAnsi="Calibri" w:eastAsia="Calibri"/>
          <w:b/>
          <w:i w:val="0"/>
          <w:color w:val="1B2A4A"/>
          <w:sz w:val="22"/>
        </w:rPr>
        <w:t>EDUCATION</w:t>
      </w:r>
    </w:p>
    <w:p>
      <w:pPr>
        <w:spacing w:after="80" w:line="276" w:lineRule="auto"/>
      </w:pPr>
      <w:r>
        <w:rPr>
          <w:rFonts w:ascii="Times New Roman" w:hAnsi="Times New Roman" w:eastAsia="Times New Roman"/>
          <w:b w:val="0"/>
          <w:i w:val="0"/>
          <w:sz w:val="21"/>
        </w:rPr>
        <w:t>Indian Institute of Technology (IIT) Roorkee, Integrated B.Tech and M.Tech, Geophysical Technology  |  2010 - 2015</w:t>
      </w:r>
    </w:p>
    <w:p>
      <w:pPr>
        <w:keepNext/>
        <w:spacing w:before="160" w:after="40"/>
      </w:pPr>
      <w:r>
        <w:rPr>
          <w:rFonts w:ascii="Calibri" w:hAnsi="Calibri" w:eastAsia="Calibri"/>
          <w:b/>
          <w:i w:val="0"/>
          <w:color w:val="1B2A4A"/>
          <w:sz w:val="22"/>
        </w:rPr>
        <w:t>ACHIEVEMENTS AND AWARDS</w:t>
      </w:r>
    </w:p>
    <w:p>
      <w:pPr>
        <w:pStyle w:val="ListBullet"/>
        <w:spacing w:after="40"/>
        <w:ind w:left="288"/>
      </w:pPr>
      <w:r>
        <w:rPr>
          <w:rFonts w:ascii="Times New Roman" w:hAnsi="Times New Roman" w:eastAsia="Times New Roman"/>
          <w:b w:val="0"/>
          <w:i w:val="0"/>
          <w:sz w:val="21"/>
        </w:rPr>
        <w:t>Top Rookie Award (OND 2023, AMJ 2024), Exceptional Performance (OND 2024), SPOT Award (JFM 2025), Troubleshooter (AMJ 2025), Junglee Games</w:t>
      </w:r>
    </w:p>
    <w:p>
      <w:pPr>
        <w:pStyle w:val="ListBullet"/>
        <w:spacing w:after="40"/>
        <w:ind w:left="288"/>
      </w:pPr>
      <w:r>
        <w:rPr>
          <w:rFonts w:ascii="Times New Roman" w:hAnsi="Times New Roman" w:eastAsia="Times New Roman"/>
          <w:b w:val="0"/>
          <w:i w:val="0"/>
          <w:sz w:val="21"/>
        </w:rPr>
        <w:t>1M+ app downloads for ed-tech startup MadCloud Technologies within one year (2015-2016)</w:t>
      </w:r>
    </w:p>
    <w:p>
      <w:pPr>
        <w:pStyle w:val="ListBullet"/>
        <w:spacing w:after="40"/>
        <w:ind w:left="288"/>
      </w:pPr>
      <w:r>
        <w:rPr>
          <w:rFonts w:ascii="Times New Roman" w:hAnsi="Times New Roman" w:eastAsia="Times New Roman"/>
          <w:b w:val="0"/>
          <w:i w:val="0"/>
          <w:sz w:val="21"/>
        </w:rPr>
        <w:t>Cleared IIT-JEE 2010 (All India Rank: 4157)</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