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left"/>
      </w:pPr>
      <w:r>
        <w:rPr>
          <w:rFonts w:ascii="Arial" w:hAnsi="Arial"/>
          <w:b/>
          <w:color w:val="1F374E"/>
          <w:sz w:val="46"/>
        </w:rPr>
        <w:t>SONAAL TOPNO</w:t>
      </w:r>
    </w:p>
    <w:p>
      <w:pPr>
        <w:spacing w:after="20"/>
      </w:pPr>
      <w:r>
        <w:rPr>
          <w:rFonts w:ascii="Arial" w:hAnsi="Arial"/>
          <w:b/>
          <w:color w:val="1F374E"/>
          <w:sz w:val="19"/>
        </w:rPr>
        <w:t>Senior Business Consultant | Business Analytics | Data Science | AI Automation</w:t>
      </w:r>
    </w:p>
    <w:p>
      <w:pPr>
        <w:spacing w:after="100"/>
      </w:pPr>
      <w:r>
        <w:rPr>
          <w:rFonts w:ascii="Arial" w:hAnsi="Arial"/>
          <w:color w:val="5A5A5A"/>
          <w:sz w:val="16"/>
        </w:rPr>
        <w:t>New Delhi, India | +91-7549053816 | sonaaltopno.iitr@gmail.com | linkedin.com/in/sonaal-topno-408531aa</w:t>
      </w:r>
    </w:p>
    <w:p>
      <w:pPr>
        <w:spacing w:before="100" w:after="40"/>
        <w:pBdr>
          <w:bottom w:val="single" w:sz="5" w:space="1" w:color="1F374E"/>
        </w:pBdr>
      </w:pPr>
      <w:r>
        <w:rPr>
          <w:rFonts w:ascii="Arial" w:hAnsi="Arial"/>
          <w:b/>
          <w:color w:val="1F374E"/>
          <w:sz w:val="19"/>
        </w:rPr>
        <w:t>PROFESSIONAL SUMMARY</w:t>
      </w:r>
    </w:p>
    <w:p>
      <w:pPr>
        <w:spacing w:after="40" w:line="240" w:lineRule="auto"/>
      </w:pPr>
      <w:r>
        <w:t>Senior Business Consultant with 10+ years in customer analytics, growth strategy, and consumer insights across gaming, market research, and consumer digital platforms. Turns business questions into actionable recommendations and measurable outcomes through SQL, Python, predictive modelling, experimentation, and BI (Power BI, Tableau). Partners with product, marketing, and commercial leaders from problem framing through implementation and measurement; accelerates analytics delivery with AI-assisted workflows while keeping analysis rigorous and stakeholder-ready.</w:t>
      </w:r>
    </w:p>
    <w:p>
      <w:pPr>
        <w:spacing w:before="100" w:after="40"/>
        <w:pBdr>
          <w:bottom w:val="single" w:sz="5" w:space="1" w:color="1F374E"/>
        </w:pBdr>
      </w:pPr>
      <w:r>
        <w:rPr>
          <w:rFonts w:ascii="Arial" w:hAnsi="Arial"/>
          <w:b/>
          <w:color w:val="1F374E"/>
          <w:sz w:val="19"/>
        </w:rPr>
        <w:t>CORE SKILLS</w:t>
      </w:r>
    </w:p>
    <w:p>
      <w:pPr>
        <w:spacing w:after="24" w:line="240" w:lineRule="auto"/>
      </w:pPr>
      <w:r>
        <w:rPr>
          <w:b/>
          <w:color w:val="1F374E"/>
          <w:sz w:val="16"/>
        </w:rPr>
        <w:t xml:space="preserve">Analytics: </w:t>
      </w:r>
      <w:r>
        <w:rPr>
          <w:sz w:val="16"/>
        </w:rPr>
        <w:t>Customer Analytics, Segmentation, Churn, LTV, Monetization, Consumer Insights, KPI Design</w:t>
      </w:r>
    </w:p>
    <w:p>
      <w:pPr>
        <w:spacing w:after="24" w:line="240" w:lineRule="auto"/>
      </w:pPr>
      <w:r>
        <w:rPr>
          <w:b/>
          <w:color w:val="1F374E"/>
          <w:sz w:val="16"/>
        </w:rPr>
        <w:t xml:space="preserve">Data Science: </w:t>
      </w:r>
      <w:r>
        <w:rPr>
          <w:sz w:val="16"/>
        </w:rPr>
        <w:t>Predictive Modelling, Classification, XGBoost, A/B Testing, Experimentation, Attribution</w:t>
      </w:r>
    </w:p>
    <w:p>
      <w:pPr>
        <w:spacing w:after="24" w:line="240" w:lineRule="auto"/>
      </w:pPr>
      <w:r>
        <w:rPr>
          <w:b/>
          <w:color w:val="1F374E"/>
          <w:sz w:val="16"/>
        </w:rPr>
        <w:t xml:space="preserve">Data &amp; Cloud: </w:t>
      </w:r>
      <w:r>
        <w:rPr>
          <w:sz w:val="16"/>
        </w:rPr>
        <w:t>SQL, Python, R, Databricks, Snowflake, AWS S3, Athena, Lambda</w:t>
      </w:r>
    </w:p>
    <w:p>
      <w:pPr>
        <w:spacing w:after="24" w:line="240" w:lineRule="auto"/>
      </w:pPr>
      <w:r>
        <w:rPr>
          <w:b/>
          <w:color w:val="1F374E"/>
          <w:sz w:val="16"/>
        </w:rPr>
        <w:t xml:space="preserve">BI &amp; Reporting: </w:t>
      </w:r>
      <w:r>
        <w:rPr>
          <w:sz w:val="16"/>
        </w:rPr>
        <w:t>Power BI, Tableau, Looker Studio, Excel, Jupyter, Plotly</w:t>
      </w:r>
    </w:p>
    <w:p>
      <w:pPr>
        <w:spacing w:after="24" w:line="240" w:lineRule="auto"/>
      </w:pPr>
      <w:r>
        <w:rPr>
          <w:b/>
          <w:color w:val="1F374E"/>
          <w:sz w:val="16"/>
        </w:rPr>
        <w:t xml:space="preserve">AI &amp; Automation: </w:t>
      </w:r>
      <w:r>
        <w:rPr>
          <w:sz w:val="16"/>
        </w:rPr>
        <w:t>Cursor, GitHub Copilot, ChatGPT, Claude, MCP Integrations, Prompt Engineering</w:t>
      </w:r>
    </w:p>
    <w:p>
      <w:pPr>
        <w:spacing w:after="24" w:line="240" w:lineRule="auto"/>
      </w:pPr>
      <w:r>
        <w:rPr>
          <w:b/>
          <w:color w:val="1F374E"/>
          <w:sz w:val="16"/>
        </w:rPr>
        <w:t xml:space="preserve">Strategy: </w:t>
      </w:r>
      <w:r>
        <w:rPr>
          <w:sz w:val="16"/>
        </w:rPr>
        <w:t>Growth Strategy, GTM, Marketing Analytics, Financial Modelling, Competitor Benchmarking</w:t>
      </w:r>
    </w:p>
    <w:p>
      <w:pPr>
        <w:spacing w:before="100" w:after="40"/>
        <w:pBdr>
          <w:bottom w:val="single" w:sz="5" w:space="1" w:color="1F374E"/>
        </w:pBdr>
      </w:pPr>
      <w:r>
        <w:rPr>
          <w:rFonts w:ascii="Arial" w:hAnsi="Arial"/>
          <w:b/>
          <w:color w:val="1F374E"/>
          <w:sz w:val="19"/>
        </w:rPr>
        <w:t>PROFESSIONAL EXPERIENCE</w:t>
      </w:r>
    </w:p>
    <w:p>
      <w:pPr>
        <w:spacing w:before="60" w:after="0"/>
      </w:pPr>
      <w:r>
        <w:rPr>
          <w:b/>
          <w:color w:val="1F374E"/>
          <w:sz w:val="20"/>
        </w:rPr>
        <w:t>Senior Business Consultant</w:t>
      </w:r>
      <w:r>
        <w:rPr>
          <w:b/>
          <w:color w:val="1F374E"/>
          <w:sz w:val="17"/>
        </w:rPr>
        <w:t xml:space="preserve"> | Jul 2022 – Sep 2026</w:t>
      </w:r>
    </w:p>
    <w:p>
      <w:pPr>
        <w:spacing w:after="20"/>
      </w:pPr>
      <w:r>
        <w:rPr>
          <w:i/>
          <w:color w:val="5A5A5A"/>
          <w:sz w:val="16"/>
        </w:rPr>
        <w:t>Flutter Entertainment Group | Sportsbet, Melbourne, Australia | Junglee Games, Gurgaon, India</w:t>
      </w:r>
    </w:p>
    <w:p>
      <w:pPr>
        <w:spacing w:before="30" w:after="0"/>
      </w:pPr>
      <w:r>
        <w:rPr>
          <w:b/>
          <w:color w:val="1F374E"/>
          <w:sz w:val="17"/>
        </w:rPr>
        <w:t>Marketing &amp; Consumer Insights — Sportsbet, APAC</w:t>
      </w:r>
      <w:r>
        <w:rPr>
          <w:i/>
          <w:color w:val="5A5A5A"/>
          <w:sz w:val="16"/>
        </w:rPr>
        <w:t xml:space="preserve"> (Oct 2025 – Sep 2026)</w:t>
      </w:r>
    </w:p>
    <w:p>
      <w:pPr>
        <w:spacing w:after="26" w:line="240" w:lineRule="auto"/>
        <w:ind w:left="230" w:hanging="173"/>
      </w:pPr>
      <w:r>
        <w:rPr>
          <w:sz w:val="17"/>
        </w:rPr>
        <w:t xml:space="preserve">• </w:t>
      </w:r>
      <w:r>
        <w:rPr>
          <w:sz w:val="17"/>
        </w:rPr>
        <w:t>Led campaign performance analysis and consumer insights for APAC marketing, product and commercial teams.</w:t>
      </w:r>
    </w:p>
    <w:p>
      <w:pPr>
        <w:spacing w:after="26" w:line="240" w:lineRule="auto"/>
        <w:ind w:left="230" w:hanging="173"/>
      </w:pPr>
      <w:r>
        <w:rPr>
          <w:sz w:val="17"/>
        </w:rPr>
        <w:t xml:space="preserve">• </w:t>
      </w:r>
      <w:r>
        <w:rPr>
          <w:sz w:val="17"/>
        </w:rPr>
        <w:t>Built internal tools and reporting workflows that reduced manual effort in CRM list preparation and recurring analysis.</w:t>
      </w:r>
    </w:p>
    <w:p>
      <w:pPr>
        <w:spacing w:after="26" w:line="240" w:lineRule="auto"/>
        <w:ind w:left="230" w:hanging="173"/>
      </w:pPr>
      <w:r>
        <w:rPr>
          <w:sz w:val="17"/>
        </w:rPr>
        <w:t xml:space="preserve">• </w:t>
      </w:r>
      <w:r>
        <w:rPr>
          <w:sz w:val="17"/>
        </w:rPr>
        <w:t>Developed Power BI dashboards and ad-hoc analyses to track campaign and business performance and support stakeholder decisions.</w:t>
      </w:r>
    </w:p>
    <w:p>
      <w:pPr>
        <w:spacing w:after="26" w:line="240" w:lineRule="auto"/>
        <w:ind w:left="230" w:hanging="173"/>
      </w:pPr>
      <w:r>
        <w:rPr>
          <w:sz w:val="17"/>
        </w:rPr>
        <w:t xml:space="preserve">• </w:t>
      </w:r>
      <w:r>
        <w:rPr>
          <w:sz w:val="17"/>
        </w:rPr>
        <w:t>Supported customer and experiment analysis, converting behavioural and campaign data into actionable recommendations.</w:t>
      </w:r>
    </w:p>
    <w:p>
      <w:pPr>
        <w:spacing w:after="26" w:line="240" w:lineRule="auto"/>
        <w:ind w:left="230" w:hanging="173"/>
      </w:pPr>
      <w:r>
        <w:rPr>
          <w:sz w:val="17"/>
        </w:rPr>
        <w:t xml:space="preserve">• </w:t>
      </w:r>
      <w:r>
        <w:rPr>
          <w:sz w:val="17"/>
        </w:rPr>
        <w:t>Connected Databricks SQL and monday.com workflows through MCP integrations and used Cursor and GitHub Copilot to accelerate analytics delivery.</w:t>
      </w:r>
    </w:p>
    <w:p>
      <w:pPr>
        <w:spacing w:before="30" w:after="0"/>
      </w:pPr>
      <w:r>
        <w:rPr>
          <w:b/>
          <w:color w:val="1F374E"/>
          <w:sz w:val="17"/>
        </w:rPr>
        <w:t>Analytics &amp; Growth — Junglee Games, India</w:t>
      </w:r>
      <w:r>
        <w:rPr>
          <w:i/>
          <w:color w:val="5A5A5A"/>
          <w:sz w:val="16"/>
        </w:rPr>
        <w:t xml:space="preserve"> (Jul 2022 – Sep 2025)</w:t>
      </w:r>
    </w:p>
    <w:p>
      <w:pPr>
        <w:spacing w:after="26" w:line="240" w:lineRule="auto"/>
        <w:ind w:left="230" w:hanging="173"/>
      </w:pPr>
      <w:r>
        <w:rPr>
          <w:sz w:val="17"/>
        </w:rPr>
        <w:t xml:space="preserve">• </w:t>
      </w:r>
      <w:r>
        <w:rPr>
          <w:sz w:val="17"/>
        </w:rPr>
        <w:t>Led customer growth initiatives across acquisition, engagement, retention and monetization for a large-scale digital gaming business.</w:t>
      </w:r>
    </w:p>
    <w:p>
      <w:pPr>
        <w:spacing w:after="26" w:line="240" w:lineRule="auto"/>
        <w:ind w:left="230" w:hanging="173"/>
      </w:pPr>
      <w:r>
        <w:rPr>
          <w:sz w:val="17"/>
        </w:rPr>
        <w:t xml:space="preserve">• </w:t>
      </w:r>
      <w:r>
        <w:rPr>
          <w:sz w:val="17"/>
        </w:rPr>
        <w:t>Increased revenue by approximately 6% through free-to-cash re-engagement campaigns and personalized user journeys.</w:t>
      </w:r>
    </w:p>
    <w:p>
      <w:pPr>
        <w:spacing w:after="26" w:line="240" w:lineRule="auto"/>
        <w:ind w:left="230" w:hanging="173"/>
      </w:pPr>
      <w:r>
        <w:rPr>
          <w:sz w:val="17"/>
        </w:rPr>
        <w:t xml:space="preserve">• </w:t>
      </w:r>
      <w:r>
        <w:rPr>
          <w:sz w:val="17"/>
        </w:rPr>
        <w:t>Developed churn models and translated risk scores into targeted retention interventions, contributing to 21% lower new-user churn and 12% lower existing-user churn.</w:t>
      </w:r>
    </w:p>
    <w:p>
      <w:pPr>
        <w:spacing w:after="26" w:line="240" w:lineRule="auto"/>
        <w:ind w:left="230" w:hanging="173"/>
      </w:pPr>
      <w:r>
        <w:rPr>
          <w:sz w:val="17"/>
        </w:rPr>
        <w:t xml:space="preserve">• </w:t>
      </w:r>
      <w:r>
        <w:rPr>
          <w:sz w:val="17"/>
        </w:rPr>
        <w:t>Led A/B testing for money-movement changes on Rummy.com; results included a 12 percentage-point improvement in revenue-to-deposit ratio, 2.1% ARPU growth and 4.2% NGR growth.</w:t>
      </w:r>
    </w:p>
    <w:p>
      <w:pPr>
        <w:spacing w:after="26" w:line="240" w:lineRule="auto"/>
        <w:ind w:left="230" w:hanging="173"/>
      </w:pPr>
      <w:r>
        <w:rPr>
          <w:sz w:val="17"/>
        </w:rPr>
        <w:t xml:space="preserve">• </w:t>
      </w:r>
      <w:r>
        <w:rPr>
          <w:sz w:val="17"/>
        </w:rPr>
        <w:t>Built an XGBoost fraud-risk model that achieved 84% accuracy in the evaluated classification task.</w:t>
      </w:r>
    </w:p>
    <w:p>
      <w:pPr>
        <w:spacing w:after="26" w:line="240" w:lineRule="auto"/>
        <w:ind w:left="230" w:hanging="173"/>
      </w:pPr>
      <w:r>
        <w:rPr>
          <w:sz w:val="17"/>
        </w:rPr>
        <w:t xml:space="preserve">• </w:t>
      </w:r>
      <w:r>
        <w:rPr>
          <w:sz w:val="17"/>
        </w:rPr>
        <w:t>Worked with product, marketing and CRM teams to move analytical findings from diagnosis into experiments, campaigns and measurable business actions.</w:t>
      </w:r>
    </w:p>
    <w:p>
      <w:pPr>
        <w:spacing w:before="60" w:after="0"/>
      </w:pPr>
      <w:r>
        <w:rPr>
          <w:b/>
          <w:color w:val="1F374E"/>
          <w:sz w:val="20"/>
        </w:rPr>
        <w:t>Team Lead, Business Analyst</w:t>
      </w:r>
      <w:r>
        <w:rPr>
          <w:b/>
          <w:color w:val="1F374E"/>
          <w:sz w:val="17"/>
        </w:rPr>
        <w:t xml:space="preserve"> | Apr 2018 – Jul 2022</w:t>
      </w:r>
    </w:p>
    <w:p>
      <w:pPr>
        <w:spacing w:after="20"/>
      </w:pPr>
      <w:r>
        <w:rPr>
          <w:i/>
          <w:color w:val="5A5A5A"/>
          <w:sz w:val="16"/>
        </w:rPr>
        <w:t>IPSOS (Crownit) | Gurgaon, India</w:t>
      </w:r>
    </w:p>
    <w:p>
      <w:pPr>
        <w:spacing w:after="26" w:line="240" w:lineRule="auto"/>
        <w:ind w:left="230" w:hanging="173"/>
      </w:pPr>
      <w:r>
        <w:rPr>
          <w:sz w:val="17"/>
        </w:rPr>
        <w:t xml:space="preserve">• </w:t>
      </w:r>
      <w:r>
        <w:rPr>
          <w:sz w:val="17"/>
        </w:rPr>
        <w:t>Led a team delivering market research, consumer insights and quantitative analysis for business and marketing decisions.</w:t>
      </w:r>
    </w:p>
    <w:p>
      <w:pPr>
        <w:spacing w:after="26" w:line="240" w:lineRule="auto"/>
        <w:ind w:left="230" w:hanging="173"/>
      </w:pPr>
      <w:r>
        <w:rPr>
          <w:sz w:val="17"/>
        </w:rPr>
        <w:t xml:space="preserve">• </w:t>
      </w:r>
      <w:r>
        <w:rPr>
          <w:sz w:val="17"/>
        </w:rPr>
        <w:t>Used segmentation and predictive methods to improve marketing allocation, contributing to approximately 30% lower marketing costs.</w:t>
      </w:r>
    </w:p>
    <w:p>
      <w:pPr>
        <w:spacing w:after="26" w:line="240" w:lineRule="auto"/>
        <w:ind w:left="230" w:hanging="173"/>
      </w:pPr>
      <w:r>
        <w:rPr>
          <w:sz w:val="17"/>
        </w:rPr>
        <w:t xml:space="preserve">• </w:t>
      </w:r>
      <w:r>
        <w:rPr>
          <w:sz w:val="17"/>
        </w:rPr>
        <w:t>Built customer-targeting models using Naive Bayes and KNN and developed R/Python dashboards for KPI monitoring.</w:t>
      </w:r>
    </w:p>
    <w:p>
      <w:pPr>
        <w:spacing w:after="26" w:line="240" w:lineRule="auto"/>
        <w:ind w:left="230" w:hanging="173"/>
      </w:pPr>
      <w:r>
        <w:rPr>
          <w:sz w:val="17"/>
        </w:rPr>
        <w:t xml:space="preserve">• </w:t>
      </w:r>
      <w:r>
        <w:rPr>
          <w:sz w:val="17"/>
        </w:rPr>
        <w:t>Automated recurring recommendation workflows, improving team efficiency by approximately 40%.</w:t>
      </w:r>
    </w:p>
    <w:p>
      <w:pPr>
        <w:spacing w:before="60" w:after="0"/>
      </w:pPr>
      <w:r>
        <w:rPr>
          <w:b/>
          <w:color w:val="1F374E"/>
          <w:sz w:val="20"/>
        </w:rPr>
        <w:t>Co-Founder &amp; Strategy Head</w:t>
      </w:r>
      <w:r>
        <w:rPr>
          <w:b/>
          <w:color w:val="1F374E"/>
          <w:sz w:val="17"/>
        </w:rPr>
        <w:t xml:space="preserve"> | Jul 2015 – Apr 2018</w:t>
      </w:r>
    </w:p>
    <w:p>
      <w:pPr>
        <w:spacing w:after="20"/>
      </w:pPr>
      <w:r>
        <w:rPr>
          <w:i/>
          <w:color w:val="5A5A5A"/>
          <w:sz w:val="16"/>
        </w:rPr>
        <w:t>MadCloud Technologies Pvt. Ltd. | Hyderabad, India</w:t>
      </w:r>
    </w:p>
    <w:p>
      <w:pPr>
        <w:spacing w:after="26" w:line="240" w:lineRule="auto"/>
        <w:ind w:left="230" w:hanging="173"/>
      </w:pPr>
      <w:r>
        <w:rPr>
          <w:sz w:val="17"/>
        </w:rPr>
        <w:t xml:space="preserve">• </w:t>
      </w:r>
      <w:r>
        <w:rPr>
          <w:sz w:val="17"/>
        </w:rPr>
        <w:t>Co-founded an ed-tech platform for government exam preparation across four regional languages.</w:t>
      </w:r>
    </w:p>
    <w:p>
      <w:pPr>
        <w:spacing w:after="26" w:line="240" w:lineRule="auto"/>
        <w:ind w:left="230" w:hanging="173"/>
      </w:pPr>
      <w:r>
        <w:rPr>
          <w:sz w:val="17"/>
        </w:rPr>
        <w:t xml:space="preserve">• </w:t>
      </w:r>
      <w:r>
        <w:rPr>
          <w:sz w:val="17"/>
        </w:rPr>
        <w:t>Owned business strategy, product development, user acquisition, hiring and fundraising.</w:t>
      </w:r>
    </w:p>
    <w:p>
      <w:pPr>
        <w:spacing w:after="26" w:line="240" w:lineRule="auto"/>
        <w:ind w:left="230" w:hanging="173"/>
      </w:pPr>
      <w:r>
        <w:rPr>
          <w:sz w:val="17"/>
        </w:rPr>
        <w:t xml:space="preserve">• </w:t>
      </w:r>
      <w:r>
        <w:rPr>
          <w:sz w:val="17"/>
        </w:rPr>
        <w:t>Scaled the platform to 1M+ downloads and increased Google Ads revenue by approximately 45% through data-led go-to-market and acquisition decisions.</w:t>
      </w:r>
    </w:p>
    <w:p>
      <w:pPr>
        <w:spacing w:before="100" w:after="40"/>
        <w:pBdr>
          <w:bottom w:val="single" w:sz="5" w:space="1" w:color="1F374E"/>
        </w:pBdr>
      </w:pPr>
      <w:r>
        <w:rPr>
          <w:rFonts w:ascii="Arial" w:hAnsi="Arial"/>
          <w:b/>
          <w:color w:val="1F374E"/>
          <w:sz w:val="19"/>
        </w:rPr>
        <w:t>EDUCATION</w:t>
      </w:r>
    </w:p>
    <w:p>
      <w:pPr>
        <w:spacing w:after="10"/>
      </w:pPr>
      <w:r>
        <w:rPr>
          <w:b/>
          <w:color w:val="1F374E"/>
          <w:sz w:val="18"/>
        </w:rPr>
        <w:t>Indian Institute of Technology (IIT) Roorkee</w:t>
      </w:r>
    </w:p>
    <w:p>
      <w:pPr>
        <w:spacing w:after="40"/>
      </w:pPr>
      <w:r>
        <w:rPr>
          <w:sz w:val="16"/>
        </w:rPr>
        <w:t>Integrated B.Tech &amp; M.Tech, Geophysical Technology | 2010 – 2015</w:t>
      </w:r>
    </w:p>
    <w:p>
      <w:pPr>
        <w:spacing w:before="100" w:after="40"/>
        <w:pBdr>
          <w:bottom w:val="single" w:sz="5" w:space="1" w:color="1F374E"/>
        </w:pBdr>
      </w:pPr>
      <w:r>
        <w:rPr>
          <w:rFonts w:ascii="Arial" w:hAnsi="Arial"/>
          <w:b/>
          <w:color w:val="1F374E"/>
          <w:sz w:val="19"/>
        </w:rPr>
        <w:t>ACHIEVEMENTS</w:t>
      </w:r>
    </w:p>
    <w:p>
      <w:pPr>
        <w:spacing w:after="26" w:line="240" w:lineRule="auto"/>
        <w:ind w:left="230" w:hanging="173"/>
      </w:pPr>
      <w:r>
        <w:rPr>
          <w:sz w:val="17"/>
        </w:rPr>
        <w:t xml:space="preserve">• </w:t>
      </w:r>
      <w:r>
        <w:rPr>
          <w:sz w:val="17"/>
        </w:rPr>
        <w:t>Top Rookie Award — OND 2023, AMJ 2024</w:t>
      </w:r>
    </w:p>
    <w:p>
      <w:pPr>
        <w:spacing w:after="26" w:line="240" w:lineRule="auto"/>
        <w:ind w:left="230" w:hanging="173"/>
      </w:pPr>
      <w:r>
        <w:rPr>
          <w:sz w:val="17"/>
        </w:rPr>
        <w:t xml:space="preserve">• </w:t>
      </w:r>
      <w:r>
        <w:rPr>
          <w:sz w:val="17"/>
        </w:rPr>
        <w:t>Exceptional Performance — OND 2024</w:t>
      </w:r>
    </w:p>
    <w:p>
      <w:pPr>
        <w:spacing w:after="26" w:line="240" w:lineRule="auto"/>
        <w:ind w:left="230" w:hanging="173"/>
      </w:pPr>
      <w:r>
        <w:rPr>
          <w:sz w:val="17"/>
        </w:rPr>
        <w:t xml:space="preserve">• </w:t>
      </w:r>
      <w:r>
        <w:rPr>
          <w:sz w:val="17"/>
        </w:rPr>
        <w:t>SPOT Award — JFM 2025</w:t>
      </w:r>
    </w:p>
    <w:p>
      <w:pPr>
        <w:spacing w:after="26" w:line="240" w:lineRule="auto"/>
        <w:ind w:left="230" w:hanging="173"/>
      </w:pPr>
      <w:r>
        <w:rPr>
          <w:sz w:val="17"/>
        </w:rPr>
        <w:t xml:space="preserve">• </w:t>
      </w:r>
      <w:r>
        <w:rPr>
          <w:sz w:val="17"/>
        </w:rPr>
        <w:t>Troubleshooter — AMJ 2025</w:t>
      </w:r>
    </w:p>
    <w:p>
      <w:pPr>
        <w:spacing w:after="26" w:line="240" w:lineRule="auto"/>
        <w:ind w:left="230" w:hanging="173"/>
      </w:pPr>
      <w:r>
        <w:rPr>
          <w:sz w:val="17"/>
        </w:rPr>
        <w:t xml:space="preserve">• </w:t>
      </w:r>
      <w:r>
        <w:rPr>
          <w:sz w:val="17"/>
        </w:rPr>
        <w:t>1M+ app downloads at MadCloud Technologies</w:t>
      </w:r>
    </w:p>
    <w:p>
      <w:pPr>
        <w:spacing w:after="26" w:line="240" w:lineRule="auto"/>
        <w:ind w:left="230" w:hanging="173"/>
      </w:pPr>
      <w:r>
        <w:rPr>
          <w:sz w:val="17"/>
        </w:rPr>
        <w:t xml:space="preserve">• </w:t>
      </w:r>
      <w:r>
        <w:rPr>
          <w:sz w:val="17"/>
        </w:rPr>
        <w:t>IIT-JEE 2010 — All India Rank 4157</w:t>
      </w:r>
    </w:p>
    <w:sectPr w:rsidR="00FC693F" w:rsidRPr="0006063C" w:rsidSect="00034616">
      <w:pgSz w:w="12240" w:h="15840"/>
      <w:pgMar w:top="691" w:right="893" w:bottom="64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