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D71D3F" w14:textId="5B89DE4A" w:rsidR="007F34A2" w:rsidRPr="007F34A2" w:rsidRDefault="007F34A2" w:rsidP="007F34A2">
      <w:pPr>
        <w:rPr>
          <w:rFonts w:ascii="Times New Roman" w:hAnsi="Times New Roman" w:cs="Times New Roman"/>
          <w:b/>
          <w:bCs/>
          <w:sz w:val="36"/>
          <w:szCs w:val="36"/>
        </w:rPr>
      </w:pPr>
      <w:r w:rsidRPr="007F34A2">
        <w:rPr>
          <w:rFonts w:ascii="Times New Roman" w:hAnsi="Times New Roman" w:cs="Times New Roman"/>
          <w:b/>
          <w:bCs/>
          <w:sz w:val="36"/>
          <w:szCs w:val="36"/>
        </w:rPr>
        <w:t>Interpretation of Sales Data Visualizations</w:t>
      </w:r>
    </w:p>
    <w:p w14:paraId="4CEA6E7F" w14:textId="77777777" w:rsidR="007F34A2" w:rsidRDefault="007F34A2" w:rsidP="007F34A2">
      <w:pPr>
        <w:rPr>
          <w:rFonts w:ascii="Times New Roman" w:hAnsi="Times New Roman" w:cs="Times New Roman"/>
        </w:rPr>
      </w:pPr>
    </w:p>
    <w:p w14:paraId="0FDA3C74" w14:textId="5321A602" w:rsidR="007F34A2" w:rsidRPr="007F34A2" w:rsidRDefault="007F34A2" w:rsidP="007F34A2">
      <w:pPr>
        <w:rPr>
          <w:rFonts w:ascii="Times New Roman" w:hAnsi="Times New Roman" w:cs="Times New Roman"/>
        </w:rPr>
      </w:pPr>
      <w:r w:rsidRPr="007F34A2">
        <w:rPr>
          <w:rFonts w:ascii="Times New Roman" w:hAnsi="Times New Roman" w:cs="Times New Roman"/>
        </w:rPr>
        <w:t>The cleaned data was used to create several key visualizations that provide actionable insights into sales performance.</w:t>
      </w:r>
    </w:p>
    <w:p w14:paraId="424DDD1F" w14:textId="77777777" w:rsidR="007F34A2" w:rsidRPr="007F34A2" w:rsidRDefault="007F34A2" w:rsidP="007F34A2">
      <w:pPr>
        <w:rPr>
          <w:rFonts w:ascii="Times New Roman" w:hAnsi="Times New Roman" w:cs="Times New Roman"/>
        </w:rPr>
      </w:pPr>
      <w:r w:rsidRPr="007F34A2">
        <w:rPr>
          <w:rFonts w:ascii="Times New Roman" w:hAnsi="Times New Roman" w:cs="Times New Roman"/>
          <w:b/>
          <w:bCs/>
        </w:rPr>
        <w:t xml:space="preserve">a) Average </w:t>
      </w:r>
      <w:proofErr w:type="spellStart"/>
      <w:r w:rsidRPr="007F34A2">
        <w:rPr>
          <w:rFonts w:ascii="Times New Roman" w:hAnsi="Times New Roman" w:cs="Times New Roman"/>
          <w:b/>
          <w:bCs/>
        </w:rPr>
        <w:t>UnitPrice</w:t>
      </w:r>
      <w:proofErr w:type="spellEnd"/>
      <w:r w:rsidRPr="007F34A2">
        <w:rPr>
          <w:rFonts w:ascii="Times New Roman" w:hAnsi="Times New Roman" w:cs="Times New Roman"/>
          <w:b/>
          <w:bCs/>
        </w:rPr>
        <w:t xml:space="preserve"> of each Product</w:t>
      </w:r>
    </w:p>
    <w:p w14:paraId="4028C3D5" w14:textId="77777777" w:rsidR="007F34A2" w:rsidRPr="007F34A2" w:rsidRDefault="007F34A2" w:rsidP="007F34A2">
      <w:pPr>
        <w:numPr>
          <w:ilvl w:val="0"/>
          <w:numId w:val="1"/>
        </w:numPr>
        <w:rPr>
          <w:rFonts w:ascii="Times New Roman" w:hAnsi="Times New Roman" w:cs="Times New Roman"/>
        </w:rPr>
      </w:pPr>
      <w:r w:rsidRPr="007F34A2">
        <w:rPr>
          <w:rFonts w:ascii="Times New Roman" w:hAnsi="Times New Roman" w:cs="Times New Roman"/>
          <w:b/>
          <w:bCs/>
        </w:rPr>
        <w:t>Interpretation:</w:t>
      </w:r>
      <w:r w:rsidRPr="007F34A2">
        <w:rPr>
          <w:rFonts w:ascii="Times New Roman" w:hAnsi="Times New Roman" w:cs="Times New Roman"/>
        </w:rPr>
        <w:t> This chart reveals the typical price point for each product category. It shows a clear hierarchy in product value, with Laptops likely having the highest average unit price, followed by Phones, Tablets, etc. This helps in understanding the product portfolio's pricing strategy and identifying premium versus budget-friendly items.</w:t>
      </w:r>
    </w:p>
    <w:p w14:paraId="76ED867C" w14:textId="77777777" w:rsidR="007F34A2" w:rsidRPr="007F34A2" w:rsidRDefault="007F34A2" w:rsidP="007F34A2">
      <w:pPr>
        <w:rPr>
          <w:rFonts w:ascii="Times New Roman" w:hAnsi="Times New Roman" w:cs="Times New Roman"/>
        </w:rPr>
      </w:pPr>
      <w:r w:rsidRPr="007F34A2">
        <w:rPr>
          <w:rFonts w:ascii="Times New Roman" w:hAnsi="Times New Roman" w:cs="Times New Roman"/>
          <w:b/>
          <w:bCs/>
        </w:rPr>
        <w:t xml:space="preserve">b) Sum of </w:t>
      </w:r>
      <w:proofErr w:type="spellStart"/>
      <w:r w:rsidRPr="007F34A2">
        <w:rPr>
          <w:rFonts w:ascii="Times New Roman" w:hAnsi="Times New Roman" w:cs="Times New Roman"/>
          <w:b/>
          <w:bCs/>
        </w:rPr>
        <w:t>UnitPrice</w:t>
      </w:r>
      <w:proofErr w:type="spellEnd"/>
      <w:r w:rsidRPr="007F34A2">
        <w:rPr>
          <w:rFonts w:ascii="Times New Roman" w:hAnsi="Times New Roman" w:cs="Times New Roman"/>
          <w:b/>
          <w:bCs/>
        </w:rPr>
        <w:t xml:space="preserve"> by Size</w:t>
      </w:r>
    </w:p>
    <w:p w14:paraId="114D4786" w14:textId="77777777" w:rsidR="007F34A2" w:rsidRPr="007F34A2" w:rsidRDefault="007F34A2" w:rsidP="007F34A2">
      <w:pPr>
        <w:numPr>
          <w:ilvl w:val="0"/>
          <w:numId w:val="2"/>
        </w:numPr>
        <w:rPr>
          <w:rFonts w:ascii="Times New Roman" w:hAnsi="Times New Roman" w:cs="Times New Roman"/>
        </w:rPr>
      </w:pPr>
      <w:r w:rsidRPr="007F34A2">
        <w:rPr>
          <w:rFonts w:ascii="Times New Roman" w:hAnsi="Times New Roman" w:cs="Times New Roman"/>
          <w:b/>
          <w:bCs/>
        </w:rPr>
        <w:t>Interpretation:</w:t>
      </w:r>
      <w:r w:rsidRPr="007F34A2">
        <w:rPr>
          <w:rFonts w:ascii="Times New Roman" w:hAnsi="Times New Roman" w:cs="Times New Roman"/>
        </w:rPr>
        <w:t xml:space="preserve"> This visualization </w:t>
      </w:r>
      <w:proofErr w:type="spellStart"/>
      <w:r w:rsidRPr="007F34A2">
        <w:rPr>
          <w:rFonts w:ascii="Times New Roman" w:hAnsi="Times New Roman" w:cs="Times New Roman"/>
        </w:rPr>
        <w:t>analyzes</w:t>
      </w:r>
      <w:proofErr w:type="spellEnd"/>
      <w:r w:rsidRPr="007F34A2">
        <w:rPr>
          <w:rFonts w:ascii="Times New Roman" w:hAnsi="Times New Roman" w:cs="Times New Roman"/>
        </w:rPr>
        <w:t xml:space="preserve"> the total revenue contribution grouped by product size (e.g., screen size for electronics). It highlights which size variant generates the most revenue. For instance, a specific size like </w:t>
      </w:r>
      <w:r w:rsidRPr="007F34A2">
        <w:rPr>
          <w:rFonts w:ascii="Times New Roman" w:hAnsi="Times New Roman" w:cs="Times New Roman"/>
          <w:b/>
          <w:bCs/>
        </w:rPr>
        <w:t>"6inch"</w:t>
      </w:r>
      <w:r w:rsidRPr="007F34A2">
        <w:rPr>
          <w:rFonts w:ascii="Times New Roman" w:hAnsi="Times New Roman" w:cs="Times New Roman"/>
        </w:rPr>
        <w:t> might be the dominant revenue driver, indicating high customer demand or a higher price point for that particular variant.</w:t>
      </w:r>
    </w:p>
    <w:p w14:paraId="5CBD988D" w14:textId="77777777" w:rsidR="007F34A2" w:rsidRPr="007F34A2" w:rsidRDefault="007F34A2" w:rsidP="007F34A2">
      <w:pPr>
        <w:rPr>
          <w:rFonts w:ascii="Times New Roman" w:hAnsi="Times New Roman" w:cs="Times New Roman"/>
        </w:rPr>
      </w:pPr>
      <w:r w:rsidRPr="007F34A2">
        <w:rPr>
          <w:rFonts w:ascii="Times New Roman" w:hAnsi="Times New Roman" w:cs="Times New Roman"/>
          <w:b/>
          <w:bCs/>
        </w:rPr>
        <w:t xml:space="preserve">c) Count of </w:t>
      </w:r>
      <w:proofErr w:type="spellStart"/>
      <w:r w:rsidRPr="007F34A2">
        <w:rPr>
          <w:rFonts w:ascii="Times New Roman" w:hAnsi="Times New Roman" w:cs="Times New Roman"/>
          <w:b/>
          <w:bCs/>
        </w:rPr>
        <w:t>OrderID</w:t>
      </w:r>
      <w:proofErr w:type="spellEnd"/>
      <w:r w:rsidRPr="007F34A2">
        <w:rPr>
          <w:rFonts w:ascii="Times New Roman" w:hAnsi="Times New Roman" w:cs="Times New Roman"/>
          <w:b/>
          <w:bCs/>
        </w:rPr>
        <w:t xml:space="preserve"> by Region</w:t>
      </w:r>
    </w:p>
    <w:p w14:paraId="70922DE4" w14:textId="77777777" w:rsidR="007F34A2" w:rsidRPr="007F34A2" w:rsidRDefault="007F34A2" w:rsidP="007F34A2">
      <w:pPr>
        <w:numPr>
          <w:ilvl w:val="0"/>
          <w:numId w:val="3"/>
        </w:numPr>
        <w:rPr>
          <w:rFonts w:ascii="Times New Roman" w:hAnsi="Times New Roman" w:cs="Times New Roman"/>
        </w:rPr>
      </w:pPr>
      <w:r w:rsidRPr="007F34A2">
        <w:rPr>
          <w:rFonts w:ascii="Times New Roman" w:hAnsi="Times New Roman" w:cs="Times New Roman"/>
          <w:b/>
          <w:bCs/>
        </w:rPr>
        <w:t>Interpretation:</w:t>
      </w:r>
      <w:r w:rsidRPr="007F34A2">
        <w:rPr>
          <w:rFonts w:ascii="Times New Roman" w:hAnsi="Times New Roman" w:cs="Times New Roman"/>
        </w:rPr>
        <w:t> This chart (likely a pie or bar chart) breaks down the total number of orders by geographic region. It immediately identifies the top-performing and lagging regions. The data suggests that three regions (e.g., </w:t>
      </w:r>
      <w:r w:rsidRPr="007F34A2">
        <w:rPr>
          <w:rFonts w:ascii="Times New Roman" w:hAnsi="Times New Roman" w:cs="Times New Roman"/>
          <w:b/>
          <w:bCs/>
        </w:rPr>
        <w:t>North, West, and East</w:t>
      </w:r>
      <w:r w:rsidRPr="007F34A2">
        <w:rPr>
          <w:rFonts w:ascii="Times New Roman" w:hAnsi="Times New Roman" w:cs="Times New Roman"/>
        </w:rPr>
        <w:t>) have an equal and significant share of orders (30% each), while one region (e.g., </w:t>
      </w:r>
      <w:r w:rsidRPr="007F34A2">
        <w:rPr>
          <w:rFonts w:ascii="Times New Roman" w:hAnsi="Times New Roman" w:cs="Times New Roman"/>
          <w:b/>
          <w:bCs/>
        </w:rPr>
        <w:t>South</w:t>
      </w:r>
      <w:r w:rsidRPr="007F34A2">
        <w:rPr>
          <w:rFonts w:ascii="Times New Roman" w:hAnsi="Times New Roman" w:cs="Times New Roman"/>
        </w:rPr>
        <w:t>) has a notably lower share (10%). This is critical for evaluating regional sales strategies and resource allocation.</w:t>
      </w:r>
    </w:p>
    <w:p w14:paraId="32F76769" w14:textId="77777777" w:rsidR="007F34A2" w:rsidRPr="007F34A2" w:rsidRDefault="007F34A2" w:rsidP="007F34A2">
      <w:pPr>
        <w:rPr>
          <w:rFonts w:ascii="Times New Roman" w:hAnsi="Times New Roman" w:cs="Times New Roman"/>
        </w:rPr>
      </w:pPr>
      <w:r w:rsidRPr="007F34A2">
        <w:rPr>
          <w:rFonts w:ascii="Times New Roman" w:hAnsi="Times New Roman" w:cs="Times New Roman"/>
          <w:b/>
          <w:bCs/>
        </w:rPr>
        <w:t xml:space="preserve">d) Average </w:t>
      </w:r>
      <w:proofErr w:type="spellStart"/>
      <w:r w:rsidRPr="007F34A2">
        <w:rPr>
          <w:rFonts w:ascii="Times New Roman" w:hAnsi="Times New Roman" w:cs="Times New Roman"/>
          <w:b/>
          <w:bCs/>
        </w:rPr>
        <w:t>UnitPrice</w:t>
      </w:r>
      <w:proofErr w:type="spellEnd"/>
      <w:r w:rsidRPr="007F34A2">
        <w:rPr>
          <w:rFonts w:ascii="Times New Roman" w:hAnsi="Times New Roman" w:cs="Times New Roman"/>
          <w:b/>
          <w:bCs/>
        </w:rPr>
        <w:t xml:space="preserve"> &amp; Sum of Quantity by Region</w:t>
      </w:r>
    </w:p>
    <w:p w14:paraId="5846EA0E" w14:textId="77777777" w:rsidR="007F34A2" w:rsidRPr="007F34A2" w:rsidRDefault="007F34A2" w:rsidP="007F34A2">
      <w:pPr>
        <w:numPr>
          <w:ilvl w:val="0"/>
          <w:numId w:val="4"/>
        </w:numPr>
        <w:rPr>
          <w:rFonts w:ascii="Times New Roman" w:hAnsi="Times New Roman" w:cs="Times New Roman"/>
        </w:rPr>
      </w:pPr>
      <w:r w:rsidRPr="007F34A2">
        <w:rPr>
          <w:rFonts w:ascii="Times New Roman" w:hAnsi="Times New Roman" w:cs="Times New Roman"/>
          <w:b/>
          <w:bCs/>
        </w:rPr>
        <w:t>Interpretation:</w:t>
      </w:r>
      <w:r w:rsidRPr="007F34A2">
        <w:rPr>
          <w:rFonts w:ascii="Times New Roman" w:hAnsi="Times New Roman" w:cs="Times New Roman"/>
        </w:rPr>
        <w:t> This dual-axis chart combines two important metrics:</w:t>
      </w:r>
    </w:p>
    <w:p w14:paraId="338DFCCB" w14:textId="77777777" w:rsidR="007F34A2" w:rsidRPr="007F34A2" w:rsidRDefault="007F34A2" w:rsidP="007F34A2">
      <w:pPr>
        <w:numPr>
          <w:ilvl w:val="1"/>
          <w:numId w:val="4"/>
        </w:numPr>
        <w:tabs>
          <w:tab w:val="num" w:pos="1440"/>
        </w:tabs>
        <w:rPr>
          <w:rFonts w:ascii="Times New Roman" w:hAnsi="Times New Roman" w:cs="Times New Roman"/>
        </w:rPr>
      </w:pPr>
      <w:r w:rsidRPr="007F34A2">
        <w:rPr>
          <w:rFonts w:ascii="Times New Roman" w:hAnsi="Times New Roman" w:cs="Times New Roman"/>
          <w:b/>
          <w:bCs/>
        </w:rPr>
        <w:t>Average Unit Price:</w:t>
      </w:r>
      <w:r w:rsidRPr="007F34A2">
        <w:rPr>
          <w:rFonts w:ascii="Times New Roman" w:hAnsi="Times New Roman" w:cs="Times New Roman"/>
        </w:rPr>
        <w:t> Shows the average selling price of products in each region.</w:t>
      </w:r>
    </w:p>
    <w:p w14:paraId="6927CC30" w14:textId="77777777" w:rsidR="007F34A2" w:rsidRPr="007F34A2" w:rsidRDefault="007F34A2" w:rsidP="007F34A2">
      <w:pPr>
        <w:numPr>
          <w:ilvl w:val="1"/>
          <w:numId w:val="4"/>
        </w:numPr>
        <w:tabs>
          <w:tab w:val="num" w:pos="1440"/>
        </w:tabs>
        <w:rPr>
          <w:rFonts w:ascii="Times New Roman" w:hAnsi="Times New Roman" w:cs="Times New Roman"/>
        </w:rPr>
      </w:pPr>
      <w:r w:rsidRPr="007F34A2">
        <w:rPr>
          <w:rFonts w:ascii="Times New Roman" w:hAnsi="Times New Roman" w:cs="Times New Roman"/>
          <w:b/>
          <w:bCs/>
        </w:rPr>
        <w:t>Sum of Quantity:</w:t>
      </w:r>
      <w:r w:rsidRPr="007F34A2">
        <w:rPr>
          <w:rFonts w:ascii="Times New Roman" w:hAnsi="Times New Roman" w:cs="Times New Roman"/>
        </w:rPr>
        <w:t> Shows the total number of units sold in each region.</w:t>
      </w:r>
    </w:p>
    <w:p w14:paraId="36D1427A" w14:textId="77777777" w:rsidR="007F34A2" w:rsidRPr="007F34A2" w:rsidRDefault="007F34A2" w:rsidP="007F34A2">
      <w:pPr>
        <w:numPr>
          <w:ilvl w:val="1"/>
          <w:numId w:val="4"/>
        </w:numPr>
        <w:tabs>
          <w:tab w:val="num" w:pos="1440"/>
        </w:tabs>
        <w:rPr>
          <w:rFonts w:ascii="Times New Roman" w:hAnsi="Times New Roman" w:cs="Times New Roman"/>
        </w:rPr>
      </w:pPr>
      <w:r w:rsidRPr="007F34A2">
        <w:rPr>
          <w:rFonts w:ascii="Times New Roman" w:hAnsi="Times New Roman" w:cs="Times New Roman"/>
          <w:b/>
          <w:bCs/>
        </w:rPr>
        <w:t>Key Insight:</w:t>
      </w:r>
      <w:r w:rsidRPr="007F34A2">
        <w:rPr>
          <w:rFonts w:ascii="Times New Roman" w:hAnsi="Times New Roman" w:cs="Times New Roman"/>
        </w:rPr>
        <w:t> A region might have a high average unit price (indicating a preference for premium products) but a lower quantity sold, or vice-versa. The specific value of </w:t>
      </w:r>
      <w:r w:rsidRPr="007F34A2">
        <w:rPr>
          <w:rFonts w:ascii="Times New Roman" w:hAnsi="Times New Roman" w:cs="Times New Roman"/>
          <w:b/>
          <w:bCs/>
        </w:rPr>
        <w:t>149.99</w:t>
      </w:r>
      <w:r w:rsidRPr="007F34A2">
        <w:rPr>
          <w:rFonts w:ascii="Times New Roman" w:hAnsi="Times New Roman" w:cs="Times New Roman"/>
        </w:rPr>
        <w:t> is highlighted, which could be a regional average or a key performance indicator (KPI). Comparing these metrics helps tailor regional sales tactics—for example, pushing high-margin products in regions with a high average price and volume discounts in high-quantity regions.</w:t>
      </w:r>
    </w:p>
    <w:p w14:paraId="14F01186" w14:textId="77777777" w:rsidR="007F34A2" w:rsidRPr="007F34A2" w:rsidRDefault="007F34A2" w:rsidP="007F34A2">
      <w:pPr>
        <w:rPr>
          <w:rFonts w:ascii="Times New Roman" w:hAnsi="Times New Roman" w:cs="Times New Roman"/>
        </w:rPr>
      </w:pPr>
      <w:r w:rsidRPr="007F34A2">
        <w:rPr>
          <w:rFonts w:ascii="Times New Roman" w:hAnsi="Times New Roman" w:cs="Times New Roman"/>
          <w:b/>
          <w:bCs/>
        </w:rPr>
        <w:t xml:space="preserve">e) Count of </w:t>
      </w:r>
      <w:proofErr w:type="spellStart"/>
      <w:r w:rsidRPr="007F34A2">
        <w:rPr>
          <w:rFonts w:ascii="Times New Roman" w:hAnsi="Times New Roman" w:cs="Times New Roman"/>
          <w:b/>
          <w:bCs/>
        </w:rPr>
        <w:t>ProductSale</w:t>
      </w:r>
      <w:proofErr w:type="spellEnd"/>
      <w:r w:rsidRPr="007F34A2">
        <w:rPr>
          <w:rFonts w:ascii="Times New Roman" w:hAnsi="Times New Roman" w:cs="Times New Roman"/>
          <w:b/>
          <w:bCs/>
        </w:rPr>
        <w:t xml:space="preserve"> in Months</w:t>
      </w:r>
    </w:p>
    <w:p w14:paraId="58DCF4EE" w14:textId="77777777" w:rsidR="007F34A2" w:rsidRPr="007F34A2" w:rsidRDefault="007F34A2" w:rsidP="007F34A2">
      <w:pPr>
        <w:numPr>
          <w:ilvl w:val="0"/>
          <w:numId w:val="5"/>
        </w:numPr>
        <w:rPr>
          <w:rFonts w:ascii="Times New Roman" w:hAnsi="Times New Roman" w:cs="Times New Roman"/>
        </w:rPr>
      </w:pPr>
      <w:r w:rsidRPr="007F34A2">
        <w:rPr>
          <w:rFonts w:ascii="Times New Roman" w:hAnsi="Times New Roman" w:cs="Times New Roman"/>
          <w:b/>
          <w:bCs/>
        </w:rPr>
        <w:t>Interpretation:</w:t>
      </w:r>
      <w:r w:rsidRPr="007F34A2">
        <w:rPr>
          <w:rFonts w:ascii="Times New Roman" w:hAnsi="Times New Roman" w:cs="Times New Roman"/>
        </w:rPr>
        <w:t> This matrix or chart shows sales volume distribution across different months. It helps identify </w:t>
      </w:r>
      <w:r w:rsidRPr="007F34A2">
        <w:rPr>
          <w:rFonts w:ascii="Times New Roman" w:hAnsi="Times New Roman" w:cs="Times New Roman"/>
          <w:b/>
          <w:bCs/>
        </w:rPr>
        <w:t>seasonal trends</w:t>
      </w:r>
      <w:r w:rsidRPr="007F34A2">
        <w:rPr>
          <w:rFonts w:ascii="Times New Roman" w:hAnsi="Times New Roman" w:cs="Times New Roman"/>
        </w:rPr>
        <w:t> and peak sales periods. Months like </w:t>
      </w:r>
      <w:r w:rsidRPr="007F34A2">
        <w:rPr>
          <w:rFonts w:ascii="Times New Roman" w:hAnsi="Times New Roman" w:cs="Times New Roman"/>
          <w:b/>
          <w:bCs/>
        </w:rPr>
        <w:t>September, June, and January</w:t>
      </w:r>
      <w:r w:rsidRPr="007F34A2">
        <w:rPr>
          <w:rFonts w:ascii="Times New Roman" w:hAnsi="Times New Roman" w:cs="Times New Roman"/>
        </w:rPr>
        <w:t> appear to be significant, allowing the business to plan for inventory, marketing campaigns, and staffing ahead of these high-demand periods.</w:t>
      </w:r>
    </w:p>
    <w:p w14:paraId="560701C6" w14:textId="77777777" w:rsidR="005C6808" w:rsidRPr="007F34A2" w:rsidRDefault="005C6808">
      <w:pPr>
        <w:rPr>
          <w:rFonts w:ascii="Times New Roman" w:hAnsi="Times New Roman" w:cs="Times New Roman"/>
        </w:rPr>
      </w:pPr>
    </w:p>
    <w:sectPr w:rsidR="005C6808" w:rsidRPr="007F3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AE636E"/>
    <w:multiLevelType w:val="multilevel"/>
    <w:tmpl w:val="6934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656D9"/>
    <w:multiLevelType w:val="multilevel"/>
    <w:tmpl w:val="F0CC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B551C6"/>
    <w:multiLevelType w:val="multilevel"/>
    <w:tmpl w:val="B9CA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5515A4"/>
    <w:multiLevelType w:val="multilevel"/>
    <w:tmpl w:val="198C61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FD08C9"/>
    <w:multiLevelType w:val="multilevel"/>
    <w:tmpl w:val="5778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8979805">
    <w:abstractNumId w:val="1"/>
  </w:num>
  <w:num w:numId="2" w16cid:durableId="1656107454">
    <w:abstractNumId w:val="4"/>
  </w:num>
  <w:num w:numId="3" w16cid:durableId="554245946">
    <w:abstractNumId w:val="0"/>
  </w:num>
  <w:num w:numId="4" w16cid:durableId="1893535535">
    <w:abstractNumId w:val="3"/>
  </w:num>
  <w:num w:numId="5" w16cid:durableId="13915402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4A2"/>
    <w:rsid w:val="005C6808"/>
    <w:rsid w:val="007F34A2"/>
    <w:rsid w:val="009B38E3"/>
    <w:rsid w:val="00A85959"/>
    <w:rsid w:val="00E60F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33E14"/>
  <w15:chartTrackingRefBased/>
  <w15:docId w15:val="{00DB54FA-BA00-41FD-BC84-9E225BD63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4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34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34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34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34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34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34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34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34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4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34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34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34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34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34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34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34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34A2"/>
    <w:rPr>
      <w:rFonts w:eastAsiaTheme="majorEastAsia" w:cstheme="majorBidi"/>
      <w:color w:val="272727" w:themeColor="text1" w:themeTint="D8"/>
    </w:rPr>
  </w:style>
  <w:style w:type="paragraph" w:styleId="Title">
    <w:name w:val="Title"/>
    <w:basedOn w:val="Normal"/>
    <w:next w:val="Normal"/>
    <w:link w:val="TitleChar"/>
    <w:uiPriority w:val="10"/>
    <w:qFormat/>
    <w:rsid w:val="007F34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4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34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34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34A2"/>
    <w:pPr>
      <w:spacing w:before="160"/>
      <w:jc w:val="center"/>
    </w:pPr>
    <w:rPr>
      <w:i/>
      <w:iCs/>
      <w:color w:val="404040" w:themeColor="text1" w:themeTint="BF"/>
    </w:rPr>
  </w:style>
  <w:style w:type="character" w:customStyle="1" w:styleId="QuoteChar">
    <w:name w:val="Quote Char"/>
    <w:basedOn w:val="DefaultParagraphFont"/>
    <w:link w:val="Quote"/>
    <w:uiPriority w:val="29"/>
    <w:rsid w:val="007F34A2"/>
    <w:rPr>
      <w:i/>
      <w:iCs/>
      <w:color w:val="404040" w:themeColor="text1" w:themeTint="BF"/>
    </w:rPr>
  </w:style>
  <w:style w:type="paragraph" w:styleId="ListParagraph">
    <w:name w:val="List Paragraph"/>
    <w:basedOn w:val="Normal"/>
    <w:uiPriority w:val="34"/>
    <w:qFormat/>
    <w:rsid w:val="007F34A2"/>
    <w:pPr>
      <w:ind w:left="720"/>
      <w:contextualSpacing/>
    </w:pPr>
  </w:style>
  <w:style w:type="character" w:styleId="IntenseEmphasis">
    <w:name w:val="Intense Emphasis"/>
    <w:basedOn w:val="DefaultParagraphFont"/>
    <w:uiPriority w:val="21"/>
    <w:qFormat/>
    <w:rsid w:val="007F34A2"/>
    <w:rPr>
      <w:i/>
      <w:iCs/>
      <w:color w:val="2F5496" w:themeColor="accent1" w:themeShade="BF"/>
    </w:rPr>
  </w:style>
  <w:style w:type="paragraph" w:styleId="IntenseQuote">
    <w:name w:val="Intense Quote"/>
    <w:basedOn w:val="Normal"/>
    <w:next w:val="Normal"/>
    <w:link w:val="IntenseQuoteChar"/>
    <w:uiPriority w:val="30"/>
    <w:qFormat/>
    <w:rsid w:val="007F34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34A2"/>
    <w:rPr>
      <w:i/>
      <w:iCs/>
      <w:color w:val="2F5496" w:themeColor="accent1" w:themeShade="BF"/>
    </w:rPr>
  </w:style>
  <w:style w:type="character" w:styleId="IntenseReference">
    <w:name w:val="Intense Reference"/>
    <w:basedOn w:val="DefaultParagraphFont"/>
    <w:uiPriority w:val="32"/>
    <w:qFormat/>
    <w:rsid w:val="007F34A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374</Words>
  <Characters>2138</Characters>
  <Application>Microsoft Office Word</Application>
  <DocSecurity>0</DocSecurity>
  <Lines>17</Lines>
  <Paragraphs>5</Paragraphs>
  <ScaleCrop>false</ScaleCrop>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Sonakshi Kundu</dc:creator>
  <cp:keywords/>
  <dc:description/>
  <cp:lastModifiedBy>Sonakshi Kundu</cp:lastModifiedBy>
  <cp:revision>1</cp:revision>
  <dcterms:created xsi:type="dcterms:W3CDTF">2025-10-22T06:51:00Z</dcterms:created>
  <dcterms:modified xsi:type="dcterms:W3CDTF">2025-10-22T06:53:00Z</dcterms:modified>
</cp:coreProperties>
</file>