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Honey Chain</w:t>
        <w:br/>
        <w:t>Machine Learning and IoT Plan</w:t>
      </w:r>
    </w:p>
    <w:p>
      <w:pPr>
        <w:pStyle w:val="Subtitle"/>
      </w:pPr>
      <w:r>
        <w:t>A camera free prototype for rural beekeeping clusters</w:t>
        <w:br/>
        <w:t>20 October 2026</w:t>
      </w:r>
    </w:p>
    <w:p>
      <w:pPr>
        <w:widowControl/>
      </w:pPr>
      <w:r>
        <w:t>Build the first prototype around a microphone, hive temperature and humidity, and a weighing platform. Use three small ML pipelines for unusual hive behaviour, acoustic state classification, and short-term hive weight forecasting. Process data locally and synchronise summaries when a phone or gateway can connect.</w:t>
      </w:r>
    </w:p>
    <w:p>
      <w:pPr>
        <w:widowControl/>
      </w:pPr>
      <w:r>
        <w:t>This plan supports the KVIC Honey Mission problem statement: affordable colony monitoring alongside batch traceability and QR verification. It describes proposed components and validation work; the models are not yet trained or field validated.</w:t>
      </w:r>
    </w:p>
    <w:p>
      <w:pPr>
        <w:pStyle w:val="Heading2"/>
      </w:pPr>
      <w:r>
        <w:t>Models to build first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528"/>
        <w:gridCol w:w="3902"/>
      </w:tblGrid>
      <w:tr>
        <w:trPr>
          <w:cantSplit/>
          <w:tblHeader/>
        </w:trPr>
        <w:tc>
          <w:tcPr>
            <w:tcW w:type="dxa" w:w="2232"/>
            <w:vAlign w:val="center"/>
            <w:shd w:fill="17334A"/>
            <w:tcMar>
              <w:top w:w="90" w:type="dxa"/>
              <w:left w:w="90" w:type="dxa"/>
              <w:bottom w:w="90" w:type="dxa"/>
              <w:right w:w="90" w:type="dxa"/>
            </w:tcMar>
          </w:tcPr>
          <w:p>
            <w:pPr>
              <w:spacing w:after="40" w:line="245" w:lineRule="auto"/>
            </w:pPr>
            <w:r>
              <w:rPr>
                <w:b/>
                <w:color w:val="FFFFFF"/>
                <w:sz w:val="19"/>
              </w:rPr>
              <w:t>Task</w:t>
            </w:r>
          </w:p>
        </w:tc>
        <w:tc>
          <w:tcPr>
            <w:tcW w:type="dxa" w:w="3528"/>
            <w:vAlign w:val="center"/>
            <w:shd w:fill="17334A"/>
            <w:tcMar>
              <w:top w:w="90" w:type="dxa"/>
              <w:left w:w="90" w:type="dxa"/>
              <w:bottom w:w="90" w:type="dxa"/>
              <w:right w:w="90" w:type="dxa"/>
            </w:tcMar>
          </w:tcPr>
          <w:p>
            <w:pPr>
              <w:spacing w:after="40" w:line="245" w:lineRule="auto"/>
            </w:pPr>
            <w:r>
              <w:rPr>
                <w:b/>
                <w:color w:val="FFFFFF"/>
                <w:sz w:val="19"/>
              </w:rPr>
              <w:t>Recommended model</w:t>
            </w:r>
          </w:p>
        </w:tc>
        <w:tc>
          <w:tcPr>
            <w:tcW w:type="dxa" w:w="3902"/>
            <w:vAlign w:val="center"/>
            <w:shd w:fill="17334A"/>
            <w:tcMar>
              <w:top w:w="90" w:type="dxa"/>
              <w:left w:w="90" w:type="dxa"/>
              <w:bottom w:w="90" w:type="dxa"/>
              <w:right w:w="90" w:type="dxa"/>
            </w:tcMar>
          </w:tcPr>
          <w:p>
            <w:pPr>
              <w:spacing w:after="40" w:line="245" w:lineRule="auto"/>
            </w:pPr>
            <w:r>
              <w:rPr>
                <w:b/>
                <w:color w:val="FFFFFF"/>
                <w:sz w:val="19"/>
              </w:rPr>
              <w:t>Useful output</w:t>
            </w:r>
          </w:p>
        </w:tc>
      </w:tr>
      <w:tr>
        <w:trPr>
          <w:cantSplit/>
        </w:trPr>
        <w:tc>
          <w:tcPr>
            <w:tcW w:type="dxa" w:w="2232"/>
            <w:vAlign w:val="center"/>
            <w:shd w:fill="F1F4F6"/>
            <w:tcMar>
              <w:top w:w="90" w:type="dxa"/>
              <w:left w:w="90" w:type="dxa"/>
              <w:bottom w:w="90" w:type="dxa"/>
              <w:right w:w="90" w:type="dxa"/>
            </w:tcMar>
          </w:tcPr>
          <w:p>
            <w:pPr>
              <w:spacing w:after="40" w:line="245" w:lineRule="auto"/>
            </w:pPr>
            <w:r>
              <w:rPr>
                <w:b w:val="0"/>
                <w:color w:val="000000"/>
                <w:sz w:val="19"/>
              </w:rPr>
              <w:t>Unusual colony behaviour</w:t>
            </w:r>
          </w:p>
        </w:tc>
        <w:tc>
          <w:tcPr>
            <w:tcW w:type="dxa" w:w="3528"/>
            <w:vAlign w:val="center"/>
            <w:shd w:fill="F1F4F6"/>
            <w:tcMar>
              <w:top w:w="90" w:type="dxa"/>
              <w:left w:w="90" w:type="dxa"/>
              <w:bottom w:w="90" w:type="dxa"/>
              <w:right w:w="90" w:type="dxa"/>
            </w:tcMar>
          </w:tcPr>
          <w:p>
            <w:pPr>
              <w:spacing w:after="40" w:line="245" w:lineRule="auto"/>
            </w:pPr>
            <w:r>
              <w:rPr>
                <w:b w:val="0"/>
                <w:color w:val="000000"/>
                <w:sz w:val="19"/>
              </w:rPr>
              <w:t>Isolation Forest plus transparent rules</w:t>
            </w:r>
          </w:p>
        </w:tc>
        <w:tc>
          <w:tcPr>
            <w:tcW w:type="dxa" w:w="3902"/>
            <w:vAlign w:val="center"/>
            <w:shd w:fill="F1F4F6"/>
            <w:tcMar>
              <w:top w:w="90" w:type="dxa"/>
              <w:left w:w="90" w:type="dxa"/>
              <w:bottom w:w="90" w:type="dxa"/>
              <w:right w:w="90" w:type="dxa"/>
            </w:tcMar>
          </w:tcPr>
          <w:p>
            <w:pPr>
              <w:spacing w:after="40" w:line="245" w:lineRule="auto"/>
            </w:pPr>
            <w:r>
              <w:rPr>
                <w:b w:val="0"/>
                <w:color w:val="000000"/>
                <w:sz w:val="19"/>
              </w:rPr>
              <w:t>Inspection priority and the signals that changed</w:t>
            </w:r>
          </w:p>
        </w:tc>
      </w:tr>
      <w:tr>
        <w:trPr>
          <w:cantSplit/>
        </w:trPr>
        <w:tc>
          <w:tcPr>
            <w:tcW w:type="dxa" w:w="2232"/>
            <w:vAlign w:val="center"/>
            <w:shd w:fill="FFFFFF"/>
            <w:tcMar>
              <w:top w:w="90" w:type="dxa"/>
              <w:left w:w="90" w:type="dxa"/>
              <w:bottom w:w="90" w:type="dxa"/>
              <w:right w:w="90" w:type="dxa"/>
            </w:tcMar>
          </w:tcPr>
          <w:p>
            <w:pPr>
              <w:spacing w:after="40" w:line="245" w:lineRule="auto"/>
            </w:pPr>
            <w:r>
              <w:rPr>
                <w:b w:val="0"/>
                <w:color w:val="000000"/>
                <w:sz w:val="19"/>
              </w:rPr>
              <w:t>Hive sound state</w:t>
            </w:r>
          </w:p>
        </w:tc>
        <w:tc>
          <w:tcPr>
            <w:tcW w:type="dxa" w:w="3528"/>
            <w:vAlign w:val="center"/>
            <w:shd w:fill="FFFFFF"/>
            <w:tcMar>
              <w:top w:w="90" w:type="dxa"/>
              <w:left w:w="90" w:type="dxa"/>
              <w:bottom w:w="90" w:type="dxa"/>
              <w:right w:w="90" w:type="dxa"/>
            </w:tcMar>
          </w:tcPr>
          <w:p>
            <w:pPr>
              <w:spacing w:after="40" w:line="245" w:lineRule="auto"/>
            </w:pPr>
            <w:r>
              <w:rPr>
                <w:b w:val="0"/>
                <w:color w:val="000000"/>
                <w:sz w:val="19"/>
              </w:rPr>
              <w:t>Random Forest on audio features; compare with SVM</w:t>
            </w:r>
          </w:p>
        </w:tc>
        <w:tc>
          <w:tcPr>
            <w:tcW w:type="dxa" w:w="3902"/>
            <w:vAlign w:val="center"/>
            <w:shd w:fill="FFFFFF"/>
            <w:tcMar>
              <w:top w:w="90" w:type="dxa"/>
              <w:left w:w="90" w:type="dxa"/>
              <w:bottom w:w="90" w:type="dxa"/>
              <w:right w:w="90" w:type="dxa"/>
            </w:tcMar>
          </w:tcPr>
          <w:p>
            <w:pPr>
              <w:spacing w:after="40" w:line="245" w:lineRule="auto"/>
            </w:pPr>
            <w:r>
              <w:rPr>
                <w:b w:val="0"/>
                <w:color w:val="000000"/>
                <w:sz w:val="19"/>
              </w:rPr>
              <w:t>Typical sound, unusual sound, or unreliable audio</w:t>
            </w:r>
          </w:p>
        </w:tc>
      </w:tr>
      <w:tr>
        <w:trPr>
          <w:cantSplit/>
        </w:trPr>
        <w:tc>
          <w:tcPr>
            <w:tcW w:type="dxa" w:w="2232"/>
            <w:vAlign w:val="center"/>
            <w:shd w:fill="F1F4F6"/>
            <w:tcMar>
              <w:top w:w="90" w:type="dxa"/>
              <w:left w:w="90" w:type="dxa"/>
              <w:bottom w:w="90" w:type="dxa"/>
              <w:right w:w="90" w:type="dxa"/>
            </w:tcMar>
          </w:tcPr>
          <w:p>
            <w:pPr>
              <w:spacing w:after="40" w:line="245" w:lineRule="auto"/>
            </w:pPr>
            <w:r>
              <w:rPr>
                <w:b w:val="0"/>
                <w:color w:val="000000"/>
                <w:sz w:val="19"/>
              </w:rPr>
              <w:t>Productivity trend</w:t>
            </w:r>
          </w:p>
        </w:tc>
        <w:tc>
          <w:tcPr>
            <w:tcW w:type="dxa" w:w="3528"/>
            <w:vAlign w:val="center"/>
            <w:shd w:fill="F1F4F6"/>
            <w:tcMar>
              <w:top w:w="90" w:type="dxa"/>
              <w:left w:w="90" w:type="dxa"/>
              <w:bottom w:w="90" w:type="dxa"/>
              <w:right w:w="90" w:type="dxa"/>
            </w:tcMar>
          </w:tcPr>
          <w:p>
            <w:pPr>
              <w:spacing w:after="40" w:line="245" w:lineRule="auto"/>
            </w:pPr>
            <w:r>
              <w:rPr>
                <w:b w:val="0"/>
                <w:color w:val="000000"/>
                <w:sz w:val="19"/>
              </w:rPr>
              <w:t>Gradient boosted regression trees such as XGBoost</w:t>
            </w:r>
          </w:p>
        </w:tc>
        <w:tc>
          <w:tcPr>
            <w:tcW w:type="dxa" w:w="3902"/>
            <w:vAlign w:val="center"/>
            <w:shd w:fill="F1F4F6"/>
            <w:tcMar>
              <w:top w:w="90" w:type="dxa"/>
              <w:left w:w="90" w:type="dxa"/>
              <w:bottom w:w="90" w:type="dxa"/>
              <w:right w:w="90" w:type="dxa"/>
            </w:tcMar>
          </w:tcPr>
          <w:p>
            <w:pPr>
              <w:spacing w:after="40" w:line="245" w:lineRule="auto"/>
            </w:pPr>
            <w:r>
              <w:rPr>
                <w:b w:val="0"/>
                <w:color w:val="000000"/>
                <w:sz w:val="19"/>
              </w:rPr>
              <w:t>Next 24 hour net hive weight change in kg</w:t>
            </w:r>
          </w:p>
        </w:tc>
      </w:tr>
      <w:tr>
        <w:trPr>
          <w:cantSplit/>
        </w:trPr>
        <w:tc>
          <w:tcPr>
            <w:tcW w:type="dxa" w:w="2232"/>
            <w:vAlign w:val="center"/>
            <w:shd w:fill="FFFFFF"/>
            <w:tcMar>
              <w:top w:w="90" w:type="dxa"/>
              <w:left w:w="90" w:type="dxa"/>
              <w:bottom w:w="90" w:type="dxa"/>
              <w:right w:w="90" w:type="dxa"/>
            </w:tcMar>
          </w:tcPr>
          <w:p>
            <w:pPr>
              <w:spacing w:after="40" w:line="245" w:lineRule="auto"/>
            </w:pPr>
            <w:r>
              <w:rPr>
                <w:b w:val="0"/>
                <w:color w:val="000000"/>
                <w:sz w:val="19"/>
              </w:rPr>
              <w:t>Disease specific risk after a labelled pilot</w:t>
            </w:r>
          </w:p>
        </w:tc>
        <w:tc>
          <w:tcPr>
            <w:tcW w:type="dxa" w:w="3528"/>
            <w:vAlign w:val="center"/>
            <w:shd w:fill="FFFFFF"/>
            <w:tcMar>
              <w:top w:w="90" w:type="dxa"/>
              <w:left w:w="90" w:type="dxa"/>
              <w:bottom w:w="90" w:type="dxa"/>
              <w:right w:w="90" w:type="dxa"/>
            </w:tcMar>
          </w:tcPr>
          <w:p>
            <w:pPr>
              <w:spacing w:after="40" w:line="245" w:lineRule="auto"/>
            </w:pPr>
            <w:r>
              <w:rPr>
                <w:b w:val="0"/>
                <w:color w:val="000000"/>
                <w:sz w:val="19"/>
              </w:rPr>
              <w:t>Calibrated supervised classifier</w:t>
            </w:r>
          </w:p>
        </w:tc>
        <w:tc>
          <w:tcPr>
            <w:tcW w:type="dxa" w:w="3902"/>
            <w:vAlign w:val="center"/>
            <w:shd w:fill="FFFFFF"/>
            <w:tcMar>
              <w:top w:w="90" w:type="dxa"/>
              <w:left w:w="90" w:type="dxa"/>
              <w:bottom w:w="90" w:type="dxa"/>
              <w:right w:w="90" w:type="dxa"/>
            </w:tcMar>
          </w:tcPr>
          <w:p>
            <w:pPr>
              <w:spacing w:after="40" w:line="245" w:lineRule="auto"/>
            </w:pPr>
            <w:r>
              <w:rPr>
                <w:b w:val="0"/>
                <w:color w:val="000000"/>
                <w:sz w:val="19"/>
              </w:rPr>
              <w:t>Risk for one explicitly defined inspection outcome</w:t>
            </w:r>
          </w:p>
        </w:tc>
      </w:tr>
    </w:tbl>
    <w:p>
      <w:pPr>
        <w:widowControl/>
      </w:pPr>
    </w:p>
    <w:p>
      <w:pPr>
        <w:widowControl/>
      </w:pPr>
      <w:r>
        <w:t>The first three are the prototype shortlist. The fourth is a later research task. A small audio CNN can replace the acoustic baseline if it performs better within the device budget; it is not an additional mandatory model.</w:t>
      </w:r>
    </w:p>
    <w:p>
      <w:pPr>
        <w:pStyle w:val="Heading2"/>
      </w:pPr>
      <w:r>
        <w:t>Claims the prototype can support</w:t>
      </w:r>
    </w:p>
    <w:p>
      <w:pPr>
        <w:widowControl/>
      </w:pPr>
      <w:r>
        <w:t>A useful demonstration can show local readings, an unusual-behaviour alert, an explained weight forecast, queued records during an outage, and batch evidence visible through a QR code. Temperature and buzzing alone cannot confirm a named pathogen, measure honey adulteration, or certify purity. Laboratory evidence and physical batch controls remain necessary.</w:t>
      </w:r>
    </w:p>
    <w:p>
      <w:r>
        <w:br w:type="page"/>
      </w:r>
    </w:p>
    <w:p>
      <w:pPr>
        <w:pStyle w:val="Heading1"/>
      </w:pPr>
      <w:r>
        <w:t>Sensors and hardware</w:t>
      </w:r>
    </w:p>
    <w:p>
      <w:pPr>
        <w:widowControl/>
      </w:pPr>
      <w:r>
        <w:t>Use one standard sensor node design. Fit weighing platforms to the pilot hives where productivity will be evaluated. Outdoor weather sensing and the cluster gateway can be shared. Manufacturer documentation supports the proposed controller and environmental sensor interfaces [1,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5746"/>
        <w:gridCol w:w="1613"/>
      </w:tblGrid>
      <w:tr>
        <w:trPr>
          <w:cantSplit/>
          <w:tblHeader/>
        </w:trPr>
        <w:tc>
          <w:tcPr>
            <w:tcW w:type="dxa" w:w="2304"/>
            <w:vAlign w:val="center"/>
            <w:shd w:fill="17334A"/>
            <w:tcMar>
              <w:top w:w="90" w:type="dxa"/>
              <w:left w:w="90" w:type="dxa"/>
              <w:bottom w:w="90" w:type="dxa"/>
              <w:right w:w="90" w:type="dxa"/>
            </w:tcMar>
          </w:tcPr>
          <w:p>
            <w:pPr>
              <w:spacing w:after="40" w:line="245" w:lineRule="auto"/>
            </w:pPr>
            <w:r>
              <w:rPr>
                <w:b/>
                <w:color w:val="FFFFFF"/>
                <w:sz w:val="19"/>
              </w:rPr>
              <w:t>Component</w:t>
            </w:r>
          </w:p>
        </w:tc>
        <w:tc>
          <w:tcPr>
            <w:tcW w:type="dxa" w:w="5746"/>
            <w:vAlign w:val="center"/>
            <w:shd w:fill="17334A"/>
            <w:tcMar>
              <w:top w:w="90" w:type="dxa"/>
              <w:left w:w="90" w:type="dxa"/>
              <w:bottom w:w="90" w:type="dxa"/>
              <w:right w:w="90" w:type="dxa"/>
            </w:tcMar>
          </w:tcPr>
          <w:p>
            <w:pPr>
              <w:spacing w:after="40" w:line="245" w:lineRule="auto"/>
            </w:pPr>
            <w:r>
              <w:rPr>
                <w:b/>
                <w:color w:val="FFFFFF"/>
                <w:sz w:val="19"/>
              </w:rPr>
              <w:t>Placement and purpose</w:t>
            </w:r>
          </w:p>
        </w:tc>
        <w:tc>
          <w:tcPr>
            <w:tcW w:type="dxa" w:w="1613"/>
            <w:vAlign w:val="center"/>
            <w:shd w:fill="17334A"/>
            <w:tcMar>
              <w:top w:w="90" w:type="dxa"/>
              <w:left w:w="90" w:type="dxa"/>
              <w:bottom w:w="90" w:type="dxa"/>
              <w:right w:w="90" w:type="dxa"/>
            </w:tcMar>
          </w:tcPr>
          <w:p>
            <w:pPr>
              <w:spacing w:after="40" w:line="245" w:lineRule="auto"/>
            </w:pPr>
            <w:r>
              <w:rPr>
                <w:b/>
                <w:color w:val="FFFFFF"/>
                <w:sz w:val="19"/>
              </w:rPr>
              <w:t>Priority</w:t>
            </w:r>
          </w:p>
        </w:tc>
      </w:tr>
      <w:tr>
        <w:trPr>
          <w:cantSplit/>
        </w:trPr>
        <w:tc>
          <w:tcPr>
            <w:tcW w:type="dxa" w:w="2304"/>
            <w:vAlign w:val="center"/>
            <w:shd w:fill="F1F4F6"/>
            <w:tcMar>
              <w:top w:w="90" w:type="dxa"/>
              <w:left w:w="90" w:type="dxa"/>
              <w:bottom w:w="90" w:type="dxa"/>
              <w:right w:w="90" w:type="dxa"/>
            </w:tcMar>
          </w:tcPr>
          <w:p>
            <w:pPr>
              <w:spacing w:after="40" w:line="245" w:lineRule="auto"/>
            </w:pPr>
            <w:r>
              <w:rPr>
                <w:b w:val="0"/>
                <w:color w:val="000000"/>
                <w:sz w:val="19"/>
              </w:rPr>
              <w:t>Digital MEMS microphone</w:t>
            </w:r>
          </w:p>
        </w:tc>
        <w:tc>
          <w:tcPr>
            <w:tcW w:type="dxa" w:w="5746"/>
            <w:vAlign w:val="center"/>
            <w:shd w:fill="F1F4F6"/>
            <w:tcMar>
              <w:top w:w="90" w:type="dxa"/>
              <w:left w:w="90" w:type="dxa"/>
              <w:bottom w:w="90" w:type="dxa"/>
              <w:right w:w="90" w:type="dxa"/>
            </w:tcMar>
          </w:tcPr>
          <w:p>
            <w:pPr>
              <w:spacing w:after="40" w:line="245" w:lineRule="auto"/>
            </w:pPr>
            <w:r>
              <w:rPr>
                <w:b w:val="0"/>
                <w:color w:val="000000"/>
                <w:sz w:val="19"/>
              </w:rPr>
              <w:t>Consistent protected position inside the hive; captures acoustic activity. Choose a supported I2S or PDM part after checking supply and driver support.</w:t>
            </w:r>
          </w:p>
        </w:tc>
        <w:tc>
          <w:tcPr>
            <w:tcW w:type="dxa" w:w="1613"/>
            <w:vAlign w:val="center"/>
            <w:shd w:fill="F1F4F6"/>
            <w:tcMar>
              <w:top w:w="90" w:type="dxa"/>
              <w:left w:w="90" w:type="dxa"/>
              <w:bottom w:w="90" w:type="dxa"/>
              <w:right w:w="90" w:type="dxa"/>
            </w:tcMar>
          </w:tcPr>
          <w:p>
            <w:pPr>
              <w:spacing w:after="40" w:line="245" w:lineRule="auto"/>
            </w:pPr>
            <w:r>
              <w:rPr>
                <w:b w:val="0"/>
                <w:color w:val="000000"/>
                <w:sz w:val="19"/>
              </w:rPr>
              <w:t>Core per hive</w:t>
            </w:r>
          </w:p>
        </w:tc>
      </w:tr>
      <w:tr>
        <w:trPr>
          <w:cantSplit/>
        </w:trPr>
        <w:tc>
          <w:tcPr>
            <w:tcW w:type="dxa" w:w="2304"/>
            <w:vAlign w:val="center"/>
            <w:shd w:fill="FFFFFF"/>
            <w:tcMar>
              <w:top w:w="90" w:type="dxa"/>
              <w:left w:w="90" w:type="dxa"/>
              <w:bottom w:w="90" w:type="dxa"/>
              <w:right w:w="90" w:type="dxa"/>
            </w:tcMar>
          </w:tcPr>
          <w:p>
            <w:pPr>
              <w:spacing w:after="40" w:line="245" w:lineRule="auto"/>
            </w:pPr>
            <w:r>
              <w:rPr>
                <w:b w:val="0"/>
                <w:color w:val="000000"/>
                <w:sz w:val="19"/>
              </w:rPr>
              <w:t>SHT31 class temperature and humidity sensor</w:t>
            </w:r>
          </w:p>
        </w:tc>
        <w:tc>
          <w:tcPr>
            <w:tcW w:type="dxa" w:w="5746"/>
            <w:vAlign w:val="center"/>
            <w:shd w:fill="FFFFFF"/>
            <w:tcMar>
              <w:top w:w="90" w:type="dxa"/>
              <w:left w:w="90" w:type="dxa"/>
              <w:bottom w:w="90" w:type="dxa"/>
              <w:right w:w="90" w:type="dxa"/>
            </w:tcMar>
          </w:tcPr>
          <w:p>
            <w:pPr>
              <w:spacing w:after="40" w:line="245" w:lineRule="auto"/>
            </w:pPr>
            <w:r>
              <w:rPr>
                <w:b w:val="0"/>
                <w:color w:val="000000"/>
                <w:sz w:val="19"/>
              </w:rPr>
              <w:t>Near the brood area without obstructing bees. Record placement; a second probe can help distinguish local gradients.</w:t>
            </w:r>
          </w:p>
        </w:tc>
        <w:tc>
          <w:tcPr>
            <w:tcW w:type="dxa" w:w="1613"/>
            <w:vAlign w:val="center"/>
            <w:shd w:fill="FFFFFF"/>
            <w:tcMar>
              <w:top w:w="90" w:type="dxa"/>
              <w:left w:w="90" w:type="dxa"/>
              <w:bottom w:w="90" w:type="dxa"/>
              <w:right w:w="90" w:type="dxa"/>
            </w:tcMar>
          </w:tcPr>
          <w:p>
            <w:pPr>
              <w:spacing w:after="40" w:line="245" w:lineRule="auto"/>
            </w:pPr>
            <w:r>
              <w:rPr>
                <w:b w:val="0"/>
                <w:color w:val="000000"/>
                <w:sz w:val="19"/>
              </w:rPr>
              <w:t>Core per hive</w:t>
            </w:r>
          </w:p>
        </w:tc>
      </w:tr>
      <w:tr>
        <w:trPr>
          <w:cantSplit/>
        </w:trPr>
        <w:tc>
          <w:tcPr>
            <w:tcW w:type="dxa" w:w="2304"/>
            <w:vAlign w:val="center"/>
            <w:shd w:fill="F1F4F6"/>
            <w:tcMar>
              <w:top w:w="90" w:type="dxa"/>
              <w:left w:w="90" w:type="dxa"/>
              <w:bottom w:w="90" w:type="dxa"/>
              <w:right w:w="90" w:type="dxa"/>
            </w:tcMar>
          </w:tcPr>
          <w:p>
            <w:pPr>
              <w:spacing w:after="40" w:line="245" w:lineRule="auto"/>
            </w:pPr>
            <w:r>
              <w:rPr>
                <w:b w:val="0"/>
                <w:color w:val="000000"/>
                <w:sz w:val="19"/>
              </w:rPr>
              <w:t>Load cells with HX711 class ADC</w:t>
            </w:r>
          </w:p>
        </w:tc>
        <w:tc>
          <w:tcPr>
            <w:tcW w:type="dxa" w:w="5746"/>
            <w:vAlign w:val="center"/>
            <w:shd w:fill="F1F4F6"/>
            <w:tcMar>
              <w:top w:w="90" w:type="dxa"/>
              <w:left w:w="90" w:type="dxa"/>
              <w:bottom w:w="90" w:type="dxa"/>
              <w:right w:w="90" w:type="dxa"/>
            </w:tcMar>
          </w:tcPr>
          <w:p>
            <w:pPr>
              <w:spacing w:after="40" w:line="245" w:lineRule="auto"/>
            </w:pPr>
            <w:r>
              <w:rPr>
                <w:b w:val="0"/>
                <w:color w:val="000000"/>
                <w:sz w:val="19"/>
              </w:rPr>
              <w:t>Stable platform under the full hive. Measures mass change; calibrate against known weights and record equipment changes.</w:t>
            </w:r>
          </w:p>
        </w:tc>
        <w:tc>
          <w:tcPr>
            <w:tcW w:type="dxa" w:w="1613"/>
            <w:vAlign w:val="center"/>
            <w:shd w:fill="F1F4F6"/>
            <w:tcMar>
              <w:top w:w="90" w:type="dxa"/>
              <w:left w:w="90" w:type="dxa"/>
              <w:bottom w:w="90" w:type="dxa"/>
              <w:right w:w="90" w:type="dxa"/>
            </w:tcMar>
          </w:tcPr>
          <w:p>
            <w:pPr>
              <w:spacing w:after="40" w:line="245" w:lineRule="auto"/>
            </w:pPr>
            <w:r>
              <w:rPr>
                <w:b w:val="0"/>
                <w:color w:val="000000"/>
                <w:sz w:val="19"/>
              </w:rPr>
              <w:t>Core for weight forecasts</w:t>
            </w:r>
          </w:p>
        </w:tc>
      </w:tr>
      <w:tr>
        <w:trPr>
          <w:cantSplit/>
        </w:trPr>
        <w:tc>
          <w:tcPr>
            <w:tcW w:type="dxa" w:w="2304"/>
            <w:vAlign w:val="center"/>
            <w:shd w:fill="FFFFFF"/>
            <w:tcMar>
              <w:top w:w="90" w:type="dxa"/>
              <w:left w:w="90" w:type="dxa"/>
              <w:bottom w:w="90" w:type="dxa"/>
              <w:right w:w="90" w:type="dxa"/>
            </w:tcMar>
          </w:tcPr>
          <w:p>
            <w:pPr>
              <w:spacing w:after="40" w:line="245" w:lineRule="auto"/>
            </w:pPr>
            <w:r>
              <w:rPr>
                <w:b w:val="0"/>
                <w:color w:val="000000"/>
                <w:sz w:val="19"/>
              </w:rPr>
              <w:t>Outdoor temperature and humidity</w:t>
            </w:r>
          </w:p>
        </w:tc>
        <w:tc>
          <w:tcPr>
            <w:tcW w:type="dxa" w:w="5746"/>
            <w:vAlign w:val="center"/>
            <w:shd w:fill="FFFFFF"/>
            <w:tcMar>
              <w:top w:w="90" w:type="dxa"/>
              <w:left w:w="90" w:type="dxa"/>
              <w:bottom w:w="90" w:type="dxa"/>
              <w:right w:w="90" w:type="dxa"/>
            </w:tcMar>
          </w:tcPr>
          <w:p>
            <w:pPr>
              <w:spacing w:after="40" w:line="245" w:lineRule="auto"/>
            </w:pPr>
            <w:r>
              <w:rPr>
                <w:b w:val="0"/>
                <w:color w:val="000000"/>
                <w:sz w:val="19"/>
              </w:rPr>
              <w:t>Shaded ventilated weather shield, representative of the cluster. Helps distinguish ambient weather from colony changes.</w:t>
            </w:r>
          </w:p>
        </w:tc>
        <w:tc>
          <w:tcPr>
            <w:tcW w:type="dxa" w:w="1613"/>
            <w:vAlign w:val="center"/>
            <w:shd w:fill="FFFFFF"/>
            <w:tcMar>
              <w:top w:w="90" w:type="dxa"/>
              <w:left w:w="90" w:type="dxa"/>
              <w:bottom w:w="90" w:type="dxa"/>
              <w:right w:w="90" w:type="dxa"/>
            </w:tcMar>
          </w:tcPr>
          <w:p>
            <w:pPr>
              <w:spacing w:after="40" w:line="245" w:lineRule="auto"/>
            </w:pPr>
            <w:r>
              <w:rPr>
                <w:b w:val="0"/>
                <w:color w:val="000000"/>
                <w:sz w:val="19"/>
              </w:rPr>
              <w:t>Shared</w:t>
            </w:r>
          </w:p>
        </w:tc>
      </w:tr>
      <w:tr>
        <w:trPr>
          <w:cantSplit/>
        </w:trPr>
        <w:tc>
          <w:tcPr>
            <w:tcW w:type="dxa" w:w="2304"/>
            <w:vAlign w:val="center"/>
            <w:shd w:fill="F1F4F6"/>
            <w:tcMar>
              <w:top w:w="90" w:type="dxa"/>
              <w:left w:w="90" w:type="dxa"/>
              <w:bottom w:w="90" w:type="dxa"/>
              <w:right w:w="90" w:type="dxa"/>
            </w:tcMar>
          </w:tcPr>
          <w:p>
            <w:pPr>
              <w:spacing w:after="40" w:line="245" w:lineRule="auto"/>
            </w:pPr>
            <w:r>
              <w:rPr>
                <w:b w:val="0"/>
                <w:color w:val="000000"/>
                <w:sz w:val="19"/>
              </w:rPr>
              <w:t>ESP32 S3 controller</w:t>
            </w:r>
          </w:p>
        </w:tc>
        <w:tc>
          <w:tcPr>
            <w:tcW w:type="dxa" w:w="5746"/>
            <w:vAlign w:val="center"/>
            <w:shd w:fill="F1F4F6"/>
            <w:tcMar>
              <w:top w:w="90" w:type="dxa"/>
              <w:left w:w="90" w:type="dxa"/>
              <w:bottom w:w="90" w:type="dxa"/>
              <w:right w:w="90" w:type="dxa"/>
            </w:tcMar>
          </w:tcPr>
          <w:p>
            <w:pPr>
              <w:spacing w:after="40" w:line="245" w:lineRule="auto"/>
            </w:pPr>
            <w:r>
              <w:rPr>
                <w:b w:val="0"/>
                <w:color w:val="000000"/>
                <w:sz w:val="19"/>
              </w:rPr>
              <w:t>Outside in a weather resistant enclosure; samples sensors, computes audio features, stores records and runs small local models.</w:t>
            </w:r>
          </w:p>
        </w:tc>
        <w:tc>
          <w:tcPr>
            <w:tcW w:type="dxa" w:w="1613"/>
            <w:vAlign w:val="center"/>
            <w:shd w:fill="F1F4F6"/>
            <w:tcMar>
              <w:top w:w="90" w:type="dxa"/>
              <w:left w:w="90" w:type="dxa"/>
              <w:bottom w:w="90" w:type="dxa"/>
              <w:right w:w="90" w:type="dxa"/>
            </w:tcMar>
          </w:tcPr>
          <w:p>
            <w:pPr>
              <w:spacing w:after="40" w:line="245" w:lineRule="auto"/>
            </w:pPr>
            <w:r>
              <w:rPr>
                <w:b w:val="0"/>
                <w:color w:val="000000"/>
                <w:sz w:val="19"/>
              </w:rPr>
              <w:t>Core per node</w:t>
            </w:r>
          </w:p>
        </w:tc>
      </w:tr>
      <w:tr>
        <w:trPr>
          <w:cantSplit/>
        </w:trPr>
        <w:tc>
          <w:tcPr>
            <w:tcW w:type="dxa" w:w="2304"/>
            <w:vAlign w:val="center"/>
            <w:shd w:fill="FFFFFF"/>
            <w:tcMar>
              <w:top w:w="90" w:type="dxa"/>
              <w:left w:w="90" w:type="dxa"/>
              <w:bottom w:w="90" w:type="dxa"/>
              <w:right w:w="90" w:type="dxa"/>
            </w:tcMar>
          </w:tcPr>
          <w:p>
            <w:pPr>
              <w:spacing w:after="40" w:line="245" w:lineRule="auto"/>
            </w:pPr>
            <w:r>
              <w:rPr>
                <w:b w:val="0"/>
                <w:color w:val="000000"/>
                <w:sz w:val="19"/>
              </w:rPr>
              <w:t>Local storage and clock</w:t>
            </w:r>
          </w:p>
        </w:tc>
        <w:tc>
          <w:tcPr>
            <w:tcW w:type="dxa" w:w="5746"/>
            <w:vAlign w:val="center"/>
            <w:shd w:fill="FFFFFF"/>
            <w:tcMar>
              <w:top w:w="90" w:type="dxa"/>
              <w:left w:w="90" w:type="dxa"/>
              <w:bottom w:w="90" w:type="dxa"/>
              <w:right w:w="90" w:type="dxa"/>
            </w:tcMar>
          </w:tcPr>
          <w:p>
            <w:pPr>
              <w:spacing w:after="40" w:line="245" w:lineRule="auto"/>
            </w:pPr>
            <w:r>
              <w:rPr>
                <w:b w:val="0"/>
                <w:color w:val="000000"/>
                <w:sz w:val="19"/>
              </w:rPr>
              <w:t>Wear managed flash or microSD; preserve timestamp quality and sequence numbers across outages and resets.</w:t>
            </w:r>
          </w:p>
        </w:tc>
        <w:tc>
          <w:tcPr>
            <w:tcW w:type="dxa" w:w="1613"/>
            <w:vAlign w:val="center"/>
            <w:shd w:fill="FFFFFF"/>
            <w:tcMar>
              <w:top w:w="90" w:type="dxa"/>
              <w:left w:w="90" w:type="dxa"/>
              <w:bottom w:w="90" w:type="dxa"/>
              <w:right w:w="90" w:type="dxa"/>
            </w:tcMar>
          </w:tcPr>
          <w:p>
            <w:pPr>
              <w:spacing w:after="40" w:line="245" w:lineRule="auto"/>
            </w:pPr>
            <w:r>
              <w:rPr>
                <w:b w:val="0"/>
                <w:color w:val="000000"/>
                <w:sz w:val="19"/>
              </w:rPr>
              <w:t>Core per node</w:t>
            </w:r>
          </w:p>
        </w:tc>
      </w:tr>
      <w:tr>
        <w:trPr>
          <w:cantSplit/>
        </w:trPr>
        <w:tc>
          <w:tcPr>
            <w:tcW w:type="dxa" w:w="2304"/>
            <w:vAlign w:val="center"/>
            <w:shd w:fill="F1F4F6"/>
            <w:tcMar>
              <w:top w:w="90" w:type="dxa"/>
              <w:left w:w="90" w:type="dxa"/>
              <w:bottom w:w="90" w:type="dxa"/>
              <w:right w:w="90" w:type="dxa"/>
            </w:tcMar>
          </w:tcPr>
          <w:p>
            <w:pPr>
              <w:spacing w:after="40" w:line="245" w:lineRule="auto"/>
            </w:pPr>
            <w:r>
              <w:rPr>
                <w:b w:val="0"/>
                <w:color w:val="000000"/>
                <w:sz w:val="19"/>
              </w:rPr>
              <w:t>Radio and power</w:t>
            </w:r>
          </w:p>
        </w:tc>
        <w:tc>
          <w:tcPr>
            <w:tcW w:type="dxa" w:w="5746"/>
            <w:vAlign w:val="center"/>
            <w:shd w:fill="F1F4F6"/>
            <w:tcMar>
              <w:top w:w="90" w:type="dxa"/>
              <w:left w:w="90" w:type="dxa"/>
              <w:bottom w:w="90" w:type="dxa"/>
              <w:right w:w="90" w:type="dxa"/>
            </w:tcMar>
          </w:tcPr>
          <w:p>
            <w:pPr>
              <w:spacing w:after="40" w:line="245" w:lineRule="auto"/>
            </w:pPr>
            <w:r>
              <w:rPr>
                <w:b w:val="0"/>
                <w:color w:val="000000"/>
                <w:sz w:val="19"/>
              </w:rPr>
              <w:t>BLE for phone collection; optional separate LoRa radio for a shared gateway. Battery protection, regulator and measured solar charging if needed.</w:t>
            </w:r>
          </w:p>
        </w:tc>
        <w:tc>
          <w:tcPr>
            <w:tcW w:type="dxa" w:w="1613"/>
            <w:vAlign w:val="center"/>
            <w:shd w:fill="F1F4F6"/>
            <w:tcMar>
              <w:top w:w="90" w:type="dxa"/>
              <w:left w:w="90" w:type="dxa"/>
              <w:bottom w:w="90" w:type="dxa"/>
              <w:right w:w="90" w:type="dxa"/>
            </w:tcMar>
          </w:tcPr>
          <w:p>
            <w:pPr>
              <w:spacing w:after="40" w:line="245" w:lineRule="auto"/>
            </w:pPr>
            <w:r>
              <w:rPr>
                <w:b w:val="0"/>
                <w:color w:val="000000"/>
                <w:sz w:val="19"/>
              </w:rPr>
              <w:t>Choose by site</w:t>
            </w:r>
          </w:p>
        </w:tc>
      </w:tr>
    </w:tbl>
    <w:p>
      <w:pPr>
        <w:widowControl/>
      </w:pPr>
    </w:p>
    <w:p>
      <w:pPr>
        <w:pStyle w:val="Heading2"/>
      </w:pPr>
      <w:r>
        <w:t>Installation determines data quality</w:t>
      </w:r>
    </w:p>
    <w:p>
      <w:pPr>
        <w:widowControl/>
      </w:pPr>
      <w:r>
        <w:t>Protect microphone and humidity openings with suitable mesh or membranes without sealing the sensing path. Bees may coat equipment with propolis. Keep electronics away from honey contact and allow maintenance without disturbing the colony. Measure how the enclosure changes the audio response.</w:t>
      </w:r>
    </w:p>
    <w:p>
      <w:pPr>
        <w:widowControl/>
      </w:pPr>
      <w:r>
        <w:t>A scale needs a rigid, level base and temperature drift checks. Rainwater, leaning on the hive, moving supers and feeding all change the reading. Battery voltage, sensor errors and recent maintenance must travel with every record.</w:t>
      </w:r>
    </w:p>
    <w:p>
      <w:pPr>
        <w:pStyle w:val="Heading2"/>
      </w:pPr>
      <w:r>
        <w:t>Hardware to defer</w:t>
      </w:r>
    </w:p>
    <w:p>
      <w:pPr>
        <w:widowControl/>
      </w:pPr>
      <w:r>
        <w:t>Defer permanent cameras, per-hive cellular modems, gas sensors and automatic actuators. A microphone measures airborne sound; an optional contact vibration sensor measures a different signal and needs its own validation. Skip low-cost gas sensors unless a defined use justifies calibration, power and environmental drift.</w:t>
      </w:r>
    </w:p>
    <w:p>
      <w:r>
        <w:br w:type="page"/>
      </w:r>
    </w:p>
    <w:p>
      <w:pPr>
        <w:pStyle w:val="Heading1"/>
      </w:pPr>
      <w:r>
        <w:t>Acoustic state classification</w:t>
      </w:r>
    </w:p>
    <w:p>
      <w:pPr>
        <w:pStyle w:val="Heading2"/>
      </w:pPr>
      <w:r>
        <w:t>What this model should do</w:t>
      </w:r>
    </w:p>
    <w:p>
      <w:pPr>
        <w:widowControl/>
      </w:pPr>
      <w:r>
        <w:t>Start by separating typical hive audio, unusual hive audio and unusable recordings. Add a queen-related or swarming-related class only when independent inspection records support it. A change in buzzing may reflect handling, weather or colony activity as well as a health problem.</w:t>
      </w:r>
    </w:p>
    <w:p>
      <w:pPr>
        <w:pStyle w:val="Heading2"/>
      </w:pPr>
      <w:r>
        <w:t>Inputs and feature extraction</w:t>
      </w:r>
    </w:p>
    <w:p>
      <w:pPr>
        <w:widowControl/>
      </w:pPr>
      <w:r>
        <w:t>Begin with 5 second mono recordings every 15 minutes at 16 kHz. This is an engineering starting point, not a validated sampling schedule. It may miss brief events; compare longer or more frequent sampling on a few reference hives before finalising it.</w:t>
      </w:r>
    </w:p>
    <w:p>
      <w:pPr>
        <w:pStyle w:val="ListBullet"/>
        <w:widowControl/>
      </w:pPr>
      <w:r>
        <w:t>Reject or flag clipped, silent, disconnected and heavily contaminated recordings. Include rain, wind, machinery and hive-opening sounds in the quality dataset.</w:t>
      </w:r>
    </w:p>
    <w:p>
      <w:pPr>
        <w:pStyle w:val="ListBullet"/>
        <w:widowControl/>
      </w:pPr>
      <w:r>
        <w:t>Compute MFCCs, which describe the sound spectrum compactly, plus frequency-band energy, spectral centroid, spectral flatness and RMS energy. Aggregate their means and variation over each clip.</w:t>
      </w:r>
    </w:p>
    <w:p>
      <w:pPr>
        <w:pStyle w:val="ListBullet"/>
        <w:widowControl/>
      </w:pPr>
      <w:r>
        <w:t>Preserve amplitude-related features separately from normalised spectral features. Microphone gain and placement must remain consistent, because normalising every clip can erase useful loudness changes.</w:t>
      </w:r>
    </w:p>
    <w:p>
      <w:pPr>
        <w:pStyle w:val="Heading2"/>
      </w:pPr>
      <w:r>
        <w:t>Model choice and deployment</w:t>
      </w:r>
    </w:p>
    <w:p>
      <w:pPr>
        <w:widowControl/>
      </w:pPr>
      <w:r>
        <w:t>Use a Random Forest as the first feature-based classifier and compare it with a support vector machine using the same held-out hives. Fit any scaling and feature selection on training data only. Prefer the smaller model when performance is comparable. Limit forest size or export a supported implementation; do not assume every trained model fits the microcontroller.</w:t>
      </w:r>
    </w:p>
    <w:p>
      <w:pPr>
        <w:widowControl/>
      </w:pPr>
      <w:r>
        <w:t>If feature models underperform and enough labelled data exist, test a compact CNN on log-mel spectrograms. Quantise and benchmark it on the actual board. LiteRT for Microcontrollers supports small embedded inference but has operator and runtime constraints [3]. A phone or gateway is a fallback for larger models.</w:t>
      </w:r>
    </w:p>
    <w:p>
      <w:pPr>
        <w:pStyle w:val="Heading2"/>
      </w:pPr>
      <w:r>
        <w:t>Labels and evidence</w:t>
      </w:r>
    </w:p>
    <w:p>
      <w:pPr>
        <w:widowControl/>
      </w:pPr>
      <w:r>
        <w:t>A queen-present label needs an inspection protocol and timestamp; a quiet hive is not automatically queenless. Keep confirmed events separate from beekeeper suspicions and label intervals conservatively. Do not create queenless colonies or induce disease just to obtain training data.</w:t>
      </w:r>
    </w:p>
    <w:p>
      <w:pPr>
        <w:widowControl/>
      </w:pPr>
      <w:r>
        <w:t>The UrBAN research dataset combines hive audio, environmental readings and inspections. It is useful for testing a pipeline, but its Canadian setting and limited set of colonies do not establish performance on Indian hives [4]. Public recordings should supplement local data rather than substitute for field testing.</w:t>
      </w:r>
    </w:p>
    <w:p>
      <w:pPr>
        <w:pStyle w:val="Heading2"/>
      </w:pPr>
      <w:r>
        <w:t>Farmer facing result</w:t>
      </w:r>
    </w:p>
    <w:p>
      <w:pPr>
        <w:widowControl/>
      </w:pPr>
      <w:r>
        <w:t>Show an action such as "Sound has changed repeatedly since yesterday. Check this hive during the next safe inspection." Include the observation time and audio quality. Use an abstain result when recordings are unreliable or outside the training conditions.</w:t>
      </w:r>
    </w:p>
    <w:p>
      <w:r>
        <w:br w:type="page"/>
      </w:r>
    </w:p>
    <w:p>
      <w:pPr>
        <w:pStyle w:val="Heading1"/>
      </w:pPr>
      <w:r>
        <w:t>Colony anomalies and disease risk</w:t>
      </w:r>
    </w:p>
    <w:p>
      <w:pPr>
        <w:pStyle w:val="Heading2"/>
      </w:pPr>
      <w:r>
        <w:t>Model one detects deviations</w:t>
      </w:r>
    </w:p>
    <w:p>
      <w:pPr>
        <w:widowControl/>
      </w:pPr>
      <w:r>
        <w:t>Train Isolation Forest on windows from colonies considered stable by inspection. Inputs can include internal versus outdoor temperature difference, temperature stability, humidity trends, acoustic features, weight trend, season and time of day. Include missing-data indicators. Produce an anomaly score and an inspection priority, not a disease probability.</w:t>
      </w:r>
    </w:p>
    <w:p>
      <w:pPr>
        <w:widowControl/>
      </w:pPr>
      <w:r>
        <w:t>Use robust rolling medians and transparent threshold rules as the baseline. Run a small exported anomaly model locally only after measuring memory and latency; otherwise run it on the cluster gateway or phone. Device-side rules must remain available during a gateway outage.</w:t>
      </w:r>
    </w:p>
    <w:p>
      <w:pPr>
        <w:pStyle w:val="Heading2"/>
      </w:pPr>
      <w:r>
        <w:t>Separate colony changes from faulty sensors</w:t>
      </w:r>
    </w:p>
    <w:p>
      <w:pPr>
        <w:pStyle w:val="ListBullet"/>
        <w:widowControl/>
      </w:pPr>
      <w:r>
        <w:t>A flat temperature line with a sensor error should generate a maintenance alert. Missing readings must never be converted to healthy values.</w:t>
      </w:r>
    </w:p>
    <w:p>
      <w:pPr>
        <w:pStyle w:val="ListBullet"/>
        <w:widowControl/>
      </w:pPr>
      <w:r>
        <w:t>A weight step after a logged harvest or feeding event should be annotated. Do not teach the model that every harvest is a swarm or every feeding event is nectar flow.</w:t>
      </w:r>
    </w:p>
    <w:p>
      <w:pPr>
        <w:pStyle w:val="ListBullet"/>
        <w:widowControl/>
      </w:pPr>
      <w:r>
        <w:t>Require persistence across windows and use an alert cooldown. Tune these settings from confirmed events and farmer feedback; they are not universal biological limits.</w:t>
      </w:r>
    </w:p>
    <w:p>
      <w:pPr>
        <w:pStyle w:val="Heading2"/>
      </w:pPr>
      <w:r>
        <w:t>Use several signals to prioritise inspection</w:t>
      </w:r>
    </w:p>
    <w:p>
      <w:pPr>
        <w:widowControl/>
      </w:pPr>
      <w:r>
        <w:t>For example, a persistent temperature deviation together with an unusual sound score can raise inspection priority. Show the two observations and their data quality. Begin with explicit fusion rules; do not invent a single percentage "colony health" score from arbitrary weights.</w:t>
      </w:r>
    </w:p>
    <w:p>
      <w:pPr>
        <w:widowControl/>
      </w:pPr>
      <w:r>
        <w:t>Acoustic classification and anomaly scores share inputs, so they are not independent evidence. Counting both as independent votes can inflate confidence. Missing sensors should lower confidence and may disable some outputs.</w:t>
      </w:r>
    </w:p>
    <w:p>
      <w:pPr>
        <w:pStyle w:val="Heading2"/>
      </w:pPr>
      <w:r>
        <w:t>Disease specific models require a different dataset</w:t>
      </w:r>
    </w:p>
    <w:p>
      <w:pPr>
        <w:widowControl/>
      </w:pPr>
      <w:r>
        <w:t>Choose one target with a beekeeper or apiculture specialist, such as elevated mite burden under a defined assessment protocol. Join sensor windows to dated inspection or laboratory results, including negative cases, method, assessor and treatment history. Train a Random Forest or boosted-tree classifier only if there are enough independent confirmed events.</w:t>
      </w:r>
    </w:p>
    <w:p>
      <w:pPr>
        <w:widowControl/>
      </w:pPr>
      <w:r>
        <w:t>For Varroa, recognised diagnosis involves examination of mites, bees, brood or hive debris; symptoms can overlap with other conditions [5]. A model trained against those labels could estimate screening risk. The proposed microphone, temperature and humidity readings cannot by themselves establish pathogen identity.</w:t>
      </w:r>
    </w:p>
    <w:p>
      <w:pPr>
        <w:widowControl/>
      </w:pPr>
      <w:r>
        <w:t>The alert should request inspection or expert review. Treatment recommendations need an approved expert protocol. Keep "sensor anomaly", "suspected condition" and "confirmed diagnosis" as separate records throughout the app and the batch history.</w:t>
      </w:r>
    </w:p>
    <w:p>
      <w:r>
        <w:br w:type="page"/>
      </w:r>
    </w:p>
    <w:p>
      <w:pPr>
        <w:pStyle w:val="Heading1"/>
      </w:pPr>
      <w:r>
        <w:t>Productivity and harvest planning</w:t>
      </w:r>
    </w:p>
    <w:p>
      <w:pPr>
        <w:pStyle w:val="Heading2"/>
      </w:pPr>
      <w:r>
        <w:t>Predict a measurable quantity first</w:t>
      </w:r>
    </w:p>
    <w:p>
      <w:pPr>
        <w:widowControl/>
      </w:pPr>
      <w:r>
        <w:t>Use gradient boosted regression trees to predict net hive mass change over the next 24 hours in kilograms. Compare with a persistence forecast and the recent seasonal average. Research has evaluated tree-based honey-production forecasting with hive and weather data, supporting this as a candidate method rather than proving transfer to this project [6].</w:t>
      </w:r>
    </w:p>
    <w:p>
      <w:pPr>
        <w:widowControl/>
      </w:pPr>
      <w:r>
        <w:t>Run the forecast on the phone or cluster gateway first. Training can happen offline on a laptop using collected records. A small exported forecast can move to the hive node after memory and power profiling. A 7 day forecast can follow after the 24 hour model is useful. LSTM or temporal convolution models are later alternatives if a large longitudinal dataset clearly improves results.</w:t>
      </w:r>
    </w:p>
    <w:p>
      <w:pPr>
        <w:pStyle w:val="Heading2"/>
      </w:pPr>
      <w:r>
        <w:t>Inputs available at prediction time</w:t>
      </w:r>
    </w:p>
    <w:p>
      <w:pPr>
        <w:pStyle w:val="ListBullet"/>
        <w:widowControl/>
      </w:pPr>
      <w:r>
        <w:t>Recent weight levels and daily changes, rolling trends, time of day, season and hive configuration.</w:t>
      </w:r>
    </w:p>
    <w:p>
      <w:pPr>
        <w:pStyle w:val="ListBullet"/>
        <w:widowControl/>
      </w:pPr>
      <w:r>
        <w:t>Internal and outdoor temperature and humidity, recent rain if measured locally, and recent acoustic summaries.</w:t>
      </w:r>
    </w:p>
    <w:p>
      <w:pPr>
        <w:pStyle w:val="ListBullet"/>
        <w:widowControl/>
      </w:pPr>
      <w:r>
        <w:t>Feeding amounts, extracted honey mass, additions or removal of boxes, colony movement and other management events.</w:t>
      </w:r>
    </w:p>
    <w:p>
      <w:pPr>
        <w:pStyle w:val="ListBullet"/>
        <w:widowControl/>
      </w:pPr>
      <w:r>
        <w:t>Optional floral calendar or local forage notes. A weather forecast may help when available, but the offline model must work without it and identify stale weather inputs.</w:t>
      </w:r>
    </w:p>
    <w:p>
      <w:pPr>
        <w:pStyle w:val="Heading2"/>
      </w:pPr>
      <w:r>
        <w:t>Weight gain is not harvested honey yield</w:t>
      </w:r>
    </w:p>
    <w:p>
      <w:pPr>
        <w:widowControl/>
      </w:pPr>
      <w:r>
        <w:t>Hive mass includes bees, brood, boxes, nectar, feed and water. Feeding and rain can increase weight; evaporation can reduce it without a loss of honey solids. Predicting extracted honey yield needs actual harvest weights, harvest dates and intervening management records as labels. Do not relabel net mass gain as pure honey production.</w:t>
      </w:r>
    </w:p>
    <w:p>
      <w:pPr>
        <w:pStyle w:val="Heading2"/>
      </w:pPr>
      <w:r>
        <w:t>From prediction to a useful action</w:t>
      </w:r>
    </w:p>
    <w:p>
      <w:pPr>
        <w:widowControl/>
      </w:pPr>
      <w:r>
        <w:t>Present the predicted change, its horizon, data freshness and an uncertainty interval checked on held-out data. Use the trend to help plan inspections, weighing and potential harvest visits. An expert rule can prompt a check of food stores after sustained losses. Final harvest readiness still requires inspection and appropriate quality checks.</w:t>
      </w:r>
    </w:p>
    <w:p>
      <w:pPr>
        <w:widowControl/>
      </w:pPr>
      <w:r>
        <w:t>Environmental monitoring itself needs no ML. Show measured values and trends even when a forecast is unavailable. Avoid turning a correlation, such as humidity changing alongside output, into a claim that changing humidity will increase production.</w:t>
      </w:r>
    </w:p>
    <w:p>
      <w:pPr>
        <w:pStyle w:val="Heading2"/>
      </w:pPr>
      <w:r>
        <w:t>If weighing every hive is too expensive</w:t>
      </w:r>
    </w:p>
    <w:p>
      <w:pPr>
        <w:widowControl/>
      </w:pPr>
      <w:r>
        <w:t>Fit calibrated scales to selected sentinel hives in each cluster and rotate additional scales only under a documented protocol. Use the sentinel readings for cluster-level trends. Hives without their own mass measurements should not receive a claimed individual weight forecast unless a separately validated model supports it.</w:t>
      </w:r>
    </w:p>
    <w:p>
      <w:r>
        <w:br w:type="page"/>
      </w:r>
    </w:p>
    <w:p>
      <w:pPr>
        <w:pStyle w:val="Heading1"/>
      </w:pPr>
      <w:r>
        <w:t>Operation without internet</w:t>
      </w:r>
    </w:p>
    <w:p>
      <w:pPr>
        <w:widowControl/>
      </w:pPr>
      <w:r>
        <w:t>Keep sensing, local storage and basic alerts functional without a cloud connection. The gateway or phone performs heavier processing when present. Internet access is used later for synchronisation, model updates and blockchain commitments.</w:t>
      </w:r>
    </w:p>
    <w:p>
      <w:pPr>
        <w:pStyle w:val="Heading2"/>
      </w:pPr>
      <w:r>
        <w:t>Local data path</w:t>
      </w:r>
    </w:p>
    <w:p>
      <w:pPr>
        <w:pStyle w:val="ListNumber"/>
        <w:widowControl/>
      </w:pPr>
      <w:r>
        <w:t>The hive node reads temperature, humidity and weight about every 5 minutes and samples audio on its scheduled interval. It checks quality and computes local features.</w:t>
      </w:r>
    </w:p>
    <w:p>
      <w:pPr>
        <w:pStyle w:val="ListNumber"/>
        <w:widowControl/>
      </w:pPr>
      <w:r>
        <w:t>It stores timestamped observations and model versions in an append-only queue. It shows a local status indicator and retains pending alerts.</w:t>
      </w:r>
    </w:p>
    <w:p>
      <w:pPr>
        <w:pStyle w:val="ListNumber"/>
        <w:widowControl/>
      </w:pPr>
      <w:r>
        <w:t>An authenticated phone collects the queue over BLE during a visit. Alternatively, an optional LoRa radio sends compact summaries to a nearby shared collector. Phones need a BLE app; an ordinary QR web page does not collect hive telemetry by itself.</w:t>
      </w:r>
    </w:p>
    <w:p>
      <w:pPr>
        <w:pStyle w:val="ListNumber"/>
        <w:widowControl/>
      </w:pPr>
      <w:r>
        <w:t>The phone or gateway uploads through a durable outbox when internet returns. The server deduplicates by device, boot session and sequence number and confirms what it received.</w:t>
      </w:r>
    </w:p>
    <w:p>
      <w:pPr>
        <w:pStyle w:val="Heading2"/>
      </w:pPr>
      <w:r>
        <w:t>Audio is processed locally</w:t>
      </w:r>
    </w:p>
    <w:p>
      <w:pPr>
        <w:widowControl/>
      </w:pPr>
      <w:r>
        <w:t>At the proposed schedule, 5 seconds of 16 kHz mono audio stored as 16 bit PCM uses 160,000 bytes per clip. With 96 clips per day, that is 15.36 MB per hive per day. By comparison, an illustrative 128 byte feature record per clip uses 12,288 bytes per day, before filesystem and protocol overhead. These are calculated design sizes, not measured network performance.</w:t>
      </w:r>
    </w:p>
    <w:p>
      <w:pPr>
        <w:widowControl/>
      </w:pPr>
      <w:r>
        <w:t>Keep a small selected set of raw clips on local storage for labelling, debugging and model improvement. Collect them by phone, memory card or a later connection. Maintain a bounded retention policy and preserve selected event clips. Routine radio traffic carries scores and selected summaries, not audio.</w:t>
      </w:r>
    </w:p>
    <w:p>
      <w:pPr>
        <w:pStyle w:val="Heading2"/>
      </w:pPr>
      <w:r>
        <w:t>LoRa needs a collector and a tested link</w:t>
      </w:r>
    </w:p>
    <w:p>
      <w:pPr>
        <w:widowControl/>
      </w:pPr>
      <w:r>
        <w:t>ESP32 S3 does not include LoRa; add a compatible radio such as an SX1262 module [7]. A small pilot can use a documented point-to-point link; scaling with LoRaWAN needs a proper gateway and network-server plan. Choose India-compatible hardware and configuration after checking applicable requirements. Payload limits, interference, terrain and retries determine practical capacity.</w:t>
      </w:r>
    </w:p>
    <w:p>
      <w:pPr>
        <w:widowControl/>
      </w:pPr>
      <w:r>
        <w:t>A gateway cannot forward a remote notification without a working backhaul. During a total communication outage, alerts stay on the device or local collector until someone visits. LoRa extends local radio reach; it does not create internet coverage.</w:t>
      </w:r>
    </w:p>
    <w:p>
      <w:pPr>
        <w:pStyle w:val="Heading2"/>
      </w:pPr>
      <w:r>
        <w:t>Power and reliability</w:t>
      </w:r>
    </w:p>
    <w:p>
      <w:pPr>
        <w:widowControl/>
      </w:pPr>
      <w:r>
        <w:t>Measure current during microphone capture, feature extraction, radio transmission and sleep. Size battery and solar for the measured daily energy and worst expected outage. Use brownout recovery, clock-quality flags, checksums, acknowledged uploads and safe model rollback. Benchmark the complete board; development-board standby current can dominate the budget.</w:t>
      </w:r>
    </w:p>
    <w:p>
      <w:r>
        <w:br w:type="page"/>
      </w:r>
    </w:p>
    <w:p>
      <w:pPr>
        <w:pStyle w:val="Heading1"/>
      </w:pPr>
      <w:r>
        <w:t>Training and field validation</w:t>
      </w:r>
    </w:p>
    <w:p>
      <w:pPr>
        <w:pStyle w:val="Heading2"/>
      </w:pPr>
      <w:r>
        <w:t>Collect a linked dataset</w:t>
      </w:r>
    </w:p>
    <w:p>
      <w:pPr>
        <w:widowControl/>
      </w:pPr>
      <w:r>
        <w:t>As an initial feasibility pilot, consider 10 to 20 hives across two clusters for 8 to 12 weeks, subject to access and beekeeper support. This can test installation, data quality and workflow. It is not sufficient evidence for disease diagnosis or reliable forecasts across all seasons. Extend coverage across seasons, sites and the bee species actually served.</w:t>
      </w:r>
    </w:p>
    <w:p>
      <w:pPr>
        <w:widowControl/>
      </w:pPr>
      <w:r>
        <w:t>Every record should carry hive and device IDs, observation time and time quality, units, sensor quality, calibration version, firmware and model version. Record inspection results, feeding, treatment and harvest events separately with their timestamps. Keep species, hive type and sensor placement in the hive profile.</w:t>
      </w:r>
    </w:p>
    <w:p>
      <w:pPr>
        <w:pStyle w:val="Heading2"/>
      </w:pPr>
      <w:r>
        <w:t>Use existing data carefully</w:t>
      </w:r>
    </w:p>
    <w:p>
      <w:pPr>
        <w:widowControl/>
      </w:pPr>
      <w:r>
        <w:t>Public datasets can test feature extraction and reproduce a research baseline. Check licences, available modalities and label definitions before reuse. Create a local annotation guide and have uncertain events reviewed by an experienced beekeeper. Retain an explicit unknown label instead of forcing every observation into a disease class.</w:t>
      </w:r>
    </w:p>
    <w:p>
      <w:pPr>
        <w:pStyle w:val="Heading2"/>
      </w:pPr>
      <w:r>
        <w:t>Prevent misleading test results</w:t>
      </w:r>
    </w:p>
    <w:p>
      <w:pPr>
        <w:pStyle w:val="ListBullet"/>
        <w:widowControl/>
      </w:pPr>
      <w:r>
        <w:t>Keep clips from the same original recording in one split. Adjacent windows from a hive must not leak across training and test sets.</w:t>
      </w:r>
    </w:p>
    <w:p>
      <w:pPr>
        <w:pStyle w:val="ListBullet"/>
        <w:widowControl/>
      </w:pPr>
      <w:r>
        <w:t>Evaluate on hives excluded from training, then test on a later time period and a separate cluster. Group validation by hive or apiary and preserve chronology for forecasting.</w:t>
      </w:r>
    </w:p>
    <w:p>
      <w:pPr>
        <w:pStyle w:val="ListBullet"/>
        <w:widowControl/>
      </w:pPr>
      <w:r>
        <w:t>Fit preprocessing on the training split only. For forecasts, exclude future harvest records, future observed weather and other information unavailable at prediction time.</w:t>
      </w:r>
    </w:p>
    <w:p>
      <w:pPr>
        <w:pStyle w:val="ListBullet"/>
        <w:widowControl/>
      </w:pPr>
      <w:r>
        <w:t>Count independent events as well as clips. Thousands of audio windows from two disease events do not constitute thousands of independent disease examples.</w:t>
      </w:r>
    </w:p>
    <w:p>
      <w:pPr>
        <w:pStyle w:val="Heading2"/>
      </w:pPr>
      <w:r>
        <w:t>What to measure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358"/>
      </w:tblGrid>
      <w:tr>
        <w:trPr>
          <w:cantSplit/>
          <w:tblHeader/>
        </w:trPr>
        <w:tc>
          <w:tcPr>
            <w:tcW w:type="dxa" w:w="2304"/>
            <w:vAlign w:val="center"/>
            <w:shd w:fill="17334A"/>
            <w:tcMar>
              <w:top w:w="90" w:type="dxa"/>
              <w:left w:w="90" w:type="dxa"/>
              <w:bottom w:w="90" w:type="dxa"/>
              <w:right w:w="90" w:type="dxa"/>
            </w:tcMar>
          </w:tcPr>
          <w:p>
            <w:pPr>
              <w:spacing w:after="40" w:line="245" w:lineRule="auto"/>
            </w:pPr>
            <w:r>
              <w:rPr>
                <w:b/>
                <w:color w:val="FFFFFF"/>
                <w:sz w:val="19"/>
              </w:rPr>
              <w:t>Pipeline</w:t>
            </w:r>
          </w:p>
        </w:tc>
        <w:tc>
          <w:tcPr>
            <w:tcW w:type="dxa" w:w="7358"/>
            <w:vAlign w:val="center"/>
            <w:shd w:fill="17334A"/>
            <w:tcMar>
              <w:top w:w="90" w:type="dxa"/>
              <w:left w:w="90" w:type="dxa"/>
              <w:bottom w:w="90" w:type="dxa"/>
              <w:right w:w="90" w:type="dxa"/>
            </w:tcMar>
          </w:tcPr>
          <w:p>
            <w:pPr>
              <w:spacing w:after="40" w:line="245" w:lineRule="auto"/>
            </w:pPr>
            <w:r>
              <w:rPr>
                <w:b/>
                <w:color w:val="FFFFFF"/>
                <w:sz w:val="19"/>
              </w:rPr>
              <w:t>Evaluation that matters</w:t>
            </w:r>
          </w:p>
        </w:tc>
      </w:tr>
      <w:tr>
        <w:trPr>
          <w:cantSplit/>
        </w:trPr>
        <w:tc>
          <w:tcPr>
            <w:tcW w:type="dxa" w:w="2304"/>
            <w:vAlign w:val="center"/>
            <w:shd w:fill="F1F4F6"/>
            <w:tcMar>
              <w:top w:w="90" w:type="dxa"/>
              <w:left w:w="90" w:type="dxa"/>
              <w:bottom w:w="90" w:type="dxa"/>
              <w:right w:w="90" w:type="dxa"/>
            </w:tcMar>
          </w:tcPr>
          <w:p>
            <w:pPr>
              <w:spacing w:after="40" w:line="245" w:lineRule="auto"/>
            </w:pPr>
            <w:r>
              <w:rPr>
                <w:b w:val="0"/>
                <w:color w:val="000000"/>
                <w:sz w:val="19"/>
              </w:rPr>
              <w:t>Acoustic classifier</w:t>
            </w:r>
          </w:p>
        </w:tc>
        <w:tc>
          <w:tcPr>
            <w:tcW w:type="dxa" w:w="7358"/>
            <w:vAlign w:val="center"/>
            <w:shd w:fill="F1F4F6"/>
            <w:tcMar>
              <w:top w:w="90" w:type="dxa"/>
              <w:left w:w="90" w:type="dxa"/>
              <w:bottom w:w="90" w:type="dxa"/>
              <w:right w:w="90" w:type="dxa"/>
            </w:tcMar>
          </w:tcPr>
          <w:p>
            <w:pPr>
              <w:spacing w:after="40" w:line="245" w:lineRule="auto"/>
            </w:pPr>
            <w:r>
              <w:rPr>
                <w:b w:val="0"/>
                <w:color w:val="000000"/>
                <w:sz w:val="19"/>
              </w:rPr>
              <w:t>Per-class precision and recall, macro F1, quality rejection rate, performance on unseen hives and field noise</w:t>
            </w:r>
          </w:p>
        </w:tc>
      </w:tr>
      <w:tr>
        <w:trPr>
          <w:cantSplit/>
        </w:trPr>
        <w:tc>
          <w:tcPr>
            <w:tcW w:type="dxa" w:w="2304"/>
            <w:vAlign w:val="center"/>
            <w:shd w:fill="FFFFFF"/>
            <w:tcMar>
              <w:top w:w="90" w:type="dxa"/>
              <w:left w:w="90" w:type="dxa"/>
              <w:bottom w:w="90" w:type="dxa"/>
              <w:right w:w="90" w:type="dxa"/>
            </w:tcMar>
          </w:tcPr>
          <w:p>
            <w:pPr>
              <w:spacing w:after="40" w:line="245" w:lineRule="auto"/>
            </w:pPr>
            <w:r>
              <w:rPr>
                <w:b w:val="0"/>
                <w:color w:val="000000"/>
                <w:sz w:val="19"/>
              </w:rPr>
              <w:t>Anomaly and risk alerts</w:t>
            </w:r>
          </w:p>
        </w:tc>
        <w:tc>
          <w:tcPr>
            <w:tcW w:type="dxa" w:w="7358"/>
            <w:vAlign w:val="center"/>
            <w:shd w:fill="FFFFFF"/>
            <w:tcMar>
              <w:top w:w="90" w:type="dxa"/>
              <w:left w:w="90" w:type="dxa"/>
              <w:bottom w:w="90" w:type="dxa"/>
              <w:right w:w="90" w:type="dxa"/>
            </w:tcMar>
          </w:tcPr>
          <w:p>
            <w:pPr>
              <w:spacing w:after="40" w:line="245" w:lineRule="auto"/>
            </w:pPr>
            <w:r>
              <w:rPr>
                <w:b w:val="0"/>
                <w:color w:val="000000"/>
                <w:sz w:val="19"/>
              </w:rPr>
              <w:t>False alerts per hive-week, confirmed event recall, time to detection, missed events and inspection workload</w:t>
            </w:r>
          </w:p>
        </w:tc>
      </w:tr>
      <w:tr>
        <w:trPr>
          <w:cantSplit/>
        </w:trPr>
        <w:tc>
          <w:tcPr>
            <w:tcW w:type="dxa" w:w="2304"/>
            <w:vAlign w:val="center"/>
            <w:shd w:fill="F1F4F6"/>
            <w:tcMar>
              <w:top w:w="90" w:type="dxa"/>
              <w:left w:w="90" w:type="dxa"/>
              <w:bottom w:w="90" w:type="dxa"/>
              <w:right w:w="90" w:type="dxa"/>
            </w:tcMar>
          </w:tcPr>
          <w:p>
            <w:pPr>
              <w:spacing w:after="40" w:line="245" w:lineRule="auto"/>
            </w:pPr>
            <w:r>
              <w:rPr>
                <w:b w:val="0"/>
                <w:color w:val="000000"/>
                <w:sz w:val="19"/>
              </w:rPr>
              <w:t>Weight forecast</w:t>
            </w:r>
          </w:p>
        </w:tc>
        <w:tc>
          <w:tcPr>
            <w:tcW w:type="dxa" w:w="7358"/>
            <w:vAlign w:val="center"/>
            <w:shd w:fill="F1F4F6"/>
            <w:tcMar>
              <w:top w:w="90" w:type="dxa"/>
              <w:left w:w="90" w:type="dxa"/>
              <w:bottom w:w="90" w:type="dxa"/>
              <w:right w:w="90" w:type="dxa"/>
            </w:tcMar>
          </w:tcPr>
          <w:p>
            <w:pPr>
              <w:spacing w:after="40" w:line="245" w:lineRule="auto"/>
            </w:pPr>
            <w:r>
              <w:rPr>
                <w:b w:val="0"/>
                <w:color w:val="000000"/>
                <w:sz w:val="19"/>
              </w:rPr>
              <w:t>MAE in kg at each horizon, comparison with simple baselines, interval coverage and error around management events</w:t>
            </w:r>
          </w:p>
        </w:tc>
      </w:tr>
      <w:tr>
        <w:trPr>
          <w:cantSplit/>
        </w:trPr>
        <w:tc>
          <w:tcPr>
            <w:tcW w:type="dxa" w:w="2304"/>
            <w:vAlign w:val="center"/>
            <w:shd w:fill="FFFFFF"/>
            <w:tcMar>
              <w:top w:w="90" w:type="dxa"/>
              <w:left w:w="90" w:type="dxa"/>
              <w:bottom w:w="90" w:type="dxa"/>
              <w:right w:w="90" w:type="dxa"/>
            </w:tcMar>
          </w:tcPr>
          <w:p>
            <w:pPr>
              <w:spacing w:after="40" w:line="245" w:lineRule="auto"/>
            </w:pPr>
            <w:r>
              <w:rPr>
                <w:b w:val="0"/>
                <w:color w:val="000000"/>
                <w:sz w:val="19"/>
              </w:rPr>
              <w:t>Offline operation</w:t>
            </w:r>
          </w:p>
        </w:tc>
        <w:tc>
          <w:tcPr>
            <w:tcW w:type="dxa" w:w="7358"/>
            <w:vAlign w:val="center"/>
            <w:shd w:fill="FFFFFF"/>
            <w:tcMar>
              <w:top w:w="90" w:type="dxa"/>
              <w:left w:w="90" w:type="dxa"/>
              <w:bottom w:w="90" w:type="dxa"/>
              <w:right w:w="90" w:type="dxa"/>
            </w:tcMar>
          </w:tcPr>
          <w:p>
            <w:pPr>
              <w:spacing w:after="40" w:line="245" w:lineRule="auto"/>
            </w:pPr>
            <w:r>
              <w:rPr>
                <w:b w:val="0"/>
                <w:color w:val="000000"/>
                <w:sz w:val="19"/>
              </w:rPr>
              <w:t>Data recovery after outages, duplicate handling, queue capacity, model latency, RAM use and measured battery life</w:t>
            </w:r>
          </w:p>
        </w:tc>
      </w:tr>
    </w:tbl>
    <w:p>
      <w:pPr>
        <w:widowControl/>
      </w:pPr>
    </w:p>
    <w:p>
      <w:pPr>
        <w:widowControl/>
      </w:pPr>
      <w:r>
        <w:t>Agree acceptance thresholds with the pilot team before evaluating. Report the number of hives and independent events, uncertainty and failures. Do not advertise a fixed accuracy target such as 95 percent without the corresponding field evidence.</w:t>
      </w:r>
    </w:p>
    <w:p>
      <w:r>
        <w:br w:type="page"/>
      </w:r>
    </w:p>
    <w:p>
      <w:pPr>
        <w:pStyle w:val="Heading1"/>
      </w:pPr>
      <w:r>
        <w:t>Traceability and optional inspection ideas</w:t>
      </w:r>
    </w:p>
    <w:p>
      <w:pPr>
        <w:pStyle w:val="Heading2"/>
      </w:pPr>
      <w:r>
        <w:t>Keep hive monitoring and honey evidence linked</w:t>
      </w:r>
    </w:p>
    <w:p>
      <w:pPr>
        <w:widowControl/>
      </w:pPr>
      <w:r>
        <w:t>Map each hive to harvest lots, and preserve the many-to-many relationship when honey from several hives is pooled. Assign batch and jar identifiers, record extraction and custody transfers, and attach sample-linked laboratory reports. Sensors support the hive history; they do not prove that the honey in a jar came from that hive.</w:t>
      </w:r>
    </w:p>
    <w:p>
      <w:pPr>
        <w:widowControl/>
      </w:pPr>
      <w:r>
        <w:t>Store detailed telemetry, raw media and private farmer information off-chain. Commit selected signed batch events and evidence hashes after synchronisation. Show pending versus confirmed commitments and both observation time and anchoring time. Device signatures help detect tampering but do not prove a sensor was installed honestly or a sample represented the whole batch.</w:t>
      </w:r>
    </w:p>
    <w:p>
      <w:pPr>
        <w:widowControl/>
      </w:pPr>
      <w:r>
        <w:t>A consumer QR page should show the batch, declared origin, custody history, lab evidence status and last checked recall state. A copied QR can still be attached to a counterfeit jar. Use unique jar serials and tamper-evident seals; duplicate scan patterns can be an investigation signal when online. The prototype does not need an ML model for QR verification.</w:t>
      </w:r>
    </w:p>
    <w:p>
      <w:pPr>
        <w:widowControl/>
      </w:pPr>
      <w:r>
        <w:t>Offline signature verification is possible in a dedicated app with cached trusted keys and a compact signed payload. It verifies the issuer and recorded payload, but cannot establish a fresh recall status or detect every copied label while offline. State the last successful synchronisation clearly.</w:t>
      </w:r>
    </w:p>
    <w:p>
      <w:pPr>
        <w:pStyle w:val="Heading2"/>
      </w:pPr>
      <w:r>
        <w:t>A practical way to use images occasionally</w:t>
      </w:r>
    </w:p>
    <w:p>
      <w:pPr>
        <w:widowControl/>
      </w:pPr>
      <w:r>
        <w:t>Use a cooperative worker or beekeeper phone during routine inspections. Capture a guided close-up only when needed; keep it locally and either run a small model on the phone or queue it for later review. This avoids a camera, radio upload and extra power draw at every hive. Distribute model updates during visits or when connectivity returns.</w:t>
      </w:r>
    </w:p>
    <w:p>
      <w:pPr>
        <w:widowControl/>
      </w:pPr>
      <w:r>
        <w:t>A reusable phone stand, controlled lighting and an inexpensive macro attachment may improve repeatability. A lightweight image classifier could check photo quality or flag visible abnormalities. Mite counting or lesion detection needs close-up labelled images and expert confirmation; it is a separate research project, not a promised capability of ordinary hive photos.</w:t>
      </w:r>
    </w:p>
    <w:p>
      <w:pPr>
        <w:pStyle w:val="Heading2"/>
      </w:pPr>
      <w:r>
        <w:t>Other ideas worth testing</w:t>
      </w:r>
    </w:p>
    <w:p>
      <w:pPr>
        <w:pStyle w:val="ListBullet"/>
        <w:widowControl/>
      </w:pPr>
      <w:r>
        <w:t>A removable debris or mite board can support a standard manual inspection and occasional phone photo. Natural mite fall is an imperfect indicator; interpret it through an expert protocol [5].</w:t>
      </w:r>
    </w:p>
    <w:p>
      <w:pPr>
        <w:pStyle w:val="ListBullet"/>
        <w:widowControl/>
      </w:pPr>
      <w:r>
        <w:t>Two entrance beams can estimate movement direction without images. Crowding, overlapping bees and dirt cause counting errors, so compare with manual counts before treating it as colony population.</w:t>
      </w:r>
    </w:p>
    <w:p>
      <w:pPr>
        <w:pStyle w:val="ListBullet"/>
        <w:widowControl/>
      </w:pPr>
      <w:r>
        <w:t>A few reference hives can record more audio and carry extra sensors. Use their data to improve the simpler nodes; do not assume a reference hive represents every nearby colony.</w:t>
      </w:r>
    </w:p>
    <w:p>
      <w:pPr>
        <w:pStyle w:val="Heading2"/>
      </w:pPr>
      <w:r>
        <w:t>Prototype delivery sequence</w:t>
      </w:r>
    </w:p>
    <w:p>
      <w:pPr>
        <w:widowControl/>
      </w:pPr>
      <w:r>
        <w:t>First deliver reliable sensing and outage recovery. Then add the acoustic baseline and anomaly alerts, followed by the weight forecast. Demonstrate batch evidence and QR status alongside them. Add disease-specific screening only after inspection labels and independent validation exist. The cluster operator should own calibration visits, spare parts, training, consent and alert follow-up.</w:t>
      </w:r>
    </w:p>
    <w:p>
      <w:r>
        <w:br w:type="page"/>
      </w:r>
    </w:p>
    <w:p>
      <w:pPr>
        <w:pStyle w:val="Heading1"/>
      </w:pPr>
      <w:r>
        <w:t>Sources and implementation decisions</w:t>
      </w:r>
    </w:p>
    <w:p>
      <w:pPr>
        <w:widowControl/>
      </w:pPr>
      <w:r>
        <w:t>The references below support the research context and hardware feasibility. Model choices, sampling schedules and the pilot design are engineering recommendations for Honey Chain and require local testing. Sources checked on 20 October 2026.</w:t>
      </w:r>
    </w:p>
    <w:p>
      <w:pPr>
        <w:widowControl/>
      </w:pPr>
      <w:r>
        <w:t xml:space="preserve">[1] Espressif Systems. </w:t>
      </w:r>
      <w:hyperlink r:id="rId10">
        <w:r>
          <w:rPr>
            <w:color w:val="244B68"/>
          </w:rPr>
          <w:t>ESP32 S3 product documentation</w:t>
        </w:r>
      </w:hyperlink>
    </w:p>
    <w:p>
      <w:pPr>
        <w:widowControl/>
      </w:pPr>
      <w:r>
        <w:t>Controller interfaces and local processing capability. Hardware support does not establish a trained model's memory or energy requirements.</w:t>
      </w:r>
    </w:p>
    <w:p>
      <w:pPr>
        <w:widowControl/>
      </w:pPr>
      <w:r>
        <w:t xml:space="preserve">[2] Sensirion. </w:t>
      </w:r>
      <w:hyperlink r:id="rId11">
        <w:r>
          <w:rPr>
            <w:color w:val="244B68"/>
          </w:rPr>
          <w:t>SHT3x DIS datasheet</w:t>
        </w:r>
      </w:hyperlink>
    </w:p>
    <w:p>
      <w:pPr>
        <w:widowControl/>
      </w:pPr>
      <w:r>
        <w:t>Temperature and humidity sensing and interface documentation. Field placement and protection still need evaluation.</w:t>
      </w:r>
    </w:p>
    <w:p>
      <w:pPr>
        <w:widowControl/>
      </w:pPr>
      <w:r>
        <w:t xml:space="preserve">[3] Google AI Edge. </w:t>
      </w:r>
      <w:hyperlink r:id="rId12">
        <w:r>
          <w:rPr>
            <w:color w:val="244B68"/>
          </w:rPr>
          <w:t>LiteRT for Microcontrollers overview</w:t>
        </w:r>
      </w:hyperlink>
    </w:p>
    <w:p>
      <w:pPr>
        <w:widowControl/>
      </w:pPr>
      <w:r>
        <w:t>Embedded model inference and runtime limitations. Validate supported operators and memory on the selected board.</w:t>
      </w:r>
    </w:p>
    <w:p>
      <w:pPr>
        <w:widowControl/>
      </w:pPr>
      <w:r>
        <w:t xml:space="preserve">[4] Abdollahi and colleagues 2025. </w:t>
      </w:r>
      <w:hyperlink r:id="rId13">
        <w:r>
          <w:rPr>
            <w:color w:val="244B68"/>
          </w:rPr>
          <w:t>UrBAN Urban Beehive Acoustics and PheNotyping Dataset</w:t>
        </w:r>
      </w:hyperlink>
    </w:p>
    <w:p>
      <w:pPr>
        <w:widowControl/>
      </w:pPr>
      <w:r>
        <w:t>Primary dataset description with audio, environmental sensing and inspection records. Local generalisation and the availability of each label must be checked.</w:t>
      </w:r>
    </w:p>
    <w:p>
      <w:pPr>
        <w:widowControl/>
      </w:pPr>
      <w:r>
        <w:t xml:space="preserve">[5] World Organisation for Animal Health. </w:t>
      </w:r>
      <w:hyperlink r:id="rId14">
        <w:r>
          <w:rPr>
            <w:color w:val="244B68"/>
          </w:rPr>
          <w:t>Terrestrial Manual chapter on Varroosis</w:t>
        </w:r>
      </w:hyperlink>
    </w:p>
    <w:p>
      <w:pPr>
        <w:widowControl/>
      </w:pPr>
      <w:r>
        <w:t>Diagnostic methods and the limitations of different sampling approaches. This is not a prescription for automated treatment.</w:t>
      </w:r>
    </w:p>
    <w:p>
      <w:pPr>
        <w:widowControl/>
      </w:pPr>
      <w:r>
        <w:t xml:space="preserve">[6] Brini Giovannini and Smaniotto. </w:t>
      </w:r>
      <w:hyperlink r:id="rId15">
        <w:r>
          <w:rPr>
            <w:color w:val="244B68"/>
          </w:rPr>
          <w:t>A Machine Learning Approach to Forecasting Honey Production with Tree Based Methods</w:t>
        </w:r>
      </w:hyperlink>
    </w:p>
    <w:p>
      <w:pPr>
        <w:widowControl/>
      </w:pPr>
      <w:r>
        <w:t>Primary research preprint, revised 2025. Evaluates production forecasting with hive and weather data in Italy; it does not validate the proposed Indian pilot.</w:t>
      </w:r>
    </w:p>
    <w:p>
      <w:pPr>
        <w:widowControl/>
      </w:pPr>
      <w:r>
        <w:t xml:space="preserve">[7] Semtech. </w:t>
      </w:r>
      <w:hyperlink r:id="rId16">
        <w:r>
          <w:rPr>
            <w:color w:val="244B68"/>
          </w:rPr>
          <w:t>SX1262 LoRa transceiver documentation</w:t>
        </w:r>
      </w:hyperlink>
    </w:p>
    <w:p>
      <w:pPr>
        <w:widowControl/>
      </w:pPr>
      <w:r>
        <w:t>Optional separate long-range radio. A functioning cluster link still requires suitable hardware, a collector, protocol design and site testing.</w:t>
      </w:r>
    </w:p>
    <w:p>
      <w:pPr>
        <w:pStyle w:val="Heading2"/>
      </w:pPr>
      <w:r>
        <w:t>Decisions to lock before buying the pilot kit</w:t>
      </w:r>
    </w:p>
    <w:p>
      <w:pPr>
        <w:widowControl/>
      </w:pPr>
      <w:r>
        <w:t>Confirm the bee species and hive design, inspection partner, availability of labelled events, expected duration without visits, radio coverage and who maintains the scales. Price the complete installation including weather protection, platform fabrication, battery, replacement parts and shared gateway. A cheaper sensor module can still produce a more expensive installation if it requires frequent maintenance.</w:t>
      </w:r>
    </w:p>
    <w:p>
      <w:pPr>
        <w:widowControl/>
      </w:pPr>
      <w:r>
        <w:t>Recommended first kit: ESP32 S3, digital microphone, internal temperature and humidity, a calibrated scale where forecasting is required, local storage, and BLE collection. Add shared weather sensing and LoRa only where cluster layout justifies them. Use phone-assisted inspections as the first optional imaging path.</w:t>
      </w:r>
    </w:p>
    <w:sectPr w:rsidR="00FC693F" w:rsidRPr="0006063C" w:rsidSect="00034616">
      <w:footerReference w:type="default" r:id="rId9"/>
      <w:pgSz w:w="11909" w:h="16834"/>
      <w:pgMar w:top="1037" w:right="1123" w:bottom="965"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Honey Chain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espressif.com/en/products/socs/esp32-s3" TargetMode="External"/><Relationship Id="rId11" Type="http://schemas.openxmlformats.org/officeDocument/2006/relationships/hyperlink" Target="https://sensirion.com/media/documents/213E6A3B/63A5A569/Datasheet_SHT3x_DIS.pdf" TargetMode="External"/><Relationship Id="rId12" Type="http://schemas.openxmlformats.org/officeDocument/2006/relationships/hyperlink" Target="https://developers.google.com/edge/litert/microcontrollers/overview" TargetMode="External"/><Relationship Id="rId13" Type="http://schemas.openxmlformats.org/officeDocument/2006/relationships/hyperlink" Target="https://www.nature.com/articles/s41597-025-04869-1.pdf" TargetMode="External"/><Relationship Id="rId14" Type="http://schemas.openxmlformats.org/officeDocument/2006/relationships/hyperlink" Target="https://www.woah.org/fileadmin/Home/eng/Health_standards/tahm/3.02.07_VARROOSIS.pdf" TargetMode="External"/><Relationship Id="rId15" Type="http://schemas.openxmlformats.org/officeDocument/2006/relationships/hyperlink" Target="https://arxiv.org/abs/2304.01215" TargetMode="External"/><Relationship Id="rId16" Type="http://schemas.openxmlformats.org/officeDocument/2006/relationships/hyperlink" Target="https://www.semtech.com/products/wireless-rf/lora-connect/sx12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Honey Chain Machine Learning and IoT Plan</dc:title>
  <dc:subject>Camera free smart beekeeping and offline deployment</dc:subject>
  <dc:creator>Honey Chain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