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2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2a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2b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2c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Item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First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Second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Second-Sub-1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Second-Sub-2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Second-Sub-3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Third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Fourth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