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color w:val="6B7280"/>
          <w:sz w:val="24"/>
          <w:szCs w:val="24"/>
        </w:rPr>
        <w:t xml:space="preserve">DecodeLabs — Data Analytics Internship</w:t>
      </w:r>
    </w:p>
    <w:p>
      <w:pPr>
        <w:spacing w:after="100" w:before="200"/>
        <w:jc w:val="center"/>
      </w:pPr>
      <w:r>
        <w:rPr>
          <w:b/>
          <w:bCs/>
          <w:color w:val="2E5339"/>
          <w:sz w:val="40"/>
          <w:szCs w:val="40"/>
        </w:rPr>
        <w:t xml:space="preserve">Project 2: Exploratory Data Analysis (EDA)</w:t>
      </w:r>
    </w:p>
    <w:p>
      <w:pPr>
        <w:spacing w:after="300"/>
        <w:jc w:val="center"/>
      </w:pPr>
      <w:r>
        <w:rPr>
          <w:i/>
          <w:iCs/>
          <w:color w:val="374151"/>
          <w:sz w:val="24"/>
          <w:szCs w:val="24"/>
        </w:rPr>
        <w:t xml:space="preserve">E-Commerce Order Dataset — Diagnostic Report</w:t>
      </w:r>
    </w:p>
    <w:p>
      <w:pPr>
        <w:jc w:val="center"/>
      </w:pPr>
      <w:r>
        <w:rPr>
          <w:color w:val="6B7280"/>
          <w:sz w:val="20"/>
          <w:szCs w:val="20"/>
        </w:rPr>
        <w:t xml:space="preserve">1,200 orders  |  Jan 2023 – Jun 2025  |  14 fields, fully cleaned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40"/>
      </w:pPr>
      <w:r>
        <w:t xml:space="preserve">DecodeLabs' e-commerce order data was cleaned in Project 1. This report performs the discovery phase: exploring the cleaned dataset to surface patterns, trends and outliers before any dashboarding or predictive modeling is attempted.</w:t>
      </w:r>
    </w:p>
    <w:p>
      <w:pPr>
        <w:spacing w:after="140"/>
      </w:pPr>
      <w:r>
        <w:t xml:space="preserve">Core question: What is actually happening in our order pipeline — where is revenue concentrated, where is it leaking, and which relationships in the data are worth acting on?</w:t>
      </w:r>
    </w:p>
    <w:p>
      <w:pPr>
        <w:pStyle w:val="Heading1"/>
        <w:spacing w:after="150" w:before="300"/>
      </w:pPr>
      <w:r>
        <w:t xml:space="preserve">2. Methodology</w:t>
      </w:r>
    </w:p>
    <w:p>
      <w:pPr>
        <w:spacing w:after="140"/>
      </w:pPr>
      <w:r>
        <w:t xml:space="preserve">Dataset: Cleaned_Dataset_Project1_dl.xlsx, sheet 'Cleaned_Data' — 1,200 rows × 14 columns, zero missing values (confirmed against the Project 1 Data Quality Audit sheet).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Descriptive statistics (mean, median, std, min/max) for all numeric fields.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Categorical frequency breakdowns for Product, Payment Method, Order Status, Coupon Code and Referral Source.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Outlier detection using the IQR method (Q1 − 1.5×IQR, Q3 + 1.5×IQR) on all numeric columns.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Pearson correlation analysis across Quantity, Unit Price, Items in Cart and Total Price.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Time-series aggregation of revenue by month to detect seasonality or trend.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cuts by Product, Order Status, Payment Method, Coupon Code and Referral Source to connect statistics to business impact.</w:t>
      </w:r>
    </w:p>
    <w:p>
      <w:pPr>
        <w:pStyle w:val="Heading1"/>
        <w:spacing w:after="150" w:before="300"/>
      </w:pPr>
      <w:r>
        <w:t xml:space="preserve">3. Dataset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339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000"/>
            <w:shd w:fill="2E5339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000"/>
            <w:shd w:fill="2E5339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OrderID / TrackingNumber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Text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Unique per order — identifiers only</w:t>
            </w:r>
          </w:p>
        </w:tc>
      </w:tr>
      <w:tr>
        <w:tc>
          <w:tcPr>
            <w:tcW w:type="dxa" w:w="3000"/>
            <w:shd w:fill="EAF2EC" w:val="clear"/>
          </w:tcPr>
          <w:p>
            <w:r>
              <w:t xml:space="preserve">Date</w:t>
            </w:r>
          </w:p>
        </w:tc>
        <w:tc>
          <w:tcPr>
            <w:tcW w:type="dxa" w:w="3000"/>
            <w:shd w:fill="EAF2EC" w:val="clear"/>
          </w:tcPr>
          <w:p>
            <w:r>
              <w:t xml:space="preserve">Date</w:t>
            </w:r>
          </w:p>
        </w:tc>
        <w:tc>
          <w:tcPr>
            <w:tcW w:type="dxa" w:w="3000"/>
            <w:shd w:fill="EAF2EC" w:val="clear"/>
          </w:tcPr>
          <w:p>
            <w:r>
              <w:t xml:space="preserve">Jan 4, 2023 – Jun 30, 2025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CustomerID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Text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1,189 unique customers across 1,200 orders</w:t>
            </w:r>
          </w:p>
        </w:tc>
      </w:tr>
      <w:tr>
        <w:tc>
          <w:tcPr>
            <w:tcW w:type="dxa" w:w="3000"/>
            <w:shd w:fill="EAF2EC" w:val="clear"/>
          </w:tcPr>
          <w:p>
            <w:r>
              <w:t xml:space="preserve">Product</w:t>
            </w:r>
          </w:p>
        </w:tc>
        <w:tc>
          <w:tcPr>
            <w:tcW w:type="dxa" w:w="3000"/>
            <w:shd w:fill="EAF2EC" w:val="clear"/>
          </w:tcPr>
          <w:p>
            <w:r>
              <w:t xml:space="preserve">Category</w:t>
            </w:r>
          </w:p>
        </w:tc>
        <w:tc>
          <w:tcPr>
            <w:tcW w:type="dxa" w:w="3000"/>
            <w:shd w:fill="EAF2EC" w:val="clear"/>
          </w:tcPr>
          <w:p>
            <w:r>
              <w:t xml:space="preserve">7 products: Printer, Tablet, Chair, Laptop, Desk, Monitor, Phone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Quantity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Numeric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1–5 units per order</w:t>
            </w:r>
          </w:p>
        </w:tc>
      </w:tr>
      <w:tr>
        <w:tc>
          <w:tcPr>
            <w:tcW w:type="dxa" w:w="3000"/>
            <w:shd w:fill="EAF2EC" w:val="clear"/>
          </w:tcPr>
          <w:p>
            <w:r>
              <w:t xml:space="preserve">UnitPrice</w:t>
            </w:r>
          </w:p>
        </w:tc>
        <w:tc>
          <w:tcPr>
            <w:tcW w:type="dxa" w:w="3000"/>
            <w:shd w:fill="EAF2EC" w:val="clear"/>
          </w:tcPr>
          <w:p>
            <w:r>
              <w:t xml:space="preserve">Numeric</w:t>
            </w:r>
          </w:p>
        </w:tc>
        <w:tc>
          <w:tcPr>
            <w:tcW w:type="dxa" w:w="3000"/>
            <w:shd w:fill="EAF2EC" w:val="clear"/>
          </w:tcPr>
          <w:p>
            <w:r>
              <w:t xml:space="preserve">$11.39 – $699.93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ItemsInCart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Numeric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1–10 items</w:t>
            </w:r>
          </w:p>
        </w:tc>
      </w:tr>
      <w:tr>
        <w:tc>
          <w:tcPr>
            <w:tcW w:type="dxa" w:w="3000"/>
            <w:shd w:fill="EAF2EC" w:val="clear"/>
          </w:tcPr>
          <w:p>
            <w:r>
              <w:t xml:space="preserve">PaymentMethod</w:t>
            </w:r>
          </w:p>
        </w:tc>
        <w:tc>
          <w:tcPr>
            <w:tcW w:type="dxa" w:w="3000"/>
            <w:shd w:fill="EAF2EC" w:val="clear"/>
          </w:tcPr>
          <w:p>
            <w:r>
              <w:t xml:space="preserve">Category</w:t>
            </w:r>
          </w:p>
        </w:tc>
        <w:tc>
          <w:tcPr>
            <w:tcW w:type="dxa" w:w="3000"/>
            <w:shd w:fill="EAF2EC" w:val="clear"/>
          </w:tcPr>
          <w:p>
            <w:r>
              <w:t xml:space="preserve">5 methods, evenly split (~230–258 orders each)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OrderStatus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Category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5 statuses: Delivered, Shipped, Pending, Cancelled, Returned</w:t>
            </w:r>
          </w:p>
        </w:tc>
      </w:tr>
      <w:tr>
        <w:tc>
          <w:tcPr>
            <w:tcW w:type="dxa" w:w="3000"/>
            <w:shd w:fill="EAF2EC" w:val="clear"/>
          </w:tcPr>
          <w:p>
            <w:r>
              <w:t xml:space="preserve">CouponCode</w:t>
            </w:r>
          </w:p>
        </w:tc>
        <w:tc>
          <w:tcPr>
            <w:tcW w:type="dxa" w:w="3000"/>
            <w:shd w:fill="EAF2EC" w:val="clear"/>
          </w:tcPr>
          <w:p>
            <w:r>
              <w:t xml:space="preserve">Category</w:t>
            </w:r>
          </w:p>
        </w:tc>
        <w:tc>
          <w:tcPr>
            <w:tcW w:type="dxa" w:w="3000"/>
            <w:shd w:fill="EAF2EC" w:val="clear"/>
          </w:tcPr>
          <w:p>
            <w:r>
              <w:t xml:space="preserve">FREESHIP, SAVE10, WINTER15, No Coupon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ReferralSource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Category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Instagram, Email, Google, Facebook, Referral</w:t>
            </w:r>
          </w:p>
        </w:tc>
      </w:tr>
      <w:tr>
        <w:tc>
          <w:tcPr>
            <w:tcW w:type="dxa" w:w="3000"/>
            <w:shd w:fill="EAF2EC" w:val="clear"/>
          </w:tcPr>
          <w:p>
            <w:r>
              <w:t xml:space="preserve">TotalPrice</w:t>
            </w:r>
          </w:p>
        </w:tc>
        <w:tc>
          <w:tcPr>
            <w:tcW w:type="dxa" w:w="3000"/>
            <w:shd w:fill="EAF2EC" w:val="clear"/>
          </w:tcPr>
          <w:p>
            <w:r>
              <w:t xml:space="preserve">Numeric</w:t>
            </w:r>
          </w:p>
        </w:tc>
        <w:tc>
          <w:tcPr>
            <w:tcW w:type="dxa" w:w="3000"/>
            <w:shd w:fill="EAF2EC" w:val="clear"/>
          </w:tcPr>
          <w:p>
            <w:r>
              <w:t xml:space="preserve">$11.39 – $3,456.40 (Quantity × UnitPrice)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Univariate Analysis — Central Tendency &amp; Spread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2E5339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800"/>
            <w:shd w:fill="2E5339" w:val="clear"/>
          </w:tcPr>
          <w:p>
            <w:r>
              <w:rPr>
                <w:b/>
                <w:bCs/>
                <w:color w:val="FFFFFF"/>
              </w:rPr>
              <w:t xml:space="preserve">Quantity</w:t>
            </w:r>
          </w:p>
        </w:tc>
        <w:tc>
          <w:tcPr>
            <w:tcW w:type="dxa" w:w="1800"/>
            <w:shd w:fill="2E5339" w:val="clear"/>
          </w:tcPr>
          <w:p>
            <w:r>
              <w:rPr>
                <w:b/>
                <w:bCs/>
                <w:color w:val="FFFFFF"/>
              </w:rPr>
              <w:t xml:space="preserve">Unit Price ($)</w:t>
            </w:r>
          </w:p>
        </w:tc>
        <w:tc>
          <w:tcPr>
            <w:tcW w:type="dxa" w:w="1800"/>
            <w:shd w:fill="2E5339" w:val="clear"/>
          </w:tcPr>
          <w:p>
            <w:r>
              <w:rPr>
                <w:b/>
                <w:bCs/>
                <w:color w:val="FFFFFF"/>
              </w:rPr>
              <w:t xml:space="preserve">Items in Cart</w:t>
            </w:r>
          </w:p>
        </w:tc>
        <w:tc>
          <w:tcPr>
            <w:tcW w:type="dxa" w:w="1800"/>
            <w:shd w:fill="2E5339" w:val="clear"/>
          </w:tcPr>
          <w:p>
            <w:r>
              <w:rPr>
                <w:b/>
                <w:bCs/>
                <w:color w:val="FFFFFF"/>
              </w:rPr>
              <w:t xml:space="preserve">Total Price ($)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t xml:space="preserve">Mean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2.95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356.41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5.49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1,053.97</w:t>
            </w:r>
          </w:p>
        </w:tc>
      </w:tr>
      <w:tr>
        <w:tc>
          <w:tcPr>
            <w:tcW w:type="dxa" w:w="1800"/>
            <w:shd w:fill="EAF2EC" w:val="clear"/>
          </w:tcPr>
          <w:p>
            <w:r>
              <w:t xml:space="preserve">Median</w:t>
            </w:r>
          </w:p>
        </w:tc>
        <w:tc>
          <w:tcPr>
            <w:tcW w:type="dxa" w:w="1800"/>
            <w:shd w:fill="EAF2EC" w:val="clear"/>
          </w:tcPr>
          <w:p>
            <w:r>
              <w:t xml:space="preserve">3.00</w:t>
            </w:r>
          </w:p>
        </w:tc>
        <w:tc>
          <w:tcPr>
            <w:tcW w:type="dxa" w:w="1800"/>
            <w:shd w:fill="EAF2EC" w:val="clear"/>
          </w:tcPr>
          <w:p>
            <w:r>
              <w:t xml:space="preserve">364.21</w:t>
            </w:r>
          </w:p>
        </w:tc>
        <w:tc>
          <w:tcPr>
            <w:tcW w:type="dxa" w:w="1800"/>
            <w:shd w:fill="EAF2EC" w:val="clear"/>
          </w:tcPr>
          <w:p>
            <w:r>
              <w:t xml:space="preserve">5.00</w:t>
            </w:r>
          </w:p>
        </w:tc>
        <w:tc>
          <w:tcPr>
            <w:tcW w:type="dxa" w:w="1800"/>
            <w:shd w:fill="EAF2EC" w:val="clear"/>
          </w:tcPr>
          <w:p>
            <w:r>
              <w:t xml:space="preserve">823.62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t xml:space="preserve">Std Dev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1.41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197.18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2.28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819.86</w:t>
            </w:r>
          </w:p>
        </w:tc>
      </w:tr>
      <w:tr>
        <w:tc>
          <w:tcPr>
            <w:tcW w:type="dxa" w:w="1800"/>
            <w:shd w:fill="EAF2EC" w:val="clear"/>
          </w:tcPr>
          <w:p>
            <w:r>
              <w:t xml:space="preserve">Min</w:t>
            </w:r>
          </w:p>
        </w:tc>
        <w:tc>
          <w:tcPr>
            <w:tcW w:type="dxa" w:w="1800"/>
            <w:shd w:fill="EAF2EC" w:val="clear"/>
          </w:tcPr>
          <w:p>
            <w:r>
              <w:t xml:space="preserve">1</w:t>
            </w:r>
          </w:p>
        </w:tc>
        <w:tc>
          <w:tcPr>
            <w:tcW w:type="dxa" w:w="1800"/>
            <w:shd w:fill="EAF2EC" w:val="clear"/>
          </w:tcPr>
          <w:p>
            <w:r>
              <w:t xml:space="preserve">11.39</w:t>
            </w:r>
          </w:p>
        </w:tc>
        <w:tc>
          <w:tcPr>
            <w:tcW w:type="dxa" w:w="1800"/>
            <w:shd w:fill="EAF2EC" w:val="clear"/>
          </w:tcPr>
          <w:p>
            <w:r>
              <w:t xml:space="preserve">1</w:t>
            </w:r>
          </w:p>
        </w:tc>
        <w:tc>
          <w:tcPr>
            <w:tcW w:type="dxa" w:w="1800"/>
            <w:shd w:fill="EAF2EC" w:val="clear"/>
          </w:tcPr>
          <w:p>
            <w:r>
              <w:t xml:space="preserve">11.39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t xml:space="preserve">Max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5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699.93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3,456.40</w:t>
            </w:r>
          </w:p>
        </w:tc>
      </w:tr>
    </w:tbl>
    <w:p>
      <w:pPr>
        <w:spacing w:after="150"/>
      </w:pPr>
    </w:p>
    <w:p>
      <w:pPr>
        <w:spacing w:after="140"/>
      </w:pPr>
      <w:r>
        <w:t xml:space="preserve">Total Price has mean ($1,053.97) noticeably above its median ($823.62) — a classic right-skew signature. A handful of high-value orders (large quantity × high unit price) pull the average upward, so the median is the more honest "typical order value" for this business.</w:t>
      </w:r>
    </w:p>
    <w:p>
      <w:pPr>
        <w:spacing w:after="200"/>
        <w:jc w:val="center"/>
      </w:pPr>
      <w:r>
        <w:drawing>
          <wp:inline distT="0" distB="0" distL="0" distR="0">
            <wp:extent cx="4953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sz w:val="20"/>
          <w:szCs w:val="20"/>
        </w:rPr>
        <w:t xml:space="preserve">The histogram confirms the right skew directly: most orders cluster under $1,000, with a long tail of larger transactions stretching to ~$3,450.</w:t>
      </w:r>
    </w:p>
    <w:p>
      <w:pPr>
        <w:pStyle w:val="Heading1"/>
        <w:spacing w:after="150" w:before="300"/>
      </w:pPr>
      <w:r>
        <w:t xml:space="preserve">5. Outlier Detection</w:t>
      </w:r>
    </w:p>
    <w:p>
      <w:pPr>
        <w:spacing w:after="20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Applying the IQR rule (flagging values beyond Q3 + 1.5×IQR = $1,024.83 for Total Price) surfaces 8 orders above $3,330 — all of them orders for 5 units (the maximum allowed quantity) of a higher-priced item. None show data-entry irregularities (odd decimals, mismatched math, etc.).</w:t>
      </w:r>
    </w:p>
    <w:p>
      <w:pPr>
        <w:spacing w:after="140"/>
      </w:pPr>
      <w:r>
        <w:t xml:space="preserve">Diagnosis: these are signal, not noise. They represent legitimate bulk purchases rather than cleaning errors, and are spread across Printers, Laptops, Tablets, Chairs and Monitors — not concentrated in one product, payment method or referral source. No further cleaning action is required; they're worth flagging to the business as a natural "large order" segment rather than removing them.</w:t>
      </w:r>
    </w:p>
    <w:p>
      <w:pPr>
        <w:pStyle w:val="Heading1"/>
        <w:spacing w:after="150" w:before="300"/>
      </w:pPr>
      <w:r>
        <w:t xml:space="preserve">6. Correlation Analysis</w:t>
      </w:r>
    </w:p>
    <w:p>
      <w:pPr>
        <w:spacing w:after="200"/>
        <w:jc w:val="center"/>
      </w:pPr>
      <w:r>
        <w:drawing>
          <wp:inline distT="0" distB="0" distL="0" distR="0">
            <wp:extent cx="3619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 Price ↔ Total Price: r = 0.72 — the strongest driver of order value, as expected.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Quantity ↔ Total Price: r = 0.62 — quantity matters, but less than price per unit.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Quantity ↔ Items in Cart: r = 0.65 — customers who order more units also tend to have larger, fuller carts.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 Price ↔ Quantity: r ≈ 0.01 (no relationship) — customers do not systematically buy more units of cheaper items or vice versa.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Reminder: correlation is a clue, not a verdict. These relationships describe the data as recorded; they don't establish that raising unit prices would proportionally raise revenue, since other factors (demand elasticity, product mix) aren't captured here.</w:t>
      </w:r>
    </w:p>
    <w:p>
      <w:pPr>
        <w:pStyle w:val="Heading1"/>
        <w:spacing w:after="150" w:before="300"/>
      </w:pPr>
      <w:r>
        <w:t xml:space="preserve">7. Trend Analysis — Revenue Over Time</w:t>
      </w:r>
    </w:p>
    <w:p>
      <w:pPr>
        <w:spacing w:after="20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Monthly revenue fluctuates between roughly $27,700 and $68,100 with no strong sustained upward or downward trend across the 30-month window — it reads as noisy but stationary rather than growing or declining. Notable peaks appear in May 2023 ($63,800) and June 2024 ($68,100); the softest months are April 2024 and January/May 2025 (all under $32,000). This is worth flagging for a follow-up seasonality study, since no obvious calendar pattern (e.g. consistent Q4 spike) repeats cleanly year-over-year in this sample.</w:t>
      </w:r>
    </w:p>
    <w:p>
      <w:pPr>
        <w:pStyle w:val="Heading1"/>
        <w:spacing w:after="150" w:before="300"/>
      </w:pPr>
      <w:r>
        <w:t xml:space="preserve">8. Business Breakdowns</w:t>
      </w:r>
    </w:p>
    <w:p>
      <w:pPr>
        <w:pStyle w:val="Heading2"/>
        <w:spacing w:after="120" w:before="240"/>
      </w:pPr>
      <w:r>
        <w:t xml:space="preserve">8.1 Revenue by Product</w:t>
      </w:r>
    </w:p>
    <w:p>
      <w:pPr>
        <w:spacing w:after="200"/>
        <w:jc w:val="center"/>
      </w:pPr>
      <w:r>
        <w:drawing>
          <wp:inline distT="0" distB="0" distL="0" distR="0">
            <wp:extent cx="4572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Revenue is close to evenly split across the 7 products (Chair and Printer lead at ~$195,600 each; Phone trails at ~$151,700), but Phone actually has the highest average unit price ($375). Its lower total revenue comes from having the fewest orders (156, the lowest of any product) — a volume gap rather than a pricing one.</w:t>
      </w:r>
    </w:p>
    <w:p>
      <w:pPr>
        <w:pStyle w:val="Heading2"/>
        <w:spacing w:after="120" w:before="240"/>
      </w:pPr>
      <w:r>
        <w:t xml:space="preserve">8.2 Revenue at Risk — Order Status</w:t>
      </w:r>
    </w:p>
    <w:p>
      <w:pPr>
        <w:spacing w:after="200"/>
        <w:jc w:val="center"/>
      </w:pPr>
      <w:r>
        <w:drawing>
          <wp:inline distT="0" distB="0" distL="0" distR="0">
            <wp:extent cx="4572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This is the most actionable finding in the dataset: Cancelled and Returned orders together account for $519,674 of the $1,264,762 total recorded revenue — 41.1%. Cancelled orders alone ($276,396, 250 orders) are the single largest status group, larger than Delivered. Nearly two in five recorded dollars never convert into fulfilled revenue.</w:t>
      </w:r>
    </w:p>
    <w:p>
      <w:pPr>
        <w:pStyle w:val="Heading2"/>
        <w:spacing w:after="120" w:before="240"/>
      </w:pPr>
      <w:r>
        <w:t xml:space="preserve">8.3 Payment Method, Coupons &amp; Referral Source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methods are evenly used (Online 258 orders, Cash 246, Credit Card 234, Debit Card 232, Gift Card 230) with no method standing out on revenue share — average order value ranges narrowly from $1,002 (Debit Card) to $1,128 (Credit Card).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Coupon usage: orders with no coupon actually carry a similar average value (~$1,043) to discounted orders — coupons in this dataset don't show a clear trade-down effect on order size.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Referral sources are balanced (Instagram 259, Email 250, Google 241, Facebook 228, Referral 222), with Instagram contributing the most total revenue ($275,285) mainly through order volume rather than a higher average order value.</w:t>
      </w:r>
    </w:p>
    <w:p>
      <w:pPr>
        <w:pStyle w:val="Heading1"/>
        <w:spacing w:after="150" w:before="300"/>
      </w:pPr>
      <w:r>
        <w:t xml:space="preserve">9. Executive Summary</w:t>
      </w:r>
    </w:p>
    <w:p>
      <w:pPr>
        <w:pStyle w:val="Heading2"/>
        <w:spacing w:after="120" w:before="24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values are right-skewed — use the median ($823.62), not the mean ($1,053.97), as the "typical order" benchmark.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 high-value orders (&gt;$3,330) are legitimate large purchases, not data errors — a natural bulk-order segment.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 Price is the strongest driver of Total Price (r = 0.72); Quantity is the second strongest (r = 0.62).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Monthly revenue is noisy but roughly stable over 2.5 years — no clear long-term growth or decline.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C44E52"/>
        </w:rPr>
        <w:t xml:space="preserve">41.1% of all recorded revenue sits in Cancelled or Returned orders — the largest single opportunity in this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Product, payment method and referral source revenue are all fairly evenly distributed — no single channel dominates.</w:t>
      </w:r>
    </w:p>
    <w:p>
      <w:pPr>
        <w:pStyle w:val="Heading2"/>
        <w:spacing w:after="120" w:before="24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why Cancelled is the single largest order-status group — this is the highest-leverage question raised by this analysis and merits a root-cause follow-up (e.g., by product, payment method or shipping region).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order value using the median going forward to avoid the mean being inflated by the bulk-order tail.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Treat the 8 large orders as a segment to study, not clean away — e.g., are these repeat customers who could be targeted for a wholesale/bulk program?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a dedicated seasonality study (year-over-year, same-month comparison) before assuming any month-to-month swing is meaningful.</w:t>
      </w:r>
    </w:p>
    <w:p>
      <w:pPr>
        <w:spacing w:before="300"/>
      </w:pPr>
      <w:r>
        <w:rPr>
          <w:i/>
          <w:iCs/>
          <w:color w:val="6B7280"/>
          <w:sz w:val="18"/>
          <w:szCs w:val="18"/>
        </w:rPr>
        <w:t xml:space="preserve">Prepared as part of the DecodeLabs Data Analytics Internship — Project 2 (EDA).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4295506ef9ae2a9572dcbc2f1cc9b84d9fcbf5.png"/><Relationship Id="rId8" Type="http://schemas.openxmlformats.org/officeDocument/2006/relationships/image" Target="media/de42bee340bc057af04909acab9ce65ae4f91105.png"/><Relationship Id="rId9" Type="http://schemas.openxmlformats.org/officeDocument/2006/relationships/image" Target="media/e3e65cc4dd1370f4c2c28d2f8e1a99b28bbed358.png"/><Relationship Id="rId10" Type="http://schemas.openxmlformats.org/officeDocument/2006/relationships/image" Target="media/3bec835bf8fef0d405878b106390a3732c410a9a.png"/><Relationship Id="rId11" Type="http://schemas.openxmlformats.org/officeDocument/2006/relationships/image" Target="media/571ed66e98cab4d431d027e805afa764bda9313c.png"/><Relationship Id="rId12" Type="http://schemas.openxmlformats.org/officeDocument/2006/relationships/image" Target="media/381919b8234f29ee310fe03852d1a603950e3ee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2026-07-10T14:10:16.370Z</dcterms:created>
  <dcterms:modified xsi:type="dcterms:W3CDTF">2026-07-10T14:10:16.380Z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