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Alan Lawrence Aarons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Raleigh, NC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MD at Allergy Partners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Colorado School of Medicine/National Jewish Health (Adult)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Allergy and Immunology, 1991 - 1993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North Carolina Hospitals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Internal Medicine, 1988 - 1991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Maryland School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1988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NC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1993 - 2026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Awards, Honors, &amp; Recognition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CMS Meaningful Use Stage 1 Certification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IMS, MedPharm Services LLC, 2013-2014, 2016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CMS Meaningful Use Stage 2 Certification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IMS, MedPharm Services LLC, 2013-2014, 2016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CMS Meaningful Use Stage 2 Certification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IMS, MedPharm Services LLC, 2013-2014, 2016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Publications &amp; Presentations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141414"/>
          <w:sz w:val="24"/>
        </w:rPr>
        <w:t>PubMed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Interleukin-10 regulation in normal subjects and patients with asthma.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Larry Borish, Alan Aarons, Jeffrey S Rumbyrt, Peter J. Cvietusa, Julie Negri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The Journal of Allergy and Clinical Immunology. 1996-06-01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An antibody that blocks insulin-like growth factor (IGF) binding to the type IIIGF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receptor is neither an agonist nor an inhibitor of IGF-stimulated biologic response...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Wieland Kiess, J.F. Haskell, L Lee, L A Greenstein, B E Miller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The Journal of Biological Chemistry. 1987-09-15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Professional Memberships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Academy of Allergy Asthma and Immunology - AAAAI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