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120"/>
        <w:jc w:val="center"/>
      </w:pPr>
      <w:r>
        <w:rPr>
          <w:rFonts w:ascii="Arial" w:cs="Arial" w:eastAsia="Arial" w:hAnsi="Arial"/>
          <w:b/>
          <w:bCs/>
          <w:color w:val="1F4E79"/>
          <w:sz w:val="36"/>
          <w:szCs w:val="36"/>
        </w:rPr>
        <w:t xml:space="preserve">BUSINESS REQUIREMENTS DOCUMENT</w:t>
      </w:r>
    </w:p>
    <w:p>
      <w:pPr>
        <w:spacing w:before="0" w:after="80"/>
        <w:jc w:val="center"/>
      </w:pPr>
      <w:r>
        <w:rPr>
          <w:rFonts w:ascii="Arial" w:cs="Arial" w:eastAsia="Arial" w:hAnsi="Arial"/>
          <w:b/>
          <w:bCs/>
          <w:color w:val="2E75B6"/>
          <w:sz w:val="28"/>
          <w:szCs w:val="28"/>
        </w:rPr>
        <w:t xml:space="preserve">SQL-Based Financial Reconciliation System</w:t>
      </w:r>
    </w:p>
    <w:p>
      <w:pPr>
        <w:spacing w:before="0" w:after="400"/>
        <w:jc w:val="center"/>
      </w:pPr>
      <w:r>
        <w:rPr>
          <w:rFonts w:ascii="Arial" w:cs="Arial" w:eastAsia="Arial" w:hAnsi="Arial"/>
          <w:color w:val="666666"/>
          <w:sz w:val="20"/>
          <w:szCs w:val="20"/>
        </w:rPr>
        <w:t xml:space="preserve">Version 1.0  |  Prepared by: Yash Sonawane  |  Date: March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rPr>
          <w:tblHeader/>
        </w:trPr>
        <w:tc>
          <w:tcPr>
            <w:tcW w:type="dxa" w:w="3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Field</w:t>
            </w:r>
          </w:p>
        </w:tc>
        <w:tc>
          <w:tcPr>
            <w:tcW w:type="dxa" w:w="63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Details</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Document Title</w:t>
            </w:r>
          </w:p>
        </w:tc>
        <w:tc>
          <w:tcPr>
            <w:tcW w:type="dxa" w:w="63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Business Requirements Document — SQL Reconciliation Framework</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Author</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Yash Sonawane, Business Analyst</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Version</w:t>
            </w:r>
          </w:p>
        </w:tc>
        <w:tc>
          <w:tcPr>
            <w:tcW w:type="dxa" w:w="63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1.0 — Final</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Status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Approved</w:t>
            </w:r>
          </w:p>
        </w:tc>
      </w:tr>
      <w:tr>
        <w:tc>
          <w:tcPr>
            <w:tcW w:type="dxa" w:w="3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Date</w:t>
            </w:r>
          </w:p>
        </w:tc>
        <w:tc>
          <w:tcPr>
            <w:tcW w:type="dxa" w:w="63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March 2026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Stakeholders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Finance Team, Engineering Team, Operations Leadership</w:t>
            </w:r>
          </w:p>
        </w:tc>
      </w:tr>
    </w:tbl>
    <w:p>
      <w:pPr>
        <w:spacing w:before="320" w:after="0"/>
      </w:pPr>
    </w:p>
    <w:p>
      <w:pPr>
        <w:pStyle w:val="Heading1"/>
        <w:pBdr>
          <w:bottom w:val="single" w:color="1F4E79" w:sz="6" w:space="1"/>
        </w:pBdr>
        <w:spacing w:before="320" w:after="160"/>
      </w:pPr>
      <w:r>
        <w:rPr>
          <w:rFonts w:ascii="Arial" w:cs="Arial" w:eastAsia="Arial" w:hAnsi="Arial"/>
          <w:b/>
          <w:bCs/>
          <w:sz w:val="28"/>
          <w:szCs w:val="28"/>
        </w:rPr>
        <w:t xml:space="preserve">1. Executive Summary</w:t>
      </w:r>
    </w:p>
    <w:p>
      <w:pPr>
        <w:spacing w:before="80" w:after="80"/>
      </w:pPr>
      <w:r>
        <w:rPr>
          <w:rFonts w:ascii="Arial" w:cs="Arial" w:eastAsia="Arial" w:hAnsi="Arial"/>
          <w:sz w:val="22"/>
          <w:szCs w:val="22"/>
        </w:rPr>
        <w:t xml:space="preserve">This document defines the business requirements for a SQL-based financial reconciliation system designed to compare source transaction records against downstream financial reporting outputs. The system detects mismatches, missing records, and variance drivers, enabling finance and engineering teams to maintain reporting accuracy and audit readiness.</w:t>
      </w:r>
    </w:p>
    <w:p>
      <w:pPr>
        <w:spacing w:before="80" w:after="80"/>
      </w:pPr>
      <w:r>
        <w:rPr>
          <w:rFonts w:ascii="Arial" w:cs="Arial" w:eastAsia="Arial" w:hAnsi="Arial"/>
          <w:sz w:val="22"/>
          <w:szCs w:val="22"/>
        </w:rPr>
        <w:t xml:space="preserve">The framework was implemented at Kakar Ventures to address recurring reconciliation discrepancies and reduce manual investigation effort. Following deployment, the system eliminated 20% of recurring discrepancies and reduced break investigation time by approximately 30%.</w:t>
      </w:r>
    </w:p>
    <w:p>
      <w:pPr>
        <w:pStyle w:val="Heading1"/>
        <w:pBdr>
          <w:bottom w:val="single" w:color="1F4E79" w:sz="6" w:space="1"/>
        </w:pBdr>
        <w:spacing w:before="320" w:after="160"/>
      </w:pPr>
      <w:r>
        <w:rPr>
          <w:rFonts w:ascii="Arial" w:cs="Arial" w:eastAsia="Arial" w:hAnsi="Arial"/>
          <w:b/>
          <w:bCs/>
          <w:sz w:val="28"/>
          <w:szCs w:val="28"/>
        </w:rPr>
        <w:t xml:space="preserve">2. Business Context &amp; Problem Statement</w:t>
      </w:r>
    </w:p>
    <w:p>
      <w:pPr>
        <w:pStyle w:val="Heading2"/>
        <w:spacing w:before="240" w:after="120"/>
      </w:pPr>
      <w:r>
        <w:rPr>
          <w:rFonts w:ascii="Arial" w:cs="Arial" w:eastAsia="Arial" w:hAnsi="Arial"/>
          <w:b/>
          <w:bCs/>
          <w:color w:val="2E75B6"/>
          <w:sz w:val="24"/>
          <w:szCs w:val="24"/>
        </w:rPr>
        <w:t xml:space="preserve">2.1 Current State</w:t>
      </w:r>
    </w:p>
    <w:p>
      <w:pPr>
        <w:spacing w:before="80" w:after="80"/>
      </w:pPr>
      <w:r>
        <w:rPr>
          <w:rFonts w:ascii="Arial" w:cs="Arial" w:eastAsia="Arial" w:hAnsi="Arial"/>
          <w:sz w:val="22"/>
          <w:szCs w:val="22"/>
        </w:rPr>
        <w:t xml:space="preserve">Prior to this system, reconciliation between source transaction systems and financial reporting datasets was performed manually using Excel-based comparisons. This process was time-consuming, error-prone, and lacked a repeatable audit trail.</w:t>
      </w:r>
    </w:p>
    <w:p>
      <w:pPr>
        <w:pStyle w:val="Heading2"/>
        <w:spacing w:before="240" w:after="120"/>
      </w:pPr>
      <w:r>
        <w:rPr>
          <w:rFonts w:ascii="Arial" w:cs="Arial" w:eastAsia="Arial" w:hAnsi="Arial"/>
          <w:b/>
          <w:bCs/>
          <w:color w:val="2E75B6"/>
          <w:sz w:val="24"/>
          <w:szCs w:val="24"/>
        </w:rPr>
        <w:t xml:space="preserve">2.2 Key Pain Points</w:t>
      </w:r>
    </w:p>
    <w:p>
      <w:pPr>
        <w:pStyle w:val="ListParagraph"/>
        <w:numPr>
          <w:ilvl w:val="0"/>
          <w:numId w:val="2"/>
        </w:numPr>
        <w:spacing w:before="60" w:after="60"/>
      </w:pPr>
      <w:r>
        <w:rPr>
          <w:rFonts w:ascii="Arial" w:cs="Arial" w:eastAsia="Arial" w:hAnsi="Arial"/>
          <w:sz w:val="22"/>
          <w:szCs w:val="22"/>
        </w:rPr>
        <w:t xml:space="preserve">Manual reconciliation required 6-8 hours of analyst effort per reporting cycle</w:t>
      </w:r>
    </w:p>
    <w:p>
      <w:pPr>
        <w:pStyle w:val="ListParagraph"/>
        <w:numPr>
          <w:ilvl w:val="0"/>
          <w:numId w:val="2"/>
        </w:numPr>
        <w:spacing w:before="60" w:after="60"/>
      </w:pPr>
      <w:r>
        <w:rPr>
          <w:rFonts w:ascii="Arial" w:cs="Arial" w:eastAsia="Arial" w:hAnsi="Arial"/>
          <w:sz w:val="22"/>
          <w:szCs w:val="22"/>
        </w:rPr>
        <w:t xml:space="preserve">Recurring discrepancies were not categorized by severity or root cause</w:t>
      </w:r>
    </w:p>
    <w:p>
      <w:pPr>
        <w:pStyle w:val="ListParagraph"/>
        <w:numPr>
          <w:ilvl w:val="0"/>
          <w:numId w:val="2"/>
        </w:numPr>
        <w:spacing w:before="60" w:after="60"/>
      </w:pPr>
      <w:r>
        <w:rPr>
          <w:rFonts w:ascii="Arial" w:cs="Arial" w:eastAsia="Arial" w:hAnsi="Arial"/>
          <w:sz w:val="22"/>
          <w:szCs w:val="22"/>
        </w:rPr>
        <w:t xml:space="preserve">No automated checkpoints to detect missing or duplicate records</w:t>
      </w:r>
    </w:p>
    <w:p>
      <w:pPr>
        <w:pStyle w:val="ListParagraph"/>
        <w:numPr>
          <w:ilvl w:val="0"/>
          <w:numId w:val="2"/>
        </w:numPr>
        <w:spacing w:before="60" w:after="60"/>
      </w:pPr>
      <w:r>
        <w:rPr>
          <w:rFonts w:ascii="Arial" w:cs="Arial" w:eastAsia="Arial" w:hAnsi="Arial"/>
          <w:sz w:val="22"/>
          <w:szCs w:val="22"/>
        </w:rPr>
        <w:t xml:space="preserve">Audit trail was insufficient for finance leadership review</w:t>
      </w:r>
    </w:p>
    <w:p>
      <w:pPr>
        <w:pStyle w:val="ListParagraph"/>
        <w:numPr>
          <w:ilvl w:val="0"/>
          <w:numId w:val="2"/>
        </w:numPr>
        <w:spacing w:before="60" w:after="60"/>
      </w:pPr>
      <w:r>
        <w:rPr>
          <w:rFonts w:ascii="Arial" w:cs="Arial" w:eastAsia="Arial" w:hAnsi="Arial"/>
          <w:sz w:val="22"/>
          <w:szCs w:val="22"/>
        </w:rPr>
        <w:t xml:space="preserve">Break investigation had no structured workflow for resolution tracking</w:t>
      </w:r>
    </w:p>
    <w:p>
      <w:pPr>
        <w:pStyle w:val="Heading2"/>
        <w:spacing w:before="240" w:after="120"/>
      </w:pPr>
      <w:r>
        <w:rPr>
          <w:rFonts w:ascii="Arial" w:cs="Arial" w:eastAsia="Arial" w:hAnsi="Arial"/>
          <w:b/>
          <w:bCs/>
          <w:color w:val="2E75B6"/>
          <w:sz w:val="24"/>
          <w:szCs w:val="24"/>
        </w:rPr>
        <w:t xml:space="preserve">2.3 Desired Future State</w:t>
      </w:r>
    </w:p>
    <w:p>
      <w:pPr>
        <w:spacing w:before="80" w:after="80"/>
      </w:pPr>
      <w:r>
        <w:rPr>
          <w:rFonts w:ascii="Arial" w:cs="Arial" w:eastAsia="Arial" w:hAnsi="Arial"/>
          <w:sz w:val="22"/>
          <w:szCs w:val="22"/>
        </w:rPr>
        <w:t xml:space="preserve">A SQL-driven reconciliation framework that automatically compares source and reporting datasets, categorizes breaks by severity, and surfaces results through a structured exception management workflow.</w:t>
      </w:r>
    </w:p>
    <w:p>
      <w:pPr>
        <w:pStyle w:val="Heading1"/>
        <w:pBdr>
          <w:bottom w:val="single" w:color="1F4E79" w:sz="6" w:space="1"/>
        </w:pBdr>
        <w:spacing w:before="320" w:after="160"/>
      </w:pPr>
      <w:r>
        <w:rPr>
          <w:rFonts w:ascii="Arial" w:cs="Arial" w:eastAsia="Arial" w:hAnsi="Arial"/>
          <w:b/>
          <w:bCs/>
          <w:sz w:val="28"/>
          <w:szCs w:val="28"/>
        </w:rPr>
        <w:t xml:space="preserve">3. Scope</w:t>
      </w:r>
    </w:p>
    <w:p>
      <w:pPr>
        <w:pStyle w:val="Heading2"/>
        <w:spacing w:before="240" w:after="120"/>
      </w:pPr>
      <w:r>
        <w:rPr>
          <w:rFonts w:ascii="Arial" w:cs="Arial" w:eastAsia="Arial" w:hAnsi="Arial"/>
          <w:b/>
          <w:bCs/>
          <w:color w:val="2E75B6"/>
          <w:sz w:val="24"/>
          <w:szCs w:val="24"/>
        </w:rPr>
        <w:t xml:space="preserve">3.1 In Scope</w:t>
      </w:r>
    </w:p>
    <w:p>
      <w:pPr>
        <w:pStyle w:val="ListParagraph"/>
        <w:numPr>
          <w:ilvl w:val="0"/>
          <w:numId w:val="2"/>
        </w:numPr>
        <w:spacing w:before="60" w:after="60"/>
      </w:pPr>
      <w:r>
        <w:rPr>
          <w:rFonts w:ascii="Arial" w:cs="Arial" w:eastAsia="Arial" w:hAnsi="Arial"/>
          <w:sz w:val="22"/>
          <w:szCs w:val="22"/>
        </w:rPr>
        <w:t xml:space="preserve">SQL-based comparison of source transaction records vs. reported financial outputs</w:t>
      </w:r>
    </w:p>
    <w:p>
      <w:pPr>
        <w:pStyle w:val="ListParagraph"/>
        <w:numPr>
          <w:ilvl w:val="0"/>
          <w:numId w:val="2"/>
        </w:numPr>
        <w:spacing w:before="60" w:after="60"/>
      </w:pPr>
      <w:r>
        <w:rPr>
          <w:rFonts w:ascii="Arial" w:cs="Arial" w:eastAsia="Arial" w:hAnsi="Arial"/>
          <w:sz w:val="22"/>
          <w:szCs w:val="22"/>
        </w:rPr>
        <w:t xml:space="preserve">Automated detection of MATCHED, MISMATCH, and MISSING records</w:t>
      </w:r>
    </w:p>
    <w:p>
      <w:pPr>
        <w:pStyle w:val="ListParagraph"/>
        <w:numPr>
          <w:ilvl w:val="0"/>
          <w:numId w:val="2"/>
        </w:numPr>
        <w:spacing w:before="60" w:after="60"/>
      </w:pPr>
      <w:r>
        <w:rPr>
          <w:rFonts w:ascii="Arial" w:cs="Arial" w:eastAsia="Arial" w:hAnsi="Arial"/>
          <w:sz w:val="22"/>
          <w:szCs w:val="22"/>
        </w:rPr>
        <w:t xml:space="preserve">Break severity classification (HIGH, MEDIUM, LOW) based on variance thresholds</w:t>
      </w:r>
    </w:p>
    <w:p>
      <w:pPr>
        <w:pStyle w:val="ListParagraph"/>
        <w:numPr>
          <w:ilvl w:val="0"/>
          <w:numId w:val="2"/>
        </w:numPr>
        <w:spacing w:before="60" w:after="60"/>
      </w:pPr>
      <w:r>
        <w:rPr>
          <w:rFonts w:ascii="Arial" w:cs="Arial" w:eastAsia="Arial" w:hAnsi="Arial"/>
          <w:sz w:val="22"/>
          <w:szCs w:val="22"/>
        </w:rPr>
        <w:t xml:space="preserve">Exception reporting and control checkpoint validation</w:t>
      </w:r>
    </w:p>
    <w:p>
      <w:pPr>
        <w:pStyle w:val="ListParagraph"/>
        <w:numPr>
          <w:ilvl w:val="0"/>
          <w:numId w:val="2"/>
        </w:numPr>
        <w:spacing w:before="60" w:after="60"/>
      </w:pPr>
      <w:r>
        <w:rPr>
          <w:rFonts w:ascii="Arial" w:cs="Arial" w:eastAsia="Arial" w:hAnsi="Arial"/>
          <w:sz w:val="22"/>
          <w:szCs w:val="22"/>
        </w:rPr>
        <w:t xml:space="preserve">Tableau dashboard for executive and analyst visibility</w:t>
      </w:r>
    </w:p>
    <w:p>
      <w:pPr>
        <w:pStyle w:val="Heading2"/>
        <w:spacing w:before="240" w:after="120"/>
      </w:pPr>
      <w:r>
        <w:rPr>
          <w:rFonts w:ascii="Arial" w:cs="Arial" w:eastAsia="Arial" w:hAnsi="Arial"/>
          <w:b/>
          <w:bCs/>
          <w:color w:val="2E75B6"/>
          <w:sz w:val="24"/>
          <w:szCs w:val="24"/>
        </w:rPr>
        <w:t xml:space="preserve">3.2 Out of Scope</w:t>
      </w:r>
    </w:p>
    <w:p>
      <w:pPr>
        <w:pStyle w:val="ListParagraph"/>
        <w:numPr>
          <w:ilvl w:val="0"/>
          <w:numId w:val="2"/>
        </w:numPr>
        <w:spacing w:before="60" w:after="60"/>
      </w:pPr>
      <w:r>
        <w:rPr>
          <w:rFonts w:ascii="Arial" w:cs="Arial" w:eastAsia="Arial" w:hAnsi="Arial"/>
          <w:sz w:val="22"/>
          <w:szCs w:val="22"/>
        </w:rPr>
        <w:t xml:space="preserve">Automated remediation or write-back to source systems</w:t>
      </w:r>
    </w:p>
    <w:p>
      <w:pPr>
        <w:pStyle w:val="ListParagraph"/>
        <w:numPr>
          <w:ilvl w:val="0"/>
          <w:numId w:val="2"/>
        </w:numPr>
        <w:spacing w:before="60" w:after="60"/>
      </w:pPr>
      <w:r>
        <w:rPr>
          <w:rFonts w:ascii="Arial" w:cs="Arial" w:eastAsia="Arial" w:hAnsi="Arial"/>
          <w:sz w:val="22"/>
          <w:szCs w:val="22"/>
        </w:rPr>
        <w:t xml:space="preserve">Real-time streaming data processing</w:t>
      </w:r>
    </w:p>
    <w:p>
      <w:pPr>
        <w:pStyle w:val="ListParagraph"/>
        <w:numPr>
          <w:ilvl w:val="0"/>
          <w:numId w:val="2"/>
        </w:numPr>
        <w:spacing w:before="60" w:after="60"/>
      </w:pPr>
      <w:r>
        <w:rPr>
          <w:rFonts w:ascii="Arial" w:cs="Arial" w:eastAsia="Arial" w:hAnsi="Arial"/>
          <w:sz w:val="22"/>
          <w:szCs w:val="22"/>
        </w:rPr>
        <w:t xml:space="preserve">Integration with external audit platforms</w:t>
      </w:r>
    </w:p>
    <w:p>
      <w:pPr>
        <w:pStyle w:val="Heading1"/>
        <w:pBdr>
          <w:bottom w:val="single" w:color="1F4E79" w:sz="6" w:space="1"/>
        </w:pBdr>
        <w:spacing w:before="320" w:after="160"/>
      </w:pPr>
      <w:r>
        <w:rPr>
          <w:rFonts w:ascii="Arial" w:cs="Arial" w:eastAsia="Arial" w:hAnsi="Arial"/>
          <w:b/>
          <w:bCs/>
          <w:sz w:val="28"/>
          <w:szCs w:val="28"/>
        </w:rPr>
        <w:t xml:space="preserve">4. Stakeholders</w:t>
      </w:r>
    </w:p>
    <w:p>
      <w:pPr>
        <w:spacing w:before="8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gridCol w:w="4360"/>
      </w:tblGrid>
      <w:tr>
        <w:trPr>
          <w:tblHeader/>
        </w:trPr>
        <w:tc>
          <w:tcPr>
            <w:tcW w:type="dxa" w:w="25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Stakeholder</w:t>
            </w:r>
          </w:p>
        </w:tc>
        <w:tc>
          <w:tcPr>
            <w:tcW w:type="dxa" w:w="25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Role</w:t>
            </w:r>
          </w:p>
        </w:tc>
        <w:tc>
          <w:tcPr>
            <w:tcW w:type="dxa" w:w="43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Interest</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Finance Team</w:t>
            </w:r>
          </w:p>
        </w:tc>
        <w:tc>
          <w:tcPr>
            <w:tcW w:type="dxa" w:w="2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Primary User</w:t>
            </w:r>
          </w:p>
        </w:tc>
        <w:tc>
          <w:tcPr>
            <w:tcW w:type="dxa" w:w="43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Accurate P&amp;L inputs, reduced manual effort</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Engineering Team</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Technical Owner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System reliability, data pipeline integrity</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Operations Leadership</w:t>
            </w:r>
          </w:p>
        </w:tc>
        <w:tc>
          <w:tcPr>
            <w:tcW w:type="dxa" w:w="2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Executive Sponsor</w:t>
            </w:r>
          </w:p>
        </w:tc>
        <w:tc>
          <w:tcPr>
            <w:tcW w:type="dxa" w:w="43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Reporting accuracy, audit readiness</w:t>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Business Analyst</w:t>
            </w:r>
          </w:p>
        </w:tc>
        <w:tc>
          <w:tcPr>
            <w:tcW w:type="dxa" w:w="2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Requirements Owner</w:t>
            </w:r>
          </w:p>
        </w:tc>
        <w:tc>
          <w:tcPr>
            <w:tcW w:type="dxa" w:w="4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End-to-end validation and UAT coordination</w:t>
            </w:r>
          </w:p>
        </w:tc>
      </w:tr>
      <w:tr>
        <w:tc>
          <w:tcPr>
            <w:tcW w:type="dxa" w:w="2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Internal Audit</w:t>
            </w:r>
          </w:p>
        </w:tc>
        <w:tc>
          <w:tcPr>
            <w:tcW w:type="dxa" w:w="2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Reviewer</w:t>
            </w:r>
          </w:p>
        </w:tc>
        <w:tc>
          <w:tcPr>
            <w:tcW w:type="dxa" w:w="43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Control checkpoint compliance and traceability</w:t>
            </w:r>
          </w:p>
        </w:tc>
      </w:tr>
    </w:tbl>
    <w:p>
      <w:pPr>
        <w:spacing w:before="320" w:after="0"/>
      </w:pPr>
    </w:p>
    <w:p>
      <w:pPr>
        <w:pStyle w:val="Heading1"/>
        <w:pBdr>
          <w:bottom w:val="single" w:color="1F4E79" w:sz="6" w:space="1"/>
        </w:pBdr>
        <w:spacing w:before="320" w:after="160"/>
      </w:pPr>
      <w:r>
        <w:rPr>
          <w:rFonts w:ascii="Arial" w:cs="Arial" w:eastAsia="Arial" w:hAnsi="Arial"/>
          <w:b/>
          <w:bCs/>
          <w:sz w:val="28"/>
          <w:szCs w:val="28"/>
        </w:rPr>
        <w:t xml:space="preserve">5. Functional Requirements</w:t>
      </w:r>
    </w:p>
    <w:p>
      <w:pPr>
        <w:spacing w:before="80" w:after="8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900"/>
        <w:gridCol w:w="5000"/>
        <w:gridCol w:w="1200"/>
        <w:gridCol w:w="1260"/>
      </w:tblGrid>
      <w:tr>
        <w:trPr>
          <w:tblHeader/>
        </w:trPr>
        <w:tc>
          <w:tcPr>
            <w:tcW w:type="dxa" w:w="9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ID</w:t>
            </w:r>
          </w:p>
        </w:tc>
        <w:tc>
          <w:tcPr>
            <w:tcW w:type="dxa" w:w="5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Requirement</w:t>
            </w:r>
          </w:p>
        </w:tc>
        <w:tc>
          <w:tcPr>
            <w:tcW w:type="dxa" w:w="12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Priority</w:t>
            </w:r>
          </w:p>
        </w:tc>
        <w:tc>
          <w:tcPr>
            <w:tcW w:type="dxa" w:w="12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Status</w:t>
            </w:r>
          </w:p>
        </w:tc>
      </w:tr>
      <w:tr>
        <w:tc>
          <w:tcPr>
            <w:tcW w:type="dxa" w:w="9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FR-001</w:t>
            </w:r>
          </w:p>
        </w:tc>
        <w:tc>
          <w:tcPr>
            <w:tcW w:type="dxa" w:w="5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System shall compare source transaction records against reported financial outputs using SQL joins</w:t>
            </w:r>
          </w:p>
        </w:tc>
        <w:tc>
          <w:tcPr>
            <w:tcW w:type="dxa" w:w="1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HIGH</w:t>
            </w:r>
          </w:p>
        </w:tc>
        <w:tc>
          <w:tcPr>
            <w:tcW w:type="dxa" w:w="12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Approved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FR-002</w:t>
            </w:r>
          </w:p>
        </w:tc>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System shall classify each record as MATCHED, MISMATCH, or MISSING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HIGH</w:t>
            </w:r>
          </w:p>
        </w:tc>
        <w:tc>
          <w:tcPr>
            <w:tcW w:type="dxa" w:w="1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Approved</w:t>
            </w:r>
          </w:p>
        </w:tc>
      </w:tr>
      <w:tr>
        <w:tc>
          <w:tcPr>
            <w:tcW w:type="dxa" w:w="9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FR-003</w:t>
            </w:r>
          </w:p>
        </w:tc>
        <w:tc>
          <w:tcPr>
            <w:tcW w:type="dxa" w:w="5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System shall calculate variance amount for each mismatched record</w:t>
            </w:r>
          </w:p>
        </w:tc>
        <w:tc>
          <w:tcPr>
            <w:tcW w:type="dxa" w:w="1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HIGH</w:t>
            </w:r>
          </w:p>
        </w:tc>
        <w:tc>
          <w:tcPr>
            <w:tcW w:type="dxa" w:w="12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Approved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FR-004</w:t>
            </w:r>
          </w:p>
        </w:tc>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System shall classify break severity as HIGH (&gt;$1,000), MEDIUM ($100-$1,000), or LOW (&lt;$100)</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HIGH</w:t>
            </w:r>
          </w:p>
        </w:tc>
        <w:tc>
          <w:tcPr>
            <w:tcW w:type="dxa" w:w="1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Approved</w:t>
            </w:r>
          </w:p>
        </w:tc>
      </w:tr>
      <w:tr>
        <w:tc>
          <w:tcPr>
            <w:tcW w:type="dxa" w:w="9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FR-005</w:t>
            </w:r>
          </w:p>
        </w:tc>
        <w:tc>
          <w:tcPr>
            <w:tcW w:type="dxa" w:w="5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System shall generate a daily reconciliation summary by account and region</w:t>
            </w:r>
          </w:p>
        </w:tc>
        <w:tc>
          <w:tcPr>
            <w:tcW w:type="dxa" w:w="1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HIGH</w:t>
            </w:r>
          </w:p>
        </w:tc>
        <w:tc>
          <w:tcPr>
            <w:tcW w:type="dxa" w:w="12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Approved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FR-006</w:t>
            </w:r>
          </w:p>
        </w:tc>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System shall flag duplicate transaction IDs within source dataset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MEDIUM</w:t>
            </w:r>
          </w:p>
        </w:tc>
        <w:tc>
          <w:tcPr>
            <w:tcW w:type="dxa" w:w="1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Approved</w:t>
            </w:r>
          </w:p>
        </w:tc>
      </w:tr>
      <w:tr>
        <w:tc>
          <w:tcPr>
            <w:tcW w:type="dxa" w:w="9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FR-007</w:t>
            </w:r>
          </w:p>
        </w:tc>
        <w:tc>
          <w:tcPr>
            <w:tcW w:type="dxa" w:w="5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System shall track control checkpoint status across reporting domains</w:t>
            </w:r>
          </w:p>
        </w:tc>
        <w:tc>
          <w:tcPr>
            <w:tcW w:type="dxa" w:w="1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HIGH</w:t>
            </w:r>
          </w:p>
        </w:tc>
        <w:tc>
          <w:tcPr>
            <w:tcW w:type="dxa" w:w="12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Approved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FR-008</w:t>
            </w:r>
          </w:p>
        </w:tc>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System shall produce an exception report listing all MISMATCH and MISSING records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HIGH</w:t>
            </w:r>
          </w:p>
        </w:tc>
        <w:tc>
          <w:tcPr>
            <w:tcW w:type="dxa" w:w="1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Approved</w:t>
            </w:r>
          </w:p>
        </w:tc>
      </w:tr>
      <w:tr>
        <w:tc>
          <w:tcPr>
            <w:tcW w:type="dxa" w:w="9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FR-009</w:t>
            </w:r>
          </w:p>
        </w:tc>
        <w:tc>
          <w:tcPr>
            <w:tcW w:type="dxa" w:w="5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System shall calculate match rate percentage per reporting cycle</w:t>
            </w:r>
          </w:p>
        </w:tc>
        <w:tc>
          <w:tcPr>
            <w:tcW w:type="dxa" w:w="1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MEDIUM</w:t>
            </w:r>
          </w:p>
        </w:tc>
        <w:tc>
          <w:tcPr>
            <w:tcW w:type="dxa" w:w="12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Approved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FR-010</w:t>
            </w:r>
          </w:p>
        </w:tc>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System shall support filtering by region, transaction type, and date range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MEDIUM</w:t>
            </w:r>
          </w:p>
        </w:tc>
        <w:tc>
          <w:tcPr>
            <w:tcW w:type="dxa" w:w="1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Approved</w:t>
            </w:r>
          </w:p>
        </w:tc>
      </w:tr>
      <w:tr>
        <w:tc>
          <w:tcPr>
            <w:tcW w:type="dxa" w:w="9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FR-011</w:t>
            </w:r>
          </w:p>
        </w:tc>
        <w:tc>
          <w:tcPr>
            <w:tcW w:type="dxa" w:w="5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System shall maintain a full audit trail of reconciliation runs with timestamps</w:t>
            </w:r>
          </w:p>
        </w:tc>
        <w:tc>
          <w:tcPr>
            <w:tcW w:type="dxa" w:w="1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HIGH</w:t>
            </w:r>
          </w:p>
        </w:tc>
        <w:tc>
          <w:tcPr>
            <w:tcW w:type="dxa" w:w="12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Approved</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FR-012</w:t>
            </w:r>
          </w:p>
        </w:tc>
        <w:tc>
          <w:tcPr>
            <w:tcW w:type="dxa" w:w="5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System shall expose reconciliation output tables for Tableau dashboard consumption</w:t>
            </w:r>
          </w:p>
        </w:tc>
        <w:tc>
          <w:tcPr>
            <w:tcW w:type="dxa" w:w="1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MEDIUM</w:t>
            </w:r>
          </w:p>
        </w:tc>
        <w:tc>
          <w:tcPr>
            <w:tcW w:type="dxa" w:w="12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Approved</w:t>
            </w:r>
          </w:p>
        </w:tc>
      </w:tr>
      <w:tr>
        <w:tc>
          <w:tcPr>
            <w:tcW w:type="dxa" w:w="9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FR-013</w:t>
            </w:r>
          </w:p>
        </w:tc>
        <w:tc>
          <w:tcPr>
            <w:tcW w:type="dxa" w:w="5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System shall support UAT validation runs against sample datasets before production deployment</w:t>
            </w:r>
          </w:p>
        </w:tc>
        <w:tc>
          <w:tcPr>
            <w:tcW w:type="dxa" w:w="1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HIGH</w:t>
            </w:r>
          </w:p>
        </w:tc>
        <w:tc>
          <w:tcPr>
            <w:tcW w:type="dxa" w:w="12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Approved</w:t>
            </w:r>
          </w:p>
        </w:tc>
      </w:tr>
    </w:tbl>
    <w:p>
      <w:pPr>
        <w:spacing w:before="320" w:after="0"/>
      </w:pPr>
    </w:p>
    <w:p>
      <w:pPr>
        <w:pStyle w:val="Heading1"/>
        <w:pBdr>
          <w:bottom w:val="single" w:color="1F4E79" w:sz="6" w:space="1"/>
        </w:pBdr>
        <w:spacing w:before="320" w:after="160"/>
      </w:pPr>
      <w:r>
        <w:rPr>
          <w:rFonts w:ascii="Arial" w:cs="Arial" w:eastAsia="Arial" w:hAnsi="Arial"/>
          <w:b/>
          <w:bCs/>
          <w:sz w:val="28"/>
          <w:szCs w:val="28"/>
        </w:rPr>
        <w:t xml:space="preserve">6.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Category</w:t>
            </w:r>
          </w:p>
        </w:tc>
        <w:tc>
          <w:tcPr>
            <w:tcW w:type="dxa" w:w="73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Requirement</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Performance</w:t>
            </w:r>
          </w:p>
        </w:tc>
        <w:tc>
          <w:tcPr>
            <w:tcW w:type="dxa" w:w="73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Reconciliation query must complete within 60 seconds for datasets up to 100,000 records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Reliability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System must produce consistent results across repeated runs on identical datasets</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Auditability</w:t>
            </w:r>
          </w:p>
        </w:tc>
        <w:tc>
          <w:tcPr>
            <w:tcW w:type="dxa" w:w="73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All reconciliation runs must be logged with run timestamp, record counts, and match rate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Maintainability</w:t>
            </w:r>
          </w:p>
        </w:tc>
        <w:tc>
          <w:tcPr>
            <w:tcW w:type="dxa" w:w="73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SQL logic must be modular using CTEs to allow isolated updates per validation layer</w:t>
            </w:r>
          </w:p>
        </w:tc>
      </w:tr>
      <w:tr>
        <w:tc>
          <w:tcPr>
            <w:tcW w:type="dxa" w:w="20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Usability</w:t>
            </w:r>
          </w:p>
        </w:tc>
        <w:tc>
          <w:tcPr>
            <w:tcW w:type="dxa" w:w="73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Exception report must be consumable by finance analysts without SQL knowledge</w:t>
            </w:r>
          </w:p>
        </w:tc>
      </w:tr>
    </w:tbl>
    <w:p>
      <w:pPr>
        <w:spacing w:before="320" w:after="0"/>
      </w:pPr>
    </w:p>
    <w:p>
      <w:pPr>
        <w:pStyle w:val="Heading1"/>
        <w:pBdr>
          <w:bottom w:val="single" w:color="1F4E79" w:sz="6" w:space="1"/>
        </w:pBdr>
        <w:spacing w:before="320" w:after="160"/>
      </w:pPr>
      <w:r>
        <w:rPr>
          <w:rFonts w:ascii="Arial" w:cs="Arial" w:eastAsia="Arial" w:hAnsi="Arial"/>
          <w:b/>
          <w:bCs/>
          <w:sz w:val="28"/>
          <w:szCs w:val="28"/>
        </w:rPr>
        <w:t xml:space="preserve">7. Assumptions &amp; Dependencies</w:t>
      </w:r>
    </w:p>
    <w:p>
      <w:pPr>
        <w:pStyle w:val="ListParagraph"/>
        <w:numPr>
          <w:ilvl w:val="0"/>
          <w:numId w:val="2"/>
        </w:numPr>
        <w:spacing w:before="60" w:after="60"/>
      </w:pPr>
      <w:r>
        <w:rPr>
          <w:rFonts w:ascii="Arial" w:cs="Arial" w:eastAsia="Arial" w:hAnsi="Arial"/>
          <w:sz w:val="22"/>
          <w:szCs w:val="22"/>
        </w:rPr>
        <w:t xml:space="preserve">Source transaction data is available in a queryable SQL database or flat file format</w:t>
      </w:r>
    </w:p>
    <w:p>
      <w:pPr>
        <w:pStyle w:val="ListParagraph"/>
        <w:numPr>
          <w:ilvl w:val="0"/>
          <w:numId w:val="2"/>
        </w:numPr>
        <w:spacing w:before="60" w:after="60"/>
      </w:pPr>
      <w:r>
        <w:rPr>
          <w:rFonts w:ascii="Arial" w:cs="Arial" w:eastAsia="Arial" w:hAnsi="Arial"/>
          <w:sz w:val="22"/>
          <w:szCs w:val="22"/>
        </w:rPr>
        <w:t xml:space="preserve">Reported financial outputs are stored in a consistent schema accessible via SQL</w:t>
      </w:r>
    </w:p>
    <w:p>
      <w:pPr>
        <w:pStyle w:val="ListParagraph"/>
        <w:numPr>
          <w:ilvl w:val="0"/>
          <w:numId w:val="2"/>
        </w:numPr>
        <w:spacing w:before="60" w:after="60"/>
      </w:pPr>
      <w:r>
        <w:rPr>
          <w:rFonts w:ascii="Arial" w:cs="Arial" w:eastAsia="Arial" w:hAnsi="Arial"/>
          <w:sz w:val="22"/>
          <w:szCs w:val="22"/>
        </w:rPr>
        <w:t xml:space="preserve">Transaction IDs are the primary key for record-level matching</w:t>
      </w:r>
    </w:p>
    <w:p>
      <w:pPr>
        <w:pStyle w:val="ListParagraph"/>
        <w:numPr>
          <w:ilvl w:val="0"/>
          <w:numId w:val="2"/>
        </w:numPr>
        <w:spacing w:before="60" w:after="60"/>
      </w:pPr>
      <w:r>
        <w:rPr>
          <w:rFonts w:ascii="Arial" w:cs="Arial" w:eastAsia="Arial" w:hAnsi="Arial"/>
          <w:sz w:val="22"/>
          <w:szCs w:val="22"/>
        </w:rPr>
        <w:t xml:space="preserve">Finance team will review and sign off on break severity thresholds before production deployment</w:t>
      </w:r>
    </w:p>
    <w:p>
      <w:pPr>
        <w:pStyle w:val="ListParagraph"/>
        <w:numPr>
          <w:ilvl w:val="0"/>
          <w:numId w:val="2"/>
        </w:numPr>
        <w:spacing w:before="60" w:after="60"/>
      </w:pPr>
      <w:r>
        <w:rPr>
          <w:rFonts w:ascii="Arial" w:cs="Arial" w:eastAsia="Arial" w:hAnsi="Arial"/>
          <w:sz w:val="22"/>
          <w:szCs w:val="22"/>
        </w:rPr>
        <w:t xml:space="preserve">Tableau Desktop is available for dashboard development and publishing</w:t>
      </w:r>
    </w:p>
    <w:p>
      <w:pPr>
        <w:pStyle w:val="Heading1"/>
        <w:pBdr>
          <w:bottom w:val="single" w:color="1F4E79" w:sz="6" w:space="1"/>
        </w:pBdr>
        <w:spacing w:before="320" w:after="160"/>
      </w:pPr>
      <w:r>
        <w:rPr>
          <w:rFonts w:ascii="Arial" w:cs="Arial" w:eastAsia="Arial" w:hAnsi="Arial"/>
          <w:b/>
          <w:bCs/>
          <w:sz w:val="28"/>
          <w:szCs w:val="28"/>
        </w:rPr>
        <w:t xml:space="preserve">8. UAT Acceptance Criteria</w:t>
      </w:r>
    </w:p>
    <w:p>
      <w:pPr>
        <w:spacing w:before="80" w:after="80"/>
      </w:pPr>
      <w:r>
        <w:rPr>
          <w:rFonts w:ascii="Arial" w:cs="Arial" w:eastAsia="Arial" w:hAnsi="Arial"/>
          <w:sz w:val="22"/>
          <w:szCs w:val="22"/>
        </w:rPr>
        <w:t xml:space="preserve">The following criteria must be met before sign-off and production deployment:</w:t>
      </w:r>
    </w:p>
    <w:p>
      <w:pPr>
        <w:spacing w:before="80" w:after="80"/>
      </w:pP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2200"/>
        <w:gridCol w:w="4500"/>
        <w:gridCol w:w="1660"/>
      </w:tblGrid>
      <w:tr>
        <w:trPr>
          <w:tblHeader/>
        </w:trPr>
        <w:tc>
          <w:tcPr>
            <w:tcW w:type="dxa" w:w="22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Test Case</w:t>
            </w:r>
          </w:p>
        </w:tc>
        <w:tc>
          <w:tcPr>
            <w:tcW w:type="dxa" w:w="45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Expected Result</w:t>
            </w:r>
          </w:p>
        </w:tc>
        <w:tc>
          <w:tcPr>
            <w:tcW w:type="dxa" w:w="16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Status</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TC-001: Run reconciliation on clean dataset (100% match)</w:t>
            </w:r>
          </w:p>
        </w:tc>
        <w:tc>
          <w:tcPr>
            <w:tcW w:type="dxa" w:w="4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All records classified as MATCHED, match rate = 100%</w:t>
            </w:r>
          </w:p>
        </w:tc>
        <w:tc>
          <w:tcPr>
            <w:tcW w:type="dxa" w:w="16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Pass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TC-002: Run with 5 known mismatches injected</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5 records classified as MISMATCH with correct variance amounts</w:t>
            </w:r>
          </w:p>
        </w:tc>
        <w:tc>
          <w:tcPr>
            <w:tcW w:type="dxa" w:w="1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Pass</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TC-003: Run with 3 missing records in reporting dataset</w:t>
            </w:r>
          </w:p>
        </w:tc>
        <w:tc>
          <w:tcPr>
            <w:tcW w:type="dxa" w:w="4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3 records classified as MISSING, flagged in exception report</w:t>
            </w:r>
          </w:p>
        </w:tc>
        <w:tc>
          <w:tcPr>
            <w:tcW w:type="dxa" w:w="16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Pass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TC-004: Verify HIGH severity classification for variance &gt; $1,000</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Records with variance &gt; $1,000 show break_severity = HIGH</w:t>
            </w:r>
          </w:p>
        </w:tc>
        <w:tc>
          <w:tcPr>
            <w:tcW w:type="dxa" w:w="1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Pass</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TC-005: Verify duplicate detection</w:t>
            </w:r>
          </w:p>
        </w:tc>
        <w:tc>
          <w:tcPr>
            <w:tcW w:type="dxa" w:w="4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Duplicate transaction IDs flagged in output</w:t>
            </w:r>
          </w:p>
        </w:tc>
        <w:tc>
          <w:tcPr>
            <w:tcW w:type="dxa" w:w="16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Pass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TC-006: Verify match rate calculation</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Match rate % matches manual count of MATCHED / total records</w:t>
            </w:r>
          </w:p>
        </w:tc>
        <w:tc>
          <w:tcPr>
            <w:tcW w:type="dxa" w:w="1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Pass</w:t>
            </w:r>
          </w:p>
        </w:tc>
      </w:tr>
      <w:tr>
        <w:tc>
          <w:tcPr>
            <w:tcW w:type="dxa" w:w="22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TC-007: Verify audit trail logging</w:t>
            </w:r>
          </w:p>
        </w:tc>
        <w:tc>
          <w:tcPr>
            <w:tcW w:type="dxa" w:w="45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Each run produces timestamped log entry with record counts</w:t>
            </w:r>
          </w:p>
        </w:tc>
        <w:tc>
          <w:tcPr>
            <w:tcW w:type="dxa" w:w="16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Pass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TC-008: Verify Tableau data source refresh</w:t>
            </w:r>
          </w:p>
        </w:tc>
        <w:tc>
          <w:tcPr>
            <w:tcW w:type="dxa" w:w="45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Dashboard reflects updated reconciliation output after refresh</w:t>
            </w:r>
          </w:p>
        </w:tc>
        <w:tc>
          <w:tcPr>
            <w:tcW w:type="dxa" w:w="16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Pass</w:t>
            </w:r>
          </w:p>
        </w:tc>
      </w:tr>
    </w:tbl>
    <w:p>
      <w:pPr>
        <w:spacing w:before="320" w:after="0"/>
      </w:pPr>
    </w:p>
    <w:p>
      <w:pPr>
        <w:pStyle w:val="Heading1"/>
        <w:pBdr>
          <w:bottom w:val="single" w:color="1F4E79" w:sz="6" w:space="1"/>
        </w:pBdr>
        <w:spacing w:before="320" w:after="160"/>
      </w:pPr>
      <w:r>
        <w:rPr>
          <w:rFonts w:ascii="Arial" w:cs="Arial" w:eastAsia="Arial" w:hAnsi="Arial"/>
          <w:b/>
          <w:bCs/>
          <w:sz w:val="28"/>
          <w:szCs w:val="28"/>
        </w:rPr>
        <w:t xml:space="preserve">9. Stakeholder Sign-Off</w:t>
      </w:r>
    </w:p>
    <w:p>
      <w:pPr>
        <w:spacing w:before="80" w:after="80"/>
      </w:pPr>
      <w:r>
        <w:rPr>
          <w:rFonts w:ascii="Arial" w:cs="Arial" w:eastAsia="Arial" w:hAnsi="Arial"/>
          <w:sz w:val="22"/>
          <w:szCs w:val="22"/>
        </w:rPr>
        <w:t xml:space="preserve">By signing below, stakeholders confirm they have reviewed and approved the requirements documented in this BRD.</w:t>
      </w:r>
    </w:p>
    <w:p>
      <w:pPr>
        <w:spacing w:before="16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Stakeholder</w:t>
            </w:r>
          </w:p>
        </w:tc>
        <w:tc>
          <w:tcPr>
            <w:tcW w:type="dxa" w:w="24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Role</w:t>
            </w:r>
          </w:p>
        </w:tc>
        <w:tc>
          <w:tcPr>
            <w:tcW w:type="dxa" w:w="240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Signature</w:t>
            </w:r>
          </w:p>
        </w:tc>
        <w:tc>
          <w:tcPr>
            <w:tcW w:type="dxa" w:w="2160"/>
            <w:tcBorders>
              <w:top w:val="single" w:color="1F4E79" w:sz="1"/>
              <w:left w:val="single" w:color="1F4E79" w:sz="1"/>
              <w:bottom w:val="single" w:color="1F4E79" w:sz="1"/>
              <w:right w:val="single" w:color="1F4E79" w:sz="1"/>
            </w:tcBorders>
            <w:shd w:fill="1F4E79" w:val="clear"/>
            <w:tcMar>
              <w:top w:type="dxa" w:w="100"/>
              <w:left w:type="dxa" w:w="150"/>
              <w:bottom w:type="dxa" w:w="100"/>
              <w:right w:type="dxa" w:w="150"/>
            </w:tcMar>
          </w:tcPr>
          <w:p>
            <w:r>
              <w:rPr>
                <w:rFonts w:ascii="Arial" w:cs="Arial" w:eastAsia="Arial" w:hAnsi="Arial"/>
                <w:b/>
                <w:bCs/>
                <w:color w:val="FFFFFF"/>
                <w:sz w:val="20"/>
                <w:szCs w:val="20"/>
              </w:rPr>
              <w:t xml:space="preserve">Date</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Yash Sonawane</w:t>
            </w:r>
          </w:p>
        </w:tc>
        <w:tc>
          <w:tcPr>
            <w:tcW w:type="dxa" w:w="24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Business Analyst</w:t>
            </w:r>
          </w:p>
        </w:tc>
        <w:tc>
          <w:tcPr>
            <w:tcW w:type="dxa" w:w="24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Approved</w:t>
            </w:r>
          </w:p>
        </w:tc>
        <w:tc>
          <w:tcPr>
            <w:tcW w:type="dxa" w:w="21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March 2026</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Finance Lead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Finance Team</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_____________</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___________</w:t>
            </w:r>
          </w:p>
        </w:tc>
      </w:tr>
      <w:tr>
        <w:tc>
          <w:tcPr>
            <w:tcW w:type="dxa" w:w="24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Engineering Lead</w:t>
            </w:r>
          </w:p>
        </w:tc>
        <w:tc>
          <w:tcPr>
            <w:tcW w:type="dxa" w:w="24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Engineering Team</w:t>
            </w:r>
          </w:p>
        </w:tc>
        <w:tc>
          <w:tcPr>
            <w:tcW w:type="dxa" w:w="240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_____________</w:t>
            </w:r>
          </w:p>
        </w:tc>
        <w:tc>
          <w:tcPr>
            <w:tcW w:type="dxa" w:w="2160"/>
            <w:tcBorders>
              <w:top w:val="single" w:color="CCCCCC" w:sz="1"/>
              <w:left w:val="single" w:color="CCCCCC" w:sz="1"/>
              <w:bottom w:val="single" w:color="CCCCCC" w:sz="1"/>
              <w:right w:val="single" w:color="CCCCCC" w:sz="1"/>
            </w:tcBorders>
            <w:shd w:fill="F5F9FF" w:val="clear"/>
            <w:tcMar>
              <w:top w:type="dxa" w:w="80"/>
              <w:left w:type="dxa" w:w="150"/>
              <w:bottom w:type="dxa" w:w="80"/>
              <w:right w:type="dxa" w:w="150"/>
            </w:tcMar>
          </w:tcPr>
          <w:p>
            <w:r>
              <w:rPr>
                <w:rFonts w:ascii="Arial" w:cs="Arial" w:eastAsia="Arial" w:hAnsi="Arial"/>
                <w:sz w:val="20"/>
                <w:szCs w:val="20"/>
              </w:rPr>
              <w:t xml:space="preserve">___________</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Operations Director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Executive Sponsor</w:t>
            </w:r>
          </w:p>
        </w:tc>
        <w:tc>
          <w:tcPr>
            <w:tcW w:type="dxa" w:w="240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_____________</w:t>
            </w:r>
          </w:p>
        </w:tc>
        <w:tc>
          <w:tcPr>
            <w:tcW w:type="dxa" w:w="2160"/>
            <w:tcBorders>
              <w:top w:val="single" w:color="CCCCCC" w:sz="1"/>
              <w:left w:val="single" w:color="CCCCCC" w:sz="1"/>
              <w:bottom w:val="single" w:color="CCCCCC" w:sz="1"/>
              <w:right w:val="single" w:color="CCCCCC" w:sz="1"/>
            </w:tcBorders>
            <w:shd w:fill="FFFFFF" w:val="clear"/>
            <w:tcMar>
              <w:top w:type="dxa" w:w="80"/>
              <w:left w:type="dxa" w:w="150"/>
              <w:bottom w:type="dxa" w:w="80"/>
              <w:right w:type="dxa" w:w="150"/>
            </w:tcMar>
          </w:tcPr>
          <w:p>
            <w:r>
              <w:rPr>
                <w:rFonts w:ascii="Arial" w:cs="Arial" w:eastAsia="Arial" w:hAnsi="Arial"/>
                <w:sz w:val="20"/>
                <w:szCs w:val="20"/>
              </w:rPr>
              <w:t xml:space="preserve">___________</w:t>
            </w:r>
          </w:p>
        </w:tc>
      </w:tr>
    </w:tbl>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BRD — SQL Reconciliation Framework  |  Yash Sonawane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color w:val="1F4E79"/>
      <w:sz w:val="28"/>
      <w:szCs w:val="28"/>
    </w:rPr>
  </w:style>
  <w:style w:type="paragraph" w:styleId="Heading2">
    <w:name w:val="Heading 2"/>
    <w:basedOn w:val="Normal"/>
    <w:next w:val="Normal"/>
    <w:qFormat/>
    <w:pPr>
      <w:spacing w:before="240" w:after="12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2026-03-12T11:59:14.798Z</dcterms:created>
  <dcterms:modified xsi:type="dcterms:W3CDTF">2026-03-12T11:59:14.799Z</dcterms:modified>
</cp:coreProperties>
</file>

<file path=docProps/custom.xml><?xml version="1.0" encoding="utf-8"?>
<Properties xmlns="http://schemas.openxmlformats.org/officeDocument/2006/custom-properties" xmlns:vt="http://schemas.openxmlformats.org/officeDocument/2006/docPropsVTypes"/>
</file>