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Spacing w:w="0" w:type="dxa"/>
        <w:tblBorders>
          <w:top w:val="single" w:sz="8" w:space="0" w:color="C5D8EC"/>
        </w:tblBorders>
        <w:tblCellMar>
          <w:left w:w="0" w:type="dxa"/>
          <w:right w:w="0" w:type="dxa"/>
        </w:tblCellMar>
        <w:tblLook w:val="04A0" w:firstRow="1" w:lastRow="0" w:firstColumn="1" w:lastColumn="0" w:noHBand="0" w:noVBand="1"/>
      </w:tblPr>
      <w:tblGrid>
        <w:gridCol w:w="8679"/>
        <w:gridCol w:w="734"/>
      </w:tblGrid>
      <w:tr w:rsidR="00000000" w14:paraId="68753BDF" w14:textId="77777777">
        <w:trPr>
          <w:divId w:val="2041468683"/>
          <w:tblCellSpacing w:w="0" w:type="dxa"/>
        </w:trPr>
        <w:tc>
          <w:tcPr>
            <w:tcW w:w="0" w:type="auto"/>
            <w:tcMar>
              <w:top w:w="80" w:type="dxa"/>
              <w:left w:w="0" w:type="dxa"/>
              <w:bottom w:w="0" w:type="dxa"/>
              <w:right w:w="0" w:type="dxa"/>
            </w:tcMar>
            <w:vAlign w:val="center"/>
            <w:hideMark/>
          </w:tcPr>
          <w:p w14:paraId="241BA120" w14:textId="77777777" w:rsidR="00527253" w:rsidRDefault="00527253">
            <w:pPr>
              <w:spacing w:before="80"/>
              <w:rPr>
                <w:rFonts w:ascii="Calibri" w:eastAsia="Times New Roman" w:hAnsi="Calibri" w:cs="Calibri"/>
                <w:color w:val="6B8CBA"/>
                <w:sz w:val="16"/>
                <w:szCs w:val="16"/>
              </w:rPr>
            </w:pPr>
            <w:r>
              <w:rPr>
                <w:rFonts w:ascii="Calibri" w:eastAsia="Times New Roman" w:hAnsi="Calibri" w:cs="Calibri"/>
                <w:color w:val="6B8CBA"/>
                <w:sz w:val="16"/>
                <w:szCs w:val="16"/>
              </w:rPr>
              <w:t xml:space="preserve">TwinMaq – Financial Proposal | TM-FP-2026-[###]  |  Design Zone Engineering Solutions  ·  www.designzone.com.sa  ·  Confidential </w:t>
            </w:r>
          </w:p>
        </w:tc>
        <w:tc>
          <w:tcPr>
            <w:tcW w:w="0" w:type="auto"/>
            <w:noWrap/>
            <w:tcMar>
              <w:top w:w="80" w:type="dxa"/>
              <w:left w:w="0" w:type="dxa"/>
              <w:bottom w:w="0" w:type="dxa"/>
              <w:right w:w="0" w:type="dxa"/>
            </w:tcMar>
            <w:vAlign w:val="center"/>
            <w:hideMark/>
          </w:tcPr>
          <w:p w14:paraId="5301004C" w14:textId="77777777" w:rsidR="00527253" w:rsidRDefault="00527253">
            <w:pPr>
              <w:spacing w:before="80"/>
              <w:jc w:val="right"/>
              <w:rPr>
                <w:rFonts w:ascii="Calibri" w:eastAsia="Times New Roman" w:hAnsi="Calibri" w:cs="Calibri"/>
                <w:color w:val="1A3A5C"/>
                <w:sz w:val="16"/>
                <w:szCs w:val="16"/>
              </w:rPr>
            </w:pPr>
            <w:r>
              <w:rPr>
                <w:rFonts w:ascii="Calibri" w:eastAsia="Times New Roman" w:hAnsi="Calibri" w:cs="Calibri"/>
                <w:color w:val="1A3A5C"/>
                <w:sz w:val="16"/>
                <w:szCs w:val="16"/>
              </w:rPr>
              <w:t>Page </w:t>
            </w:r>
            <w:r>
              <w:rPr>
                <w:rFonts w:ascii="Calibri" w:eastAsia="Times New Roman" w:hAnsi="Calibri" w:cs="Calibri"/>
                <w:color w:val="1A3A5C"/>
                <w:sz w:val="16"/>
                <w:szCs w:val="16"/>
              </w:rPr>
              <w:fldChar w:fldCharType="begin"/>
            </w:r>
            <w:r>
              <w:rPr>
                <w:rFonts w:ascii="Calibri" w:eastAsia="Times New Roman" w:hAnsi="Calibri" w:cs="Calibri"/>
                <w:color w:val="1A3A5C"/>
                <w:sz w:val="16"/>
                <w:szCs w:val="16"/>
              </w:rPr>
              <w:instrText>PAGE</w:instrText>
            </w:r>
            <w:r>
              <w:rPr>
                <w:rFonts w:ascii="Calibri" w:eastAsia="Times New Roman" w:hAnsi="Calibri" w:cs="Calibri"/>
                <w:color w:val="1A3A5C"/>
                <w:sz w:val="16"/>
                <w:szCs w:val="16"/>
              </w:rPr>
              <w:fldChar w:fldCharType="separate"/>
            </w:r>
            <w:r>
              <w:rPr>
                <w:rFonts w:ascii="Calibri" w:eastAsia="Times New Roman" w:hAnsi="Calibri" w:cs="Calibri"/>
                <w:color w:val="1A3A5C"/>
                <w:sz w:val="16"/>
                <w:szCs w:val="16"/>
              </w:rPr>
              <w:t>1</w:t>
            </w:r>
            <w:r>
              <w:rPr>
                <w:rFonts w:ascii="Calibri" w:eastAsia="Times New Roman" w:hAnsi="Calibri" w:cs="Calibri"/>
                <w:color w:val="1A3A5C"/>
                <w:sz w:val="16"/>
                <w:szCs w:val="16"/>
              </w:rPr>
              <w:fldChar w:fldCharType="end"/>
            </w:r>
            <w:r>
              <w:rPr>
                <w:rFonts w:ascii="Calibri" w:eastAsia="Times New Roman" w:hAnsi="Calibri" w:cs="Calibri"/>
                <w:color w:val="1A3A5C"/>
                <w:sz w:val="16"/>
                <w:szCs w:val="16"/>
              </w:rPr>
              <w:t> of </w:t>
            </w:r>
            <w:r>
              <w:rPr>
                <w:rFonts w:ascii="Calibri" w:eastAsia="Times New Roman" w:hAnsi="Calibri" w:cs="Calibri"/>
                <w:color w:val="1A3A5C"/>
                <w:sz w:val="16"/>
                <w:szCs w:val="16"/>
              </w:rPr>
              <w:fldChar w:fldCharType="begin"/>
            </w:r>
            <w:r>
              <w:rPr>
                <w:rFonts w:ascii="Calibri" w:eastAsia="Times New Roman" w:hAnsi="Calibri" w:cs="Calibri"/>
                <w:color w:val="1A3A5C"/>
                <w:sz w:val="16"/>
                <w:szCs w:val="16"/>
              </w:rPr>
              <w:instrText>NUMPAGES</w:instrText>
            </w:r>
            <w:r>
              <w:rPr>
                <w:rFonts w:ascii="Calibri" w:eastAsia="Times New Roman" w:hAnsi="Calibri" w:cs="Calibri"/>
                <w:color w:val="1A3A5C"/>
                <w:sz w:val="16"/>
                <w:szCs w:val="16"/>
              </w:rPr>
              <w:fldChar w:fldCharType="separate"/>
            </w:r>
            <w:r>
              <w:rPr>
                <w:rFonts w:ascii="Calibri" w:eastAsia="Times New Roman" w:hAnsi="Calibri" w:cs="Calibri"/>
                <w:color w:val="1A3A5C"/>
                <w:sz w:val="16"/>
                <w:szCs w:val="16"/>
              </w:rPr>
              <w:t>1</w:t>
            </w:r>
            <w:r>
              <w:rPr>
                <w:rFonts w:ascii="Calibri" w:eastAsia="Times New Roman" w:hAnsi="Calibri" w:cs="Calibri"/>
                <w:color w:val="1A3A5C"/>
                <w:sz w:val="16"/>
                <w:szCs w:val="16"/>
              </w:rPr>
              <w:fldChar w:fldCharType="end"/>
            </w:r>
            <w:r>
              <w:rPr>
                <w:rFonts w:ascii="Calibri" w:eastAsia="Times New Roman" w:hAnsi="Calibri" w:cs="Calibri"/>
                <w:color w:val="1A3A5C"/>
                <w:sz w:val="16"/>
                <w:szCs w:val="16"/>
              </w:rPr>
              <w:t xml:space="preserve"> </w:t>
            </w:r>
          </w:p>
        </w:tc>
      </w:tr>
    </w:tbl>
    <w:tbl>
      <w:tblPr>
        <w:tblW w:w="5000" w:type="pct"/>
        <w:tblCellSpacing w:w="0" w:type="dxa"/>
        <w:tblCellMar>
          <w:left w:w="0" w:type="dxa"/>
          <w:right w:w="0" w:type="dxa"/>
        </w:tblCellMar>
        <w:tblLook w:val="04A0" w:firstRow="1" w:lastRow="0" w:firstColumn="1" w:lastColumn="0" w:noHBand="0" w:noVBand="1"/>
      </w:tblPr>
      <w:tblGrid>
        <w:gridCol w:w="4210"/>
        <w:gridCol w:w="5203"/>
      </w:tblGrid>
      <w:tr w:rsidR="00000000" w14:paraId="3CFFB297" w14:textId="77777777">
        <w:trPr>
          <w:tblCellSpacing w:w="0" w:type="dxa"/>
        </w:trPr>
        <w:tc>
          <w:tcPr>
            <w:tcW w:w="0" w:type="auto"/>
            <w:shd w:val="clear" w:color="auto" w:fill="1A3A5C"/>
            <w:tcMar>
              <w:top w:w="220" w:type="dxa"/>
              <w:left w:w="400" w:type="dxa"/>
              <w:bottom w:w="220" w:type="dxa"/>
              <w:right w:w="400" w:type="dxa"/>
            </w:tcMar>
            <w:vAlign w:val="center"/>
            <w:hideMark/>
          </w:tcPr>
          <w:p w14:paraId="7486D92A" w14:textId="77777777" w:rsidR="00527253" w:rsidRDefault="00527253">
            <w:pPr>
              <w:rPr>
                <w:rFonts w:ascii="Calibri" w:eastAsia="Times New Roman" w:hAnsi="Calibri" w:cs="Calibri"/>
                <w:color w:val="1A1A1A"/>
                <w:sz w:val="21"/>
                <w:szCs w:val="21"/>
              </w:rPr>
            </w:pPr>
            <w:r>
              <w:rPr>
                <w:rFonts w:ascii="Calibri" w:eastAsia="Times New Roman" w:hAnsi="Calibri" w:cs="Calibri"/>
                <w:b/>
                <w:bCs/>
                <w:color w:val="FFFFFF"/>
                <w:spacing w:val="20"/>
                <w:sz w:val="26"/>
                <w:szCs w:val="26"/>
              </w:rPr>
              <w:t>Design Zone</w:t>
            </w:r>
            <w:r>
              <w:rPr>
                <w:rFonts w:ascii="Calibri" w:eastAsia="Times New Roman" w:hAnsi="Calibri" w:cs="Calibri"/>
                <w:color w:val="1A1A1A"/>
                <w:sz w:val="21"/>
                <w:szCs w:val="21"/>
              </w:rPr>
              <w:t xml:space="preserve"> </w:t>
            </w:r>
            <w:r>
              <w:rPr>
                <w:rFonts w:ascii="Calibri" w:eastAsia="Times New Roman" w:hAnsi="Calibri" w:cs="Calibri"/>
                <w:color w:val="7BAFD4"/>
                <w:sz w:val="20"/>
                <w:szCs w:val="20"/>
              </w:rPr>
              <w:t>| TwinMaq Division</w:t>
            </w:r>
            <w:r>
              <w:rPr>
                <w:rFonts w:ascii="Calibri" w:eastAsia="Times New Roman" w:hAnsi="Calibri" w:cs="Calibri"/>
                <w:color w:val="1A1A1A"/>
                <w:sz w:val="21"/>
                <w:szCs w:val="21"/>
              </w:rPr>
              <w:t xml:space="preserve"> </w:t>
            </w:r>
          </w:p>
        </w:tc>
        <w:tc>
          <w:tcPr>
            <w:tcW w:w="0" w:type="auto"/>
            <w:shd w:val="clear" w:color="auto" w:fill="1A3A5C"/>
            <w:noWrap/>
            <w:tcMar>
              <w:top w:w="220" w:type="dxa"/>
              <w:left w:w="400" w:type="dxa"/>
              <w:bottom w:w="220" w:type="dxa"/>
              <w:right w:w="400" w:type="dxa"/>
            </w:tcMar>
            <w:vAlign w:val="center"/>
            <w:hideMark/>
          </w:tcPr>
          <w:p w14:paraId="74460376" w14:textId="77777777" w:rsidR="00527253" w:rsidRDefault="00527253">
            <w:pPr>
              <w:jc w:val="right"/>
              <w:rPr>
                <w:rFonts w:ascii="Calibri" w:eastAsia="Times New Roman" w:hAnsi="Calibri" w:cs="Calibri"/>
                <w:color w:val="1A1A1A"/>
                <w:sz w:val="21"/>
                <w:szCs w:val="21"/>
              </w:rPr>
            </w:pPr>
            <w:r>
              <w:rPr>
                <w:rFonts w:ascii="Calibri" w:eastAsia="Times New Roman" w:hAnsi="Calibri" w:cs="Calibri"/>
                <w:color w:val="A0C0E0"/>
                <w:sz w:val="17"/>
                <w:szCs w:val="17"/>
              </w:rPr>
              <w:t xml:space="preserve">ISO 9001 Certified  ·  KSA &amp; GCC  ·  </w:t>
            </w:r>
            <w:r>
              <w:rPr>
                <w:rFonts w:ascii="Calibri" w:eastAsia="Times New Roman" w:hAnsi="Calibri" w:cs="Calibri"/>
                <w:color w:val="A0C0E0"/>
                <w:sz w:val="17"/>
                <w:szCs w:val="17"/>
              </w:rPr>
              <w:t>www.designzone.com.sa</w:t>
            </w:r>
            <w:r>
              <w:rPr>
                <w:rFonts w:ascii="Calibri" w:eastAsia="Times New Roman" w:hAnsi="Calibri" w:cs="Calibri"/>
                <w:color w:val="1A1A1A"/>
                <w:sz w:val="21"/>
                <w:szCs w:val="21"/>
              </w:rPr>
              <w:t xml:space="preserve"> </w:t>
            </w:r>
          </w:p>
        </w:tc>
      </w:tr>
    </w:tbl>
    <w:p w14:paraId="387313E9" w14:textId="77777777" w:rsidR="00527253" w:rsidRDefault="00527253">
      <w:pPr>
        <w:jc w:val="center"/>
        <w:divId w:val="1601985514"/>
        <w:rPr>
          <w:rFonts w:ascii="Calibri" w:eastAsia="Times New Roman" w:hAnsi="Calibri" w:cs="Calibri"/>
          <w:color w:val="1A1A1A"/>
          <w:sz w:val="21"/>
          <w:szCs w:val="21"/>
        </w:rPr>
      </w:pPr>
      <w:r>
        <w:rPr>
          <w:rFonts w:ascii="Calibri" w:eastAsia="Times New Roman" w:hAnsi="Calibri" w:cs="Calibri"/>
          <w:noProof/>
          <w:color w:val="1A1A1A"/>
          <w:sz w:val="21"/>
          <w:szCs w:val="21"/>
        </w:rPr>
        <w:drawing>
          <wp:inline distT="0" distB="0" distL="0" distR="0" wp14:anchorId="0D538656" wp14:editId="569188DF">
            <wp:extent cx="2000250" cy="1181100"/>
            <wp:effectExtent l="0" t="0" r="0" b="0"/>
            <wp:docPr id="1" name="Picture 1" descr="TwinMaq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inMaq Log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00250" cy="1181100"/>
                    </a:xfrm>
                    <a:prstGeom prst="rect">
                      <a:avLst/>
                    </a:prstGeom>
                    <a:noFill/>
                    <a:ln>
                      <a:noFill/>
                    </a:ln>
                  </pic:spPr>
                </pic:pic>
              </a:graphicData>
            </a:graphic>
          </wp:inline>
        </w:drawing>
      </w:r>
    </w:p>
    <w:p w14:paraId="31CFAF4E" w14:textId="77777777" w:rsidR="00527253" w:rsidRDefault="00527253">
      <w:pPr>
        <w:pStyle w:val="NormalWeb"/>
        <w:spacing w:after="880"/>
        <w:jc w:val="center"/>
        <w:rPr>
          <w:rFonts w:ascii="Calibri" w:hAnsi="Calibri" w:cs="Calibri"/>
          <w:b/>
          <w:bCs/>
          <w:color w:val="6B8CBA"/>
          <w:spacing w:val="70"/>
          <w:sz w:val="18"/>
          <w:szCs w:val="18"/>
        </w:rPr>
      </w:pPr>
      <w:r>
        <w:rPr>
          <w:rFonts w:ascii="Calibri" w:hAnsi="Calibri" w:cs="Calibri"/>
          <w:b/>
          <w:bCs/>
          <w:color w:val="6B8CBA"/>
          <w:spacing w:val="70"/>
          <w:sz w:val="18"/>
          <w:szCs w:val="18"/>
        </w:rPr>
        <w:t xml:space="preserve">POWERED BY DESIGN ZONE ENGINEERING SOLUTIONS </w:t>
      </w:r>
    </w:p>
    <w:tbl>
      <w:tblPr>
        <w:tblW w:w="2600" w:type="pct"/>
        <w:jc w:val="center"/>
        <w:tblCellSpacing w:w="0" w:type="dxa"/>
        <w:shd w:val="clear" w:color="auto" w:fill="1A3A5C"/>
        <w:tblCellMar>
          <w:left w:w="0" w:type="dxa"/>
          <w:right w:w="0" w:type="dxa"/>
        </w:tblCellMar>
        <w:tblLook w:val="04A0" w:firstRow="1" w:lastRow="0" w:firstColumn="1" w:lastColumn="0" w:noHBand="0" w:noVBand="1"/>
      </w:tblPr>
      <w:tblGrid>
        <w:gridCol w:w="4895"/>
      </w:tblGrid>
      <w:tr w:rsidR="00000000" w14:paraId="1907D5A9" w14:textId="77777777">
        <w:trPr>
          <w:tblCellSpacing w:w="0" w:type="dxa"/>
          <w:jc w:val="center"/>
        </w:trPr>
        <w:tc>
          <w:tcPr>
            <w:tcW w:w="0" w:type="auto"/>
            <w:shd w:val="clear" w:color="auto" w:fill="1A3A5C"/>
            <w:vAlign w:val="center"/>
            <w:hideMark/>
          </w:tcPr>
          <w:p w14:paraId="07851F20" w14:textId="77777777" w:rsidR="00527253" w:rsidRDefault="00527253">
            <w:pPr>
              <w:rPr>
                <w:rFonts w:ascii="Calibri" w:hAnsi="Calibri" w:cs="Calibri"/>
                <w:b/>
                <w:bCs/>
                <w:color w:val="6B8CBA"/>
                <w:spacing w:val="70"/>
                <w:sz w:val="18"/>
                <w:szCs w:val="18"/>
              </w:rPr>
            </w:pPr>
          </w:p>
        </w:tc>
      </w:tr>
    </w:tbl>
    <w:p w14:paraId="5C9C6F5D" w14:textId="77777777" w:rsidR="00527253" w:rsidRDefault="00527253">
      <w:pPr>
        <w:pStyle w:val="NormalWeb"/>
        <w:spacing w:before="280" w:after="120"/>
        <w:jc w:val="center"/>
        <w:rPr>
          <w:rFonts w:ascii="Calibri" w:hAnsi="Calibri" w:cs="Calibri"/>
          <w:b/>
          <w:bCs/>
          <w:color w:val="1A3A5C"/>
          <w:spacing w:val="60"/>
          <w:sz w:val="48"/>
          <w:szCs w:val="48"/>
        </w:rPr>
      </w:pPr>
      <w:r>
        <w:rPr>
          <w:rFonts w:ascii="Calibri" w:hAnsi="Calibri" w:cs="Calibri"/>
          <w:b/>
          <w:bCs/>
          <w:color w:val="1A3A5C"/>
          <w:spacing w:val="60"/>
          <w:sz w:val="48"/>
          <w:szCs w:val="48"/>
        </w:rPr>
        <w:t xml:space="preserve">FINANCIAL PROPOSAL </w:t>
      </w:r>
    </w:p>
    <w:p w14:paraId="78691ABF" w14:textId="77777777" w:rsidR="00527253" w:rsidRDefault="00527253">
      <w:pPr>
        <w:pStyle w:val="NormalWeb"/>
        <w:spacing w:after="760"/>
        <w:jc w:val="center"/>
        <w:rPr>
          <w:rFonts w:ascii="Calibri" w:hAnsi="Calibri" w:cs="Calibri"/>
          <w:color w:val="6B8CBA"/>
          <w:spacing w:val="20"/>
          <w:sz w:val="22"/>
          <w:szCs w:val="22"/>
        </w:rPr>
      </w:pPr>
      <w:r>
        <w:rPr>
          <w:rFonts w:ascii="Calibri" w:hAnsi="Calibri" w:cs="Calibri"/>
          <w:color w:val="6B8CBA"/>
          <w:spacing w:val="20"/>
          <w:sz w:val="22"/>
          <w:szCs w:val="22"/>
        </w:rPr>
        <w:t xml:space="preserve">Interactive 3D Real Estate Visualisation Platform </w:t>
      </w:r>
    </w:p>
    <w:tbl>
      <w:tblPr>
        <w:tblW w:w="3200" w:type="pct"/>
        <w:jc w:val="center"/>
        <w:tblCellSpacing w:w="0" w:type="dxa"/>
        <w:tblBorders>
          <w:top w:val="single" w:sz="8" w:space="0" w:color="BED0E4"/>
        </w:tblBorders>
        <w:tblCellMar>
          <w:left w:w="0" w:type="dxa"/>
          <w:right w:w="0" w:type="dxa"/>
        </w:tblCellMar>
        <w:tblLook w:val="04A0" w:firstRow="1" w:lastRow="0" w:firstColumn="1" w:lastColumn="0" w:noHBand="0" w:noVBand="1"/>
      </w:tblPr>
      <w:tblGrid>
        <w:gridCol w:w="2530"/>
        <w:gridCol w:w="3494"/>
      </w:tblGrid>
      <w:tr w:rsidR="00000000" w14:paraId="1406D59B" w14:textId="77777777">
        <w:trPr>
          <w:tblCellSpacing w:w="0" w:type="dxa"/>
          <w:jc w:val="center"/>
        </w:trPr>
        <w:tc>
          <w:tcPr>
            <w:tcW w:w="2100" w:type="pct"/>
            <w:tcBorders>
              <w:bottom w:val="single" w:sz="8" w:space="0" w:color="EEF3F9"/>
            </w:tcBorders>
            <w:tcMar>
              <w:top w:w="100" w:type="dxa"/>
              <w:left w:w="0" w:type="dxa"/>
              <w:bottom w:w="100" w:type="dxa"/>
              <w:right w:w="0" w:type="dxa"/>
            </w:tcMar>
            <w:vAlign w:val="center"/>
            <w:hideMark/>
          </w:tcPr>
          <w:p w14:paraId="73341B07" w14:textId="77777777" w:rsidR="00527253" w:rsidRDefault="00527253">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Submitted To</w:t>
            </w:r>
          </w:p>
        </w:tc>
        <w:tc>
          <w:tcPr>
            <w:tcW w:w="0" w:type="auto"/>
            <w:tcBorders>
              <w:bottom w:val="single" w:sz="8" w:space="0" w:color="EEF3F9"/>
            </w:tcBorders>
            <w:tcMar>
              <w:top w:w="100" w:type="dxa"/>
              <w:left w:w="240" w:type="dxa"/>
              <w:bottom w:w="100" w:type="dxa"/>
              <w:right w:w="0" w:type="dxa"/>
            </w:tcMar>
            <w:vAlign w:val="center"/>
            <w:hideMark/>
          </w:tcPr>
          <w:p w14:paraId="30FDCF4F" w14:textId="77777777" w:rsidR="00527253" w:rsidRDefault="00527253">
            <w:pPr>
              <w:rPr>
                <w:rFonts w:ascii="Calibri" w:eastAsia="Times New Roman" w:hAnsi="Calibri" w:cs="Calibri"/>
                <w:color w:val="1A1A1A"/>
                <w:sz w:val="20"/>
                <w:szCs w:val="20"/>
              </w:rPr>
            </w:pPr>
            <w:r>
              <w:rPr>
                <w:rFonts w:ascii="Calibri" w:eastAsia="Times New Roman" w:hAnsi="Calibri" w:cs="Calibri"/>
                <w:color w:val="1A1A1A"/>
                <w:sz w:val="20"/>
                <w:szCs w:val="20"/>
              </w:rPr>
              <w:t>[Client Company Name]</w:t>
            </w:r>
          </w:p>
        </w:tc>
      </w:tr>
      <w:tr w:rsidR="00000000" w14:paraId="395F3795" w14:textId="77777777">
        <w:trPr>
          <w:tblCellSpacing w:w="0" w:type="dxa"/>
          <w:jc w:val="center"/>
        </w:trPr>
        <w:tc>
          <w:tcPr>
            <w:tcW w:w="0" w:type="auto"/>
            <w:tcBorders>
              <w:bottom w:val="single" w:sz="8" w:space="0" w:color="EEF3F9"/>
            </w:tcBorders>
            <w:tcMar>
              <w:top w:w="100" w:type="dxa"/>
              <w:left w:w="0" w:type="dxa"/>
              <w:bottom w:w="100" w:type="dxa"/>
              <w:right w:w="0" w:type="dxa"/>
            </w:tcMar>
            <w:vAlign w:val="center"/>
            <w:hideMark/>
          </w:tcPr>
          <w:p w14:paraId="653D4EDB" w14:textId="77777777" w:rsidR="00527253" w:rsidRDefault="00527253">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Attention</w:t>
            </w:r>
          </w:p>
        </w:tc>
        <w:tc>
          <w:tcPr>
            <w:tcW w:w="0" w:type="auto"/>
            <w:tcBorders>
              <w:bottom w:val="single" w:sz="8" w:space="0" w:color="EEF3F9"/>
            </w:tcBorders>
            <w:tcMar>
              <w:top w:w="100" w:type="dxa"/>
              <w:left w:w="240" w:type="dxa"/>
              <w:bottom w:w="100" w:type="dxa"/>
              <w:right w:w="0" w:type="dxa"/>
            </w:tcMar>
            <w:vAlign w:val="center"/>
            <w:hideMark/>
          </w:tcPr>
          <w:p w14:paraId="7C07268F" w14:textId="77777777" w:rsidR="00527253" w:rsidRDefault="00527253">
            <w:pPr>
              <w:rPr>
                <w:rFonts w:ascii="Calibri" w:eastAsia="Times New Roman" w:hAnsi="Calibri" w:cs="Calibri"/>
                <w:color w:val="1A1A1A"/>
                <w:sz w:val="20"/>
                <w:szCs w:val="20"/>
              </w:rPr>
            </w:pPr>
            <w:r>
              <w:rPr>
                <w:rFonts w:ascii="Calibri" w:eastAsia="Times New Roman" w:hAnsi="Calibri" w:cs="Calibri"/>
                <w:color w:val="1A1A1A"/>
                <w:sz w:val="20"/>
                <w:szCs w:val="20"/>
              </w:rPr>
              <w:t>[Contact Name], [Title]</w:t>
            </w:r>
          </w:p>
        </w:tc>
      </w:tr>
      <w:tr w:rsidR="00000000" w14:paraId="578A97C6" w14:textId="77777777">
        <w:trPr>
          <w:tblCellSpacing w:w="0" w:type="dxa"/>
          <w:jc w:val="center"/>
        </w:trPr>
        <w:tc>
          <w:tcPr>
            <w:tcW w:w="0" w:type="auto"/>
            <w:tcBorders>
              <w:bottom w:val="single" w:sz="8" w:space="0" w:color="EEF3F9"/>
            </w:tcBorders>
            <w:tcMar>
              <w:top w:w="100" w:type="dxa"/>
              <w:left w:w="0" w:type="dxa"/>
              <w:bottom w:w="100" w:type="dxa"/>
              <w:right w:w="0" w:type="dxa"/>
            </w:tcMar>
            <w:vAlign w:val="center"/>
            <w:hideMark/>
          </w:tcPr>
          <w:p w14:paraId="14E41DE2" w14:textId="77777777" w:rsidR="00527253" w:rsidRDefault="00527253">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Project</w:t>
            </w:r>
          </w:p>
        </w:tc>
        <w:tc>
          <w:tcPr>
            <w:tcW w:w="0" w:type="auto"/>
            <w:tcBorders>
              <w:bottom w:val="single" w:sz="8" w:space="0" w:color="EEF3F9"/>
            </w:tcBorders>
            <w:tcMar>
              <w:top w:w="100" w:type="dxa"/>
              <w:left w:w="240" w:type="dxa"/>
              <w:bottom w:w="100" w:type="dxa"/>
              <w:right w:w="0" w:type="dxa"/>
            </w:tcMar>
            <w:vAlign w:val="center"/>
            <w:hideMark/>
          </w:tcPr>
          <w:p w14:paraId="0E5B16E9" w14:textId="77777777" w:rsidR="00527253" w:rsidRDefault="00527253">
            <w:pPr>
              <w:rPr>
                <w:rFonts w:ascii="Calibri" w:eastAsia="Times New Roman" w:hAnsi="Calibri" w:cs="Calibri"/>
                <w:color w:val="1A1A1A"/>
                <w:sz w:val="20"/>
                <w:szCs w:val="20"/>
              </w:rPr>
            </w:pPr>
            <w:r>
              <w:rPr>
                <w:rFonts w:ascii="Calibri" w:eastAsia="Times New Roman" w:hAnsi="Calibri" w:cs="Calibri"/>
                <w:color w:val="1A1A1A"/>
                <w:sz w:val="20"/>
                <w:szCs w:val="20"/>
              </w:rPr>
              <w:t>[Project Name] — [City, Region]</w:t>
            </w:r>
          </w:p>
        </w:tc>
      </w:tr>
      <w:tr w:rsidR="00000000" w14:paraId="381D5485" w14:textId="77777777">
        <w:trPr>
          <w:tblCellSpacing w:w="0" w:type="dxa"/>
          <w:jc w:val="center"/>
        </w:trPr>
        <w:tc>
          <w:tcPr>
            <w:tcW w:w="0" w:type="auto"/>
            <w:tcBorders>
              <w:bottom w:val="single" w:sz="8" w:space="0" w:color="EEF3F9"/>
            </w:tcBorders>
            <w:tcMar>
              <w:top w:w="100" w:type="dxa"/>
              <w:left w:w="0" w:type="dxa"/>
              <w:bottom w:w="100" w:type="dxa"/>
              <w:right w:w="0" w:type="dxa"/>
            </w:tcMar>
            <w:vAlign w:val="center"/>
            <w:hideMark/>
          </w:tcPr>
          <w:p w14:paraId="7AED6A6E" w14:textId="77777777" w:rsidR="00527253" w:rsidRDefault="00527253">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Date</w:t>
            </w:r>
          </w:p>
        </w:tc>
        <w:tc>
          <w:tcPr>
            <w:tcW w:w="0" w:type="auto"/>
            <w:tcBorders>
              <w:bottom w:val="single" w:sz="8" w:space="0" w:color="EEF3F9"/>
            </w:tcBorders>
            <w:tcMar>
              <w:top w:w="100" w:type="dxa"/>
              <w:left w:w="240" w:type="dxa"/>
              <w:bottom w:w="100" w:type="dxa"/>
              <w:right w:w="0" w:type="dxa"/>
            </w:tcMar>
            <w:vAlign w:val="center"/>
            <w:hideMark/>
          </w:tcPr>
          <w:p w14:paraId="0119068F" w14:textId="77777777" w:rsidR="00527253" w:rsidRDefault="00527253">
            <w:pPr>
              <w:rPr>
                <w:rFonts w:ascii="Calibri" w:eastAsia="Times New Roman" w:hAnsi="Calibri" w:cs="Calibri"/>
                <w:color w:val="1A1A1A"/>
                <w:sz w:val="20"/>
                <w:szCs w:val="20"/>
              </w:rPr>
            </w:pPr>
            <w:r>
              <w:rPr>
                <w:rFonts w:ascii="Calibri" w:eastAsia="Times New Roman" w:hAnsi="Calibri" w:cs="Calibri"/>
                <w:color w:val="1A1A1A"/>
                <w:sz w:val="20"/>
                <w:szCs w:val="20"/>
              </w:rPr>
              <w:t>[Date]  |  May 2026</w:t>
            </w:r>
          </w:p>
        </w:tc>
      </w:tr>
      <w:tr w:rsidR="00000000" w14:paraId="49A10ABB" w14:textId="77777777">
        <w:trPr>
          <w:tblCellSpacing w:w="0" w:type="dxa"/>
          <w:jc w:val="center"/>
        </w:trPr>
        <w:tc>
          <w:tcPr>
            <w:tcW w:w="0" w:type="auto"/>
            <w:tcBorders>
              <w:bottom w:val="single" w:sz="8" w:space="0" w:color="EEF3F9"/>
            </w:tcBorders>
            <w:tcMar>
              <w:top w:w="100" w:type="dxa"/>
              <w:left w:w="0" w:type="dxa"/>
              <w:bottom w:w="100" w:type="dxa"/>
              <w:right w:w="0" w:type="dxa"/>
            </w:tcMar>
            <w:vAlign w:val="center"/>
            <w:hideMark/>
          </w:tcPr>
          <w:p w14:paraId="5840517A" w14:textId="77777777" w:rsidR="00527253" w:rsidRDefault="00527253">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Proposal Reference</w:t>
            </w:r>
          </w:p>
        </w:tc>
        <w:tc>
          <w:tcPr>
            <w:tcW w:w="0" w:type="auto"/>
            <w:tcBorders>
              <w:bottom w:val="single" w:sz="8" w:space="0" w:color="EEF3F9"/>
            </w:tcBorders>
            <w:tcMar>
              <w:top w:w="100" w:type="dxa"/>
              <w:left w:w="240" w:type="dxa"/>
              <w:bottom w:w="100" w:type="dxa"/>
              <w:right w:w="0" w:type="dxa"/>
            </w:tcMar>
            <w:vAlign w:val="center"/>
            <w:hideMark/>
          </w:tcPr>
          <w:p w14:paraId="36828E7C" w14:textId="77777777" w:rsidR="00527253" w:rsidRDefault="00527253">
            <w:pPr>
              <w:rPr>
                <w:rFonts w:ascii="Calibri" w:eastAsia="Times New Roman" w:hAnsi="Calibri" w:cs="Calibri"/>
                <w:color w:val="1A1A1A"/>
                <w:sz w:val="20"/>
                <w:szCs w:val="20"/>
              </w:rPr>
            </w:pPr>
            <w:r>
              <w:rPr>
                <w:rStyle w:val="Strong"/>
                <w:rFonts w:ascii="Calibri" w:eastAsia="Times New Roman" w:hAnsi="Calibri" w:cs="Calibri"/>
                <w:sz w:val="20"/>
                <w:szCs w:val="20"/>
              </w:rPr>
              <w:t>TM-FP-2026-[###]</w:t>
            </w:r>
          </w:p>
        </w:tc>
      </w:tr>
      <w:tr w:rsidR="00000000" w14:paraId="3E7D1BDA" w14:textId="77777777">
        <w:trPr>
          <w:tblCellSpacing w:w="0" w:type="dxa"/>
          <w:jc w:val="center"/>
        </w:trPr>
        <w:tc>
          <w:tcPr>
            <w:tcW w:w="0" w:type="auto"/>
            <w:tcBorders>
              <w:bottom w:val="single" w:sz="8" w:space="0" w:color="EEF3F9"/>
            </w:tcBorders>
            <w:tcMar>
              <w:top w:w="100" w:type="dxa"/>
              <w:left w:w="0" w:type="dxa"/>
              <w:bottom w:w="100" w:type="dxa"/>
              <w:right w:w="0" w:type="dxa"/>
            </w:tcMar>
            <w:vAlign w:val="center"/>
            <w:hideMark/>
          </w:tcPr>
          <w:p w14:paraId="4225800D" w14:textId="77777777" w:rsidR="00527253" w:rsidRDefault="00527253">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Cross-Reference</w:t>
            </w:r>
          </w:p>
        </w:tc>
        <w:tc>
          <w:tcPr>
            <w:tcW w:w="0" w:type="auto"/>
            <w:tcBorders>
              <w:bottom w:val="single" w:sz="8" w:space="0" w:color="EEF3F9"/>
            </w:tcBorders>
            <w:tcMar>
              <w:top w:w="100" w:type="dxa"/>
              <w:left w:w="240" w:type="dxa"/>
              <w:bottom w:w="100" w:type="dxa"/>
              <w:right w:w="0" w:type="dxa"/>
            </w:tcMar>
            <w:vAlign w:val="center"/>
            <w:hideMark/>
          </w:tcPr>
          <w:p w14:paraId="33AE3D94" w14:textId="77777777" w:rsidR="00527253" w:rsidRDefault="00527253">
            <w:pPr>
              <w:rPr>
                <w:rFonts w:ascii="Calibri" w:eastAsia="Times New Roman" w:hAnsi="Calibri" w:cs="Calibri"/>
                <w:color w:val="1A1A1A"/>
                <w:sz w:val="20"/>
                <w:szCs w:val="20"/>
              </w:rPr>
            </w:pPr>
            <w:r>
              <w:rPr>
                <w:rFonts w:ascii="Calibri" w:eastAsia="Times New Roman" w:hAnsi="Calibri" w:cs="Calibri"/>
                <w:color w:val="1A1A1A"/>
                <w:sz w:val="20"/>
                <w:szCs w:val="20"/>
              </w:rPr>
              <w:t>TM-TP-2026-[###]</w:t>
            </w:r>
          </w:p>
        </w:tc>
      </w:tr>
      <w:tr w:rsidR="00000000" w14:paraId="1EC67E77" w14:textId="77777777">
        <w:trPr>
          <w:tblCellSpacing w:w="0" w:type="dxa"/>
          <w:jc w:val="center"/>
        </w:trPr>
        <w:tc>
          <w:tcPr>
            <w:tcW w:w="0" w:type="auto"/>
            <w:tcBorders>
              <w:bottom w:val="single" w:sz="8" w:space="0" w:color="EEF3F9"/>
            </w:tcBorders>
            <w:tcMar>
              <w:top w:w="100" w:type="dxa"/>
              <w:left w:w="0" w:type="dxa"/>
              <w:bottom w:w="100" w:type="dxa"/>
              <w:right w:w="0" w:type="dxa"/>
            </w:tcMar>
            <w:vAlign w:val="center"/>
            <w:hideMark/>
          </w:tcPr>
          <w:p w14:paraId="60A23FCD" w14:textId="77777777" w:rsidR="00527253" w:rsidRDefault="00527253">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Prepared By</w:t>
            </w:r>
          </w:p>
        </w:tc>
        <w:tc>
          <w:tcPr>
            <w:tcW w:w="0" w:type="auto"/>
            <w:tcBorders>
              <w:bottom w:val="single" w:sz="8" w:space="0" w:color="EEF3F9"/>
            </w:tcBorders>
            <w:tcMar>
              <w:top w:w="100" w:type="dxa"/>
              <w:left w:w="240" w:type="dxa"/>
              <w:bottom w:w="100" w:type="dxa"/>
              <w:right w:w="0" w:type="dxa"/>
            </w:tcMar>
            <w:vAlign w:val="center"/>
            <w:hideMark/>
          </w:tcPr>
          <w:p w14:paraId="4B7691DC" w14:textId="77777777" w:rsidR="00527253" w:rsidRDefault="00527253">
            <w:pPr>
              <w:rPr>
                <w:rFonts w:ascii="Calibri" w:eastAsia="Times New Roman" w:hAnsi="Calibri" w:cs="Calibri"/>
                <w:color w:val="1A1A1A"/>
                <w:sz w:val="20"/>
                <w:szCs w:val="20"/>
              </w:rPr>
            </w:pPr>
            <w:r>
              <w:rPr>
                <w:rFonts w:ascii="Calibri" w:eastAsia="Times New Roman" w:hAnsi="Calibri" w:cs="Calibri"/>
                <w:color w:val="1A1A1A"/>
                <w:sz w:val="20"/>
                <w:szCs w:val="20"/>
              </w:rPr>
              <w:t>Eng. Bashar Abuodeh  |  TwinMaq Division</w:t>
            </w:r>
          </w:p>
        </w:tc>
      </w:tr>
      <w:tr w:rsidR="00000000" w14:paraId="149DCC9A" w14:textId="77777777">
        <w:trPr>
          <w:tblCellSpacing w:w="0" w:type="dxa"/>
          <w:jc w:val="center"/>
        </w:trPr>
        <w:tc>
          <w:tcPr>
            <w:tcW w:w="0" w:type="auto"/>
            <w:tcBorders>
              <w:bottom w:val="single" w:sz="8" w:space="0" w:color="EEF3F9"/>
            </w:tcBorders>
            <w:tcMar>
              <w:top w:w="100" w:type="dxa"/>
              <w:left w:w="0" w:type="dxa"/>
              <w:bottom w:w="100" w:type="dxa"/>
              <w:right w:w="0" w:type="dxa"/>
            </w:tcMar>
            <w:vAlign w:val="center"/>
            <w:hideMark/>
          </w:tcPr>
          <w:p w14:paraId="3FEE5108" w14:textId="77777777" w:rsidR="00527253" w:rsidRDefault="00527253">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Reviewed By</w:t>
            </w:r>
          </w:p>
        </w:tc>
        <w:tc>
          <w:tcPr>
            <w:tcW w:w="0" w:type="auto"/>
            <w:tcBorders>
              <w:bottom w:val="single" w:sz="8" w:space="0" w:color="EEF3F9"/>
            </w:tcBorders>
            <w:tcMar>
              <w:top w:w="100" w:type="dxa"/>
              <w:left w:w="240" w:type="dxa"/>
              <w:bottom w:w="100" w:type="dxa"/>
              <w:right w:w="0" w:type="dxa"/>
            </w:tcMar>
            <w:vAlign w:val="center"/>
            <w:hideMark/>
          </w:tcPr>
          <w:p w14:paraId="34A7636B" w14:textId="77777777" w:rsidR="00527253" w:rsidRDefault="00527253">
            <w:pPr>
              <w:rPr>
                <w:rFonts w:ascii="Calibri" w:eastAsia="Times New Roman" w:hAnsi="Calibri" w:cs="Calibri"/>
                <w:color w:val="1A1A1A"/>
                <w:sz w:val="20"/>
                <w:szCs w:val="20"/>
              </w:rPr>
            </w:pPr>
            <w:r>
              <w:rPr>
                <w:rFonts w:ascii="Calibri" w:eastAsia="Times New Roman" w:hAnsi="Calibri" w:cs="Calibri"/>
                <w:color w:val="1A1A1A"/>
                <w:sz w:val="20"/>
                <w:szCs w:val="20"/>
              </w:rPr>
              <w:t>Sundos Soror  |  Business Development</w:t>
            </w:r>
          </w:p>
        </w:tc>
      </w:tr>
      <w:tr w:rsidR="00000000" w14:paraId="472FD8AC" w14:textId="77777777">
        <w:trPr>
          <w:tblCellSpacing w:w="0" w:type="dxa"/>
          <w:jc w:val="center"/>
        </w:trPr>
        <w:tc>
          <w:tcPr>
            <w:tcW w:w="0" w:type="auto"/>
            <w:tcMar>
              <w:top w:w="100" w:type="dxa"/>
              <w:left w:w="0" w:type="dxa"/>
              <w:bottom w:w="100" w:type="dxa"/>
              <w:right w:w="0" w:type="dxa"/>
            </w:tcMar>
            <w:vAlign w:val="center"/>
            <w:hideMark/>
          </w:tcPr>
          <w:p w14:paraId="04BEE36D" w14:textId="77777777" w:rsidR="00527253" w:rsidRDefault="00527253">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Valid For</w:t>
            </w:r>
          </w:p>
        </w:tc>
        <w:tc>
          <w:tcPr>
            <w:tcW w:w="0" w:type="auto"/>
            <w:tcMar>
              <w:top w:w="100" w:type="dxa"/>
              <w:left w:w="240" w:type="dxa"/>
              <w:bottom w:w="100" w:type="dxa"/>
              <w:right w:w="0" w:type="dxa"/>
            </w:tcMar>
            <w:vAlign w:val="center"/>
            <w:hideMark/>
          </w:tcPr>
          <w:p w14:paraId="2A2777E8" w14:textId="77777777" w:rsidR="00527253" w:rsidRDefault="00527253">
            <w:pPr>
              <w:rPr>
                <w:rFonts w:ascii="Calibri" w:eastAsia="Times New Roman" w:hAnsi="Calibri" w:cs="Calibri"/>
                <w:color w:val="1A1A1A"/>
                <w:sz w:val="20"/>
                <w:szCs w:val="20"/>
              </w:rPr>
            </w:pPr>
            <w:r>
              <w:rPr>
                <w:rStyle w:val="Strong"/>
                <w:rFonts w:ascii="Calibri" w:eastAsia="Times New Roman" w:hAnsi="Calibri" w:cs="Calibri"/>
                <w:sz w:val="20"/>
                <w:szCs w:val="20"/>
              </w:rPr>
              <w:t>60 Days from date of issue</w:t>
            </w:r>
          </w:p>
        </w:tc>
      </w:tr>
    </w:tbl>
    <w:p w14:paraId="11980CB6" w14:textId="77777777" w:rsidR="00527253" w:rsidRDefault="00527253">
      <w:pPr>
        <w:divId w:val="1538353872"/>
        <w:rPr>
          <w:rFonts w:ascii="Calibri" w:eastAsia="Times New Roman" w:hAnsi="Calibri" w:cs="Calibri"/>
          <w:vanish/>
          <w:color w:val="1A1A1A"/>
          <w:sz w:val="21"/>
          <w:szCs w:val="21"/>
        </w:rPr>
      </w:pPr>
    </w:p>
    <w:tbl>
      <w:tblPr>
        <w:tblW w:w="5000" w:type="pct"/>
        <w:tblCellSpacing w:w="0" w:type="dxa"/>
        <w:shd w:val="clear" w:color="auto" w:fill="1A3A5C"/>
        <w:tblCellMar>
          <w:top w:w="210" w:type="dxa"/>
          <w:left w:w="210" w:type="dxa"/>
          <w:bottom w:w="210" w:type="dxa"/>
          <w:right w:w="210" w:type="dxa"/>
        </w:tblCellMar>
        <w:tblLook w:val="04A0" w:firstRow="1" w:lastRow="0" w:firstColumn="1" w:lastColumn="0" w:noHBand="0" w:noVBand="1"/>
      </w:tblPr>
      <w:tblGrid>
        <w:gridCol w:w="9413"/>
      </w:tblGrid>
      <w:tr w:rsidR="00000000" w14:paraId="707FCFFD" w14:textId="77777777">
        <w:trPr>
          <w:divId w:val="1538353872"/>
          <w:tblCellSpacing w:w="0" w:type="dxa"/>
        </w:trPr>
        <w:tc>
          <w:tcPr>
            <w:tcW w:w="0" w:type="auto"/>
            <w:shd w:val="clear" w:color="auto" w:fill="1A3A5C"/>
            <w:vAlign w:val="center"/>
            <w:hideMark/>
          </w:tcPr>
          <w:p w14:paraId="112C6DDF" w14:textId="77777777" w:rsidR="00527253" w:rsidRDefault="00527253">
            <w:pPr>
              <w:jc w:val="center"/>
              <w:rPr>
                <w:rFonts w:ascii="Calibri" w:eastAsia="Times New Roman" w:hAnsi="Calibri" w:cs="Calibri"/>
                <w:color w:val="FFFFFF"/>
                <w:sz w:val="19"/>
                <w:szCs w:val="19"/>
              </w:rPr>
            </w:pPr>
            <w:r>
              <w:rPr>
                <w:rStyle w:val="Strong"/>
                <w:rFonts w:ascii="Calibri" w:eastAsia="Times New Roman" w:hAnsi="Calibri" w:cs="Calibri"/>
                <w:spacing w:val="20"/>
                <w:sz w:val="22"/>
                <w:szCs w:val="22"/>
              </w:rPr>
              <w:t>Design Zone Engineering Solutions</w:t>
            </w:r>
            <w:r>
              <w:rPr>
                <w:rFonts w:ascii="Calibri" w:eastAsia="Times New Roman" w:hAnsi="Calibri" w:cs="Calibri"/>
                <w:color w:val="FFFFFF"/>
                <w:sz w:val="19"/>
                <w:szCs w:val="19"/>
              </w:rPr>
              <w:t xml:space="preserve">  |  TwinMaq Division</w:t>
            </w:r>
            <w:r>
              <w:rPr>
                <w:rFonts w:ascii="Calibri" w:eastAsia="Times New Roman" w:hAnsi="Calibri" w:cs="Calibri"/>
                <w:color w:val="FFFFFF"/>
                <w:sz w:val="19"/>
                <w:szCs w:val="19"/>
              </w:rPr>
              <w:br w:type="page"/>
            </w:r>
            <w:r>
              <w:rPr>
                <w:rFonts w:ascii="Calibri" w:eastAsia="Times New Roman" w:hAnsi="Calibri" w:cs="Calibri"/>
                <w:color w:val="A0C0E0"/>
                <w:sz w:val="17"/>
                <w:szCs w:val="17"/>
              </w:rPr>
              <w:t xml:space="preserve">Saudi Arabia  ·  Jordan  ·  Egypt  ·  Confidential Document </w:t>
            </w:r>
          </w:p>
        </w:tc>
      </w:tr>
    </w:tbl>
    <w:p w14:paraId="725AFDCA" w14:textId="77777777" w:rsidR="00527253" w:rsidRDefault="00527253">
      <w:pPr>
        <w:shd w:val="clear" w:color="auto" w:fill="1A3A5C"/>
        <w:divId w:val="873494076"/>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t>01</w:t>
      </w:r>
    </w:p>
    <w:p w14:paraId="27C72958" w14:textId="77777777" w:rsidR="00527253" w:rsidRDefault="00527253">
      <w:pPr>
        <w:pStyle w:val="Heading1"/>
        <w:spacing w:before="120"/>
        <w:divId w:val="195316262"/>
        <w:rPr>
          <w:rFonts w:ascii="Calibri" w:eastAsia="Times New Roman" w:hAnsi="Calibri" w:cs="Calibri"/>
          <w:kern w:val="36"/>
        </w:rPr>
      </w:pPr>
      <w:r>
        <w:rPr>
          <w:rFonts w:ascii="Calibri" w:eastAsia="Times New Roman" w:hAnsi="Calibri" w:cs="Calibri"/>
          <w:kern w:val="36"/>
        </w:rPr>
        <w:lastRenderedPageBreak/>
        <w:t>About Design Zone</w:t>
      </w:r>
    </w:p>
    <w:p w14:paraId="1E89CB4B" w14:textId="77777777" w:rsidR="00527253" w:rsidRDefault="00527253">
      <w:pPr>
        <w:pStyle w:val="NormalWeb"/>
        <w:divId w:val="195316262"/>
        <w:rPr>
          <w:rFonts w:ascii="Calibri" w:hAnsi="Calibri" w:cs="Calibri"/>
          <w:color w:val="1A1A1A"/>
          <w:sz w:val="21"/>
          <w:szCs w:val="21"/>
        </w:rPr>
      </w:pPr>
      <w:r>
        <w:rPr>
          <w:rFonts w:ascii="Calibri" w:hAnsi="Calibri" w:cs="Calibri"/>
          <w:color w:val="1A1A1A"/>
          <w:sz w:val="21"/>
          <w:szCs w:val="21"/>
        </w:rPr>
        <w:t>Design Zone is a Saudi-based engineering and digital solutions company specialising in Building Information Modeling (BIM), interactive 3D visualisation, and immersive digital twin technologies. Founded with a mission to bridge the gap between engineering precision and compelling visual communication, Design Zone serves developers, architects, government authorities, and real estate investors across the Kingdom of Saudi Arabia and the wider GCC region.</w:t>
      </w:r>
    </w:p>
    <w:p w14:paraId="2748CA2C" w14:textId="77777777" w:rsidR="00527253" w:rsidRDefault="00527253">
      <w:pPr>
        <w:pStyle w:val="NormalWeb"/>
        <w:divId w:val="195316262"/>
        <w:rPr>
          <w:rFonts w:ascii="Calibri" w:hAnsi="Calibri" w:cs="Calibri"/>
          <w:color w:val="1A1A1A"/>
          <w:sz w:val="21"/>
          <w:szCs w:val="21"/>
        </w:rPr>
      </w:pPr>
      <w:r>
        <w:rPr>
          <w:rFonts w:ascii="Calibri" w:hAnsi="Calibri" w:cs="Calibri"/>
          <w:color w:val="1A1A1A"/>
          <w:sz w:val="21"/>
          <w:szCs w:val="21"/>
        </w:rPr>
        <w:t>Our team brings together expertise in architectural visualisation, 3D asset development, web platform engineering, and interactive experience design. We operate under a quality management framework aligned with ISO 9001 standards, ensuring that every deliverable meets the highest benchmarks of accuracy, performance, and professional presentation.</w:t>
      </w:r>
    </w:p>
    <w:p w14:paraId="2E80D03A" w14:textId="77777777" w:rsidR="00527253" w:rsidRDefault="00527253">
      <w:pPr>
        <w:pStyle w:val="NormalWeb"/>
        <w:divId w:val="195316262"/>
        <w:rPr>
          <w:rFonts w:ascii="Calibri" w:hAnsi="Calibri" w:cs="Calibri"/>
          <w:color w:val="1A1A1A"/>
          <w:sz w:val="21"/>
          <w:szCs w:val="21"/>
        </w:rPr>
      </w:pPr>
      <w:r>
        <w:rPr>
          <w:rFonts w:ascii="Calibri" w:hAnsi="Calibri" w:cs="Calibri"/>
          <w:color w:val="1A1A1A"/>
          <w:sz w:val="21"/>
          <w:szCs w:val="21"/>
        </w:rPr>
        <w:t>TwinMaq is Design Zone's flagship digital platform product — a fully web-based, interactive 3D visualisation solution developed specifically for the real estate sector. It represents the convergence of our capabilities in 3D modelling, real-time rendering, and user experience design into a single, scalable, client-facing product.</w:t>
      </w:r>
    </w:p>
    <w:tbl>
      <w:tblPr>
        <w:tblW w:w="5000" w:type="pct"/>
        <w:tblCellSpacing w:w="0" w:type="dxa"/>
        <w:tblCellMar>
          <w:left w:w="0" w:type="dxa"/>
          <w:right w:w="0" w:type="dxa"/>
        </w:tblCellMar>
        <w:tblLook w:val="04A0" w:firstRow="1" w:lastRow="0" w:firstColumn="1" w:lastColumn="0" w:noHBand="0" w:noVBand="1"/>
      </w:tblPr>
      <w:tblGrid>
        <w:gridCol w:w="2050"/>
        <w:gridCol w:w="446"/>
        <w:gridCol w:w="2050"/>
        <w:gridCol w:w="446"/>
        <w:gridCol w:w="2051"/>
        <w:gridCol w:w="446"/>
        <w:gridCol w:w="1864"/>
      </w:tblGrid>
      <w:tr w:rsidR="00000000" w14:paraId="7FBCCDC5" w14:textId="77777777">
        <w:trPr>
          <w:divId w:val="195316262"/>
          <w:tblCellSpacing w:w="0" w:type="dxa"/>
        </w:trPr>
        <w:tc>
          <w:tcPr>
            <w:tcW w:w="1200" w:type="pct"/>
            <w:tcBorders>
              <w:top w:val="single" w:sz="24" w:space="0" w:color="FFFFFF"/>
              <w:left w:val="single" w:sz="24" w:space="0" w:color="FFFFFF"/>
              <w:bottom w:val="single" w:sz="24" w:space="0" w:color="FFFFFF"/>
              <w:right w:val="single" w:sz="24" w:space="0" w:color="FFFFFF"/>
            </w:tcBorders>
            <w:shd w:val="clear" w:color="auto" w:fill="1A3A5C"/>
            <w:tcMar>
              <w:top w:w="280" w:type="dxa"/>
              <w:left w:w="160" w:type="dxa"/>
              <w:bottom w:w="280" w:type="dxa"/>
              <w:right w:w="160" w:type="dxa"/>
            </w:tcMar>
            <w:vAlign w:val="center"/>
            <w:hideMark/>
          </w:tcPr>
          <w:p w14:paraId="1EC11D89" w14:textId="77777777" w:rsidR="00527253" w:rsidRDefault="00527253">
            <w:pPr>
              <w:spacing w:after="320"/>
              <w:jc w:val="center"/>
              <w:rPr>
                <w:rFonts w:ascii="Calibri" w:eastAsia="Times New Roman" w:hAnsi="Calibri" w:cs="Calibri"/>
                <w:color w:val="FFFFFF"/>
                <w:sz w:val="21"/>
                <w:szCs w:val="21"/>
              </w:rPr>
            </w:pPr>
            <w:r>
              <w:rPr>
                <w:rStyle w:val="sv2"/>
                <w:rFonts w:ascii="Calibri" w:eastAsia="Times New Roman" w:hAnsi="Calibri" w:cs="Calibri"/>
                <w:color w:val="FFFFFF"/>
              </w:rPr>
              <w:t>10+</w:t>
            </w:r>
            <w:r>
              <w:rPr>
                <w:rStyle w:val="sl2"/>
                <w:rFonts w:ascii="Calibri" w:eastAsia="Times New Roman" w:hAnsi="Calibri" w:cs="Calibri"/>
                <w:color w:val="FFFFFF"/>
              </w:rPr>
              <w:t>YEARS OF EXPERIENCE</w:t>
            </w:r>
          </w:p>
        </w:tc>
        <w:tc>
          <w:tcPr>
            <w:tcW w:w="100" w:type="pct"/>
            <w:tcBorders>
              <w:top w:val="single" w:sz="24" w:space="0" w:color="FFFFFF"/>
              <w:left w:val="single" w:sz="24" w:space="0" w:color="FFFFFF"/>
              <w:bottom w:val="single" w:sz="24" w:space="0" w:color="FFFFFF"/>
              <w:right w:val="single" w:sz="24" w:space="0" w:color="FFFFFF"/>
            </w:tcBorders>
            <w:shd w:val="clear" w:color="auto" w:fill="1A3A5C"/>
            <w:tcMar>
              <w:top w:w="280" w:type="dxa"/>
              <w:left w:w="160" w:type="dxa"/>
              <w:bottom w:w="280" w:type="dxa"/>
              <w:right w:w="160" w:type="dxa"/>
            </w:tcMar>
            <w:vAlign w:val="center"/>
            <w:hideMark/>
          </w:tcPr>
          <w:p w14:paraId="7196C9CA" w14:textId="77777777" w:rsidR="00527253" w:rsidRDefault="00527253">
            <w:pPr>
              <w:spacing w:after="320"/>
              <w:jc w:val="center"/>
              <w:rPr>
                <w:rFonts w:ascii="Calibri" w:eastAsia="Times New Roman" w:hAnsi="Calibri" w:cs="Calibri"/>
                <w:color w:val="FFFFFF"/>
                <w:sz w:val="21"/>
                <w:szCs w:val="21"/>
              </w:rPr>
            </w:pPr>
          </w:p>
        </w:tc>
        <w:tc>
          <w:tcPr>
            <w:tcW w:w="1200" w:type="pct"/>
            <w:tcBorders>
              <w:top w:val="single" w:sz="24" w:space="0" w:color="FFFFFF"/>
              <w:left w:val="single" w:sz="24" w:space="0" w:color="FFFFFF"/>
              <w:bottom w:val="single" w:sz="24" w:space="0" w:color="FFFFFF"/>
              <w:right w:val="single" w:sz="24" w:space="0" w:color="FFFFFF"/>
            </w:tcBorders>
            <w:shd w:val="clear" w:color="auto" w:fill="1A3A5C"/>
            <w:tcMar>
              <w:top w:w="280" w:type="dxa"/>
              <w:left w:w="160" w:type="dxa"/>
              <w:bottom w:w="280" w:type="dxa"/>
              <w:right w:w="160" w:type="dxa"/>
            </w:tcMar>
            <w:vAlign w:val="center"/>
            <w:hideMark/>
          </w:tcPr>
          <w:p w14:paraId="40C82CFD" w14:textId="77777777" w:rsidR="00527253" w:rsidRDefault="00527253">
            <w:pPr>
              <w:spacing w:after="320"/>
              <w:jc w:val="center"/>
              <w:rPr>
                <w:rFonts w:ascii="Calibri" w:eastAsia="Times New Roman" w:hAnsi="Calibri" w:cs="Calibri"/>
                <w:color w:val="FFFFFF"/>
                <w:sz w:val="21"/>
                <w:szCs w:val="21"/>
              </w:rPr>
            </w:pPr>
            <w:r>
              <w:rPr>
                <w:rStyle w:val="sv2"/>
                <w:rFonts w:ascii="Calibri" w:eastAsia="Times New Roman" w:hAnsi="Calibri" w:cs="Calibri"/>
                <w:color w:val="FFFFFF"/>
              </w:rPr>
              <w:t>200+</w:t>
            </w:r>
            <w:r>
              <w:rPr>
                <w:rStyle w:val="sl2"/>
                <w:rFonts w:ascii="Calibri" w:eastAsia="Times New Roman" w:hAnsi="Calibri" w:cs="Calibri"/>
                <w:color w:val="FFFFFF"/>
              </w:rPr>
              <w:t>PROJECTS DELIVERED</w:t>
            </w:r>
          </w:p>
        </w:tc>
        <w:tc>
          <w:tcPr>
            <w:tcW w:w="100" w:type="pct"/>
            <w:tcBorders>
              <w:top w:val="single" w:sz="24" w:space="0" w:color="FFFFFF"/>
              <w:left w:val="single" w:sz="24" w:space="0" w:color="FFFFFF"/>
              <w:bottom w:val="single" w:sz="24" w:space="0" w:color="FFFFFF"/>
              <w:right w:val="single" w:sz="24" w:space="0" w:color="FFFFFF"/>
            </w:tcBorders>
            <w:shd w:val="clear" w:color="auto" w:fill="1A3A5C"/>
            <w:tcMar>
              <w:top w:w="280" w:type="dxa"/>
              <w:left w:w="160" w:type="dxa"/>
              <w:bottom w:w="280" w:type="dxa"/>
              <w:right w:w="160" w:type="dxa"/>
            </w:tcMar>
            <w:vAlign w:val="center"/>
            <w:hideMark/>
          </w:tcPr>
          <w:p w14:paraId="5A72C13F" w14:textId="77777777" w:rsidR="00527253" w:rsidRDefault="00527253">
            <w:pPr>
              <w:spacing w:after="320"/>
              <w:jc w:val="center"/>
              <w:rPr>
                <w:rFonts w:ascii="Calibri" w:eastAsia="Times New Roman" w:hAnsi="Calibri" w:cs="Calibri"/>
                <w:color w:val="FFFFFF"/>
                <w:sz w:val="21"/>
                <w:szCs w:val="21"/>
              </w:rPr>
            </w:pPr>
          </w:p>
        </w:tc>
        <w:tc>
          <w:tcPr>
            <w:tcW w:w="1200" w:type="pct"/>
            <w:tcBorders>
              <w:top w:val="single" w:sz="24" w:space="0" w:color="FFFFFF"/>
              <w:left w:val="single" w:sz="24" w:space="0" w:color="FFFFFF"/>
              <w:bottom w:val="single" w:sz="24" w:space="0" w:color="FFFFFF"/>
              <w:right w:val="single" w:sz="24" w:space="0" w:color="FFFFFF"/>
            </w:tcBorders>
            <w:shd w:val="clear" w:color="auto" w:fill="1A3A5C"/>
            <w:tcMar>
              <w:top w:w="280" w:type="dxa"/>
              <w:left w:w="160" w:type="dxa"/>
              <w:bottom w:w="280" w:type="dxa"/>
              <w:right w:w="160" w:type="dxa"/>
            </w:tcMar>
            <w:vAlign w:val="center"/>
            <w:hideMark/>
          </w:tcPr>
          <w:p w14:paraId="7F6C77D5" w14:textId="77777777" w:rsidR="00527253" w:rsidRDefault="00527253">
            <w:pPr>
              <w:spacing w:after="320"/>
              <w:jc w:val="center"/>
              <w:rPr>
                <w:rFonts w:ascii="Calibri" w:eastAsia="Times New Roman" w:hAnsi="Calibri" w:cs="Calibri"/>
                <w:color w:val="FFFFFF"/>
                <w:sz w:val="21"/>
                <w:szCs w:val="21"/>
              </w:rPr>
            </w:pPr>
            <w:r>
              <w:rPr>
                <w:rStyle w:val="sv2"/>
                <w:rFonts w:ascii="Calibri" w:eastAsia="Times New Roman" w:hAnsi="Calibri" w:cs="Calibri"/>
                <w:color w:val="FFFFFF"/>
              </w:rPr>
              <w:t>ISO 9001</w:t>
            </w:r>
            <w:r>
              <w:rPr>
                <w:rStyle w:val="sl2"/>
                <w:rFonts w:ascii="Calibri" w:eastAsia="Times New Roman" w:hAnsi="Calibri" w:cs="Calibri"/>
                <w:color w:val="FFFFFF"/>
              </w:rPr>
              <w:t>CERTIFIED QUALITY</w:t>
            </w:r>
          </w:p>
        </w:tc>
        <w:tc>
          <w:tcPr>
            <w:tcW w:w="100" w:type="pct"/>
            <w:tcBorders>
              <w:top w:val="single" w:sz="24" w:space="0" w:color="FFFFFF"/>
              <w:left w:val="single" w:sz="24" w:space="0" w:color="FFFFFF"/>
              <w:bottom w:val="single" w:sz="24" w:space="0" w:color="FFFFFF"/>
              <w:right w:val="single" w:sz="24" w:space="0" w:color="FFFFFF"/>
            </w:tcBorders>
            <w:shd w:val="clear" w:color="auto" w:fill="1A3A5C"/>
            <w:tcMar>
              <w:top w:w="280" w:type="dxa"/>
              <w:left w:w="160" w:type="dxa"/>
              <w:bottom w:w="280" w:type="dxa"/>
              <w:right w:w="160" w:type="dxa"/>
            </w:tcMar>
            <w:vAlign w:val="center"/>
            <w:hideMark/>
          </w:tcPr>
          <w:p w14:paraId="7F3E206F" w14:textId="77777777" w:rsidR="00527253" w:rsidRDefault="00527253">
            <w:pPr>
              <w:spacing w:after="320"/>
              <w:jc w:val="center"/>
              <w:rPr>
                <w:rFonts w:ascii="Calibri" w:eastAsia="Times New Roman" w:hAnsi="Calibri" w:cs="Calibri"/>
                <w:color w:val="FFFFFF"/>
                <w:sz w:val="21"/>
                <w:szCs w:val="21"/>
              </w:rPr>
            </w:pPr>
          </w:p>
        </w:tc>
        <w:tc>
          <w:tcPr>
            <w:tcW w:w="1200" w:type="pct"/>
            <w:tcBorders>
              <w:top w:val="single" w:sz="24" w:space="0" w:color="FFFFFF"/>
              <w:left w:val="single" w:sz="24" w:space="0" w:color="FFFFFF"/>
              <w:bottom w:val="single" w:sz="24" w:space="0" w:color="FFFFFF"/>
              <w:right w:val="single" w:sz="24" w:space="0" w:color="FFFFFF"/>
            </w:tcBorders>
            <w:shd w:val="clear" w:color="auto" w:fill="1A3A5C"/>
            <w:tcMar>
              <w:top w:w="280" w:type="dxa"/>
              <w:left w:w="160" w:type="dxa"/>
              <w:bottom w:w="280" w:type="dxa"/>
              <w:right w:w="160" w:type="dxa"/>
            </w:tcMar>
            <w:vAlign w:val="center"/>
            <w:hideMark/>
          </w:tcPr>
          <w:p w14:paraId="0D6F3E7C" w14:textId="77777777" w:rsidR="00527253" w:rsidRDefault="00527253">
            <w:pPr>
              <w:spacing w:after="320"/>
              <w:jc w:val="center"/>
              <w:rPr>
                <w:rFonts w:ascii="Calibri" w:eastAsia="Times New Roman" w:hAnsi="Calibri" w:cs="Calibri"/>
                <w:color w:val="FFFFFF"/>
                <w:sz w:val="21"/>
                <w:szCs w:val="21"/>
              </w:rPr>
            </w:pPr>
            <w:r>
              <w:rPr>
                <w:rStyle w:val="sv2"/>
                <w:rFonts w:ascii="Calibri" w:eastAsia="Times New Roman" w:hAnsi="Calibri" w:cs="Calibri"/>
                <w:color w:val="FFFFFF"/>
              </w:rPr>
              <w:t>KSA &amp; GCC</w:t>
            </w:r>
            <w:r>
              <w:rPr>
                <w:rStyle w:val="sl2"/>
                <w:rFonts w:ascii="Calibri" w:eastAsia="Times New Roman" w:hAnsi="Calibri" w:cs="Calibri"/>
                <w:color w:val="FFFFFF"/>
              </w:rPr>
              <w:t>MARKET COVERAGE</w:t>
            </w:r>
          </w:p>
        </w:tc>
      </w:tr>
    </w:tbl>
    <w:p w14:paraId="092EFDA6" w14:textId="77777777" w:rsidR="00527253" w:rsidRDefault="00527253">
      <w:pPr>
        <w:pStyle w:val="Heading2"/>
        <w:divId w:val="195316262"/>
        <w:rPr>
          <w:rFonts w:ascii="Calibri" w:eastAsia="Times New Roman" w:hAnsi="Calibri" w:cs="Calibri"/>
        </w:rPr>
      </w:pPr>
      <w:r>
        <w:rPr>
          <w:rFonts w:ascii="Calibri" w:eastAsia="Times New Roman" w:hAnsi="Calibri" w:cs="Calibri"/>
        </w:rPr>
        <w:t>Company Profile</w:t>
      </w:r>
    </w:p>
    <w:tbl>
      <w:tblPr>
        <w:tblW w:w="5000" w:type="pct"/>
        <w:tblCellMar>
          <w:top w:w="15" w:type="dxa"/>
          <w:left w:w="15" w:type="dxa"/>
          <w:bottom w:w="15" w:type="dxa"/>
          <w:right w:w="15" w:type="dxa"/>
        </w:tblCellMar>
        <w:tblLook w:val="04A0" w:firstRow="1" w:lastRow="0" w:firstColumn="1" w:lastColumn="0" w:noHBand="0" w:noVBand="1"/>
      </w:tblPr>
      <w:tblGrid>
        <w:gridCol w:w="2818"/>
        <w:gridCol w:w="6575"/>
      </w:tblGrid>
      <w:tr w:rsidR="00000000" w14:paraId="42086A8E" w14:textId="77777777">
        <w:trPr>
          <w:divId w:val="195316262"/>
        </w:trPr>
        <w:tc>
          <w:tcPr>
            <w:tcW w:w="15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AC57F2D"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Field</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5ACD231"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Details</w:t>
            </w:r>
          </w:p>
        </w:tc>
      </w:tr>
      <w:tr w:rsidR="00000000" w14:paraId="69245792" w14:textId="77777777">
        <w:trPr>
          <w:divId w:val="195316262"/>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7ECB1BC"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Legal Name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E6B6592"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 Engineering Solutions</w:t>
            </w:r>
          </w:p>
        </w:tc>
      </w:tr>
      <w:tr w:rsidR="00000000" w14:paraId="50D5380B" w14:textId="77777777">
        <w:trPr>
          <w:divId w:val="195316262"/>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2406B75"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Headquarters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C674529"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Kingdom of Saudi Arabia</w:t>
            </w:r>
          </w:p>
        </w:tc>
      </w:tr>
      <w:tr w:rsidR="00000000" w14:paraId="033C6141" w14:textId="77777777">
        <w:trPr>
          <w:divId w:val="195316262"/>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ED3EB78"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Regional Offices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2FD1C88"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Amman, Jordan  ·  Cairo, Egypt</w:t>
            </w:r>
          </w:p>
        </w:tc>
      </w:tr>
      <w:tr w:rsidR="00000000" w14:paraId="1C187E9D" w14:textId="77777777">
        <w:trPr>
          <w:divId w:val="195316262"/>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E6BB7E8"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Market Coverage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57B0917"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KSA, GCC, MENA</w:t>
            </w:r>
          </w:p>
        </w:tc>
      </w:tr>
      <w:tr w:rsidR="00000000" w14:paraId="665F6F5D" w14:textId="77777777">
        <w:trPr>
          <w:divId w:val="195316262"/>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2BE1CE8"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Quality Certification</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267E240"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ISO 9001 — Interactive Web Platform for Digital Project Showcase</w:t>
            </w:r>
          </w:p>
        </w:tc>
      </w:tr>
      <w:tr w:rsidR="00000000" w14:paraId="71D07878" w14:textId="77777777">
        <w:trPr>
          <w:divId w:val="195316262"/>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64032E1"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VAT Registration</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7ECC865"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ZATCA Registered — 15% VAT compliant</w:t>
            </w:r>
          </w:p>
        </w:tc>
      </w:tr>
      <w:tr w:rsidR="00000000" w14:paraId="78A03AC5" w14:textId="77777777">
        <w:trPr>
          <w:divId w:val="195316262"/>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5AA931F"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lastRenderedPageBreak/>
              <w:t>Core Disciplines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BDAEC18"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3D Visualisation, BIM, PropTech, Digital Twin, Interactive Platforms</w:t>
            </w:r>
          </w:p>
        </w:tc>
      </w:tr>
      <w:tr w:rsidR="00000000" w14:paraId="0324CD52" w14:textId="77777777">
        <w:trPr>
          <w:divId w:val="195316262"/>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5FB808B"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Flagship Product</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C7F1A68"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TwinMaq — Interactive 3D Real Estate Visualisation Platform</w:t>
            </w:r>
          </w:p>
        </w:tc>
      </w:tr>
      <w:tr w:rsidR="00000000" w14:paraId="226E0BC3" w14:textId="77777777">
        <w:trPr>
          <w:divId w:val="195316262"/>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5E5657B"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Website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C72FD59"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www.designzone.com.sa</w:t>
            </w:r>
          </w:p>
        </w:tc>
      </w:tr>
    </w:tbl>
    <w:p w14:paraId="72C5F5CE" w14:textId="77777777" w:rsidR="00527253" w:rsidRDefault="00527253">
      <w:pPr>
        <w:pStyle w:val="Heading2"/>
        <w:divId w:val="195316262"/>
        <w:rPr>
          <w:rFonts w:ascii="Calibri" w:eastAsia="Times New Roman" w:hAnsi="Calibri" w:cs="Calibri"/>
        </w:rPr>
      </w:pPr>
      <w:r>
        <w:rPr>
          <w:rFonts w:ascii="Calibri" w:eastAsia="Times New Roman" w:hAnsi="Calibri" w:cs="Calibri"/>
        </w:rPr>
        <w:t>Why Design Zone</w:t>
      </w:r>
    </w:p>
    <w:p w14:paraId="2F73C1FE" w14:textId="77777777" w:rsidR="00527253" w:rsidRDefault="00527253">
      <w:pPr>
        <w:numPr>
          <w:ilvl w:val="0"/>
          <w:numId w:val="1"/>
        </w:numPr>
        <w:spacing w:before="100" w:beforeAutospacing="1" w:after="80"/>
        <w:divId w:val="195316262"/>
        <w:rPr>
          <w:rFonts w:ascii="Calibri" w:eastAsia="Times New Roman" w:hAnsi="Calibri" w:cs="Calibri"/>
          <w:color w:val="1A1A1A"/>
          <w:sz w:val="21"/>
          <w:szCs w:val="21"/>
        </w:rPr>
      </w:pPr>
      <w:r>
        <w:rPr>
          <w:rStyle w:val="Strong"/>
          <w:rFonts w:ascii="Calibri" w:eastAsia="Times New Roman" w:hAnsi="Calibri" w:cs="Calibri"/>
          <w:sz w:val="21"/>
          <w:szCs w:val="21"/>
        </w:rPr>
        <w:t>Locally Grounded:</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Saudi-headquartered team with deep understanding of the KSA real estate market, buyer behaviour, and regulatory requirements — including ZATCA VAT compliance and PDPL data protection.</w:t>
      </w:r>
    </w:p>
    <w:p w14:paraId="06E60551" w14:textId="77777777" w:rsidR="00527253" w:rsidRDefault="00527253">
      <w:pPr>
        <w:numPr>
          <w:ilvl w:val="0"/>
          <w:numId w:val="1"/>
        </w:numPr>
        <w:spacing w:before="100" w:beforeAutospacing="1" w:after="80"/>
        <w:divId w:val="195316262"/>
        <w:rPr>
          <w:rFonts w:ascii="Calibri" w:eastAsia="Times New Roman" w:hAnsi="Calibri" w:cs="Calibri"/>
          <w:color w:val="1A1A1A"/>
          <w:sz w:val="21"/>
          <w:szCs w:val="21"/>
        </w:rPr>
      </w:pPr>
      <w:r>
        <w:rPr>
          <w:rStyle w:val="Strong"/>
          <w:rFonts w:ascii="Calibri" w:eastAsia="Times New Roman" w:hAnsi="Calibri" w:cs="Calibri"/>
          <w:sz w:val="21"/>
          <w:szCs w:val="21"/>
        </w:rPr>
        <w:t>Technically Integrated:</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Our 3D assets, platform engine, and marketing video production all originate from the same modelling environment — guaranteeing full visual consistency across every deliverable.</w:t>
      </w:r>
    </w:p>
    <w:p w14:paraId="4166B850" w14:textId="77777777" w:rsidR="00527253" w:rsidRDefault="00527253">
      <w:pPr>
        <w:numPr>
          <w:ilvl w:val="0"/>
          <w:numId w:val="1"/>
        </w:numPr>
        <w:spacing w:before="100" w:beforeAutospacing="1" w:after="80"/>
        <w:divId w:val="195316262"/>
        <w:rPr>
          <w:rFonts w:ascii="Calibri" w:eastAsia="Times New Roman" w:hAnsi="Calibri" w:cs="Calibri"/>
          <w:color w:val="1A1A1A"/>
          <w:sz w:val="21"/>
          <w:szCs w:val="21"/>
        </w:rPr>
      </w:pPr>
      <w:r>
        <w:rPr>
          <w:rStyle w:val="Strong"/>
          <w:rFonts w:ascii="Calibri" w:eastAsia="Times New Roman" w:hAnsi="Calibri" w:cs="Calibri"/>
          <w:sz w:val="21"/>
          <w:szCs w:val="21"/>
        </w:rPr>
        <w:t>Arabic-First:</w:t>
      </w:r>
      <w:r>
        <w:rPr>
          <w:rFonts w:ascii="Calibri" w:eastAsia="Times New Roman" w:hAnsi="Calibri" w:cs="Calibri"/>
          <w:color w:val="1A1A1A"/>
          <w:sz w:val="21"/>
          <w:szCs w:val="21"/>
        </w:rPr>
        <w:t xml:space="preserve"> TwinMaq is natively bilingual — Arabic is the primary interface language, built from the ground up for Arabic-speaking buyers, not retrofitted as a translation layer.</w:t>
      </w:r>
    </w:p>
    <w:p w14:paraId="1CB99E45" w14:textId="77777777" w:rsidR="00527253" w:rsidRDefault="00527253">
      <w:pPr>
        <w:numPr>
          <w:ilvl w:val="0"/>
          <w:numId w:val="1"/>
        </w:numPr>
        <w:spacing w:before="100" w:beforeAutospacing="1" w:after="80"/>
        <w:divId w:val="195316262"/>
        <w:rPr>
          <w:rFonts w:ascii="Calibri" w:eastAsia="Times New Roman" w:hAnsi="Calibri" w:cs="Calibri"/>
          <w:color w:val="1A1A1A"/>
          <w:sz w:val="21"/>
          <w:szCs w:val="21"/>
        </w:rPr>
      </w:pPr>
      <w:r>
        <w:rPr>
          <w:rStyle w:val="Strong"/>
          <w:rFonts w:ascii="Calibri" w:eastAsia="Times New Roman" w:hAnsi="Calibri" w:cs="Calibri"/>
          <w:sz w:val="21"/>
          <w:szCs w:val="21"/>
        </w:rPr>
        <w:t>End-to-End Delivery:</w:t>
      </w:r>
      <w:r>
        <w:rPr>
          <w:rFonts w:ascii="Calibri" w:eastAsia="Times New Roman" w:hAnsi="Calibri" w:cs="Calibri"/>
          <w:color w:val="1A1A1A"/>
          <w:sz w:val="21"/>
          <w:szCs w:val="21"/>
        </w:rPr>
        <w:t xml:space="preserve"> From raw CAD files to a live, hosted platform — Design Zone manages the entire delivery pipeline with a single point of accountability.</w:t>
      </w:r>
    </w:p>
    <w:p w14:paraId="17F9824E" w14:textId="77777777" w:rsidR="00527253" w:rsidRDefault="00527253">
      <w:pPr>
        <w:numPr>
          <w:ilvl w:val="0"/>
          <w:numId w:val="1"/>
        </w:numPr>
        <w:spacing w:before="100" w:beforeAutospacing="1" w:after="80"/>
        <w:divId w:val="195316262"/>
        <w:rPr>
          <w:rFonts w:ascii="Calibri" w:eastAsia="Times New Roman" w:hAnsi="Calibri" w:cs="Calibri"/>
          <w:color w:val="1A1A1A"/>
          <w:sz w:val="21"/>
          <w:szCs w:val="21"/>
        </w:rPr>
      </w:pPr>
      <w:r>
        <w:rPr>
          <w:rStyle w:val="Strong"/>
          <w:rFonts w:ascii="Calibri" w:eastAsia="Times New Roman" w:hAnsi="Calibri" w:cs="Calibri"/>
          <w:sz w:val="21"/>
          <w:szCs w:val="21"/>
        </w:rPr>
        <w:t>Long-Term Partnership:</w:t>
      </w:r>
      <w:r>
        <w:rPr>
          <w:rFonts w:ascii="Calibri" w:eastAsia="Times New Roman" w:hAnsi="Calibri" w:cs="Calibri"/>
          <w:color w:val="1A1A1A"/>
          <w:sz w:val="21"/>
          <w:szCs w:val="21"/>
        </w:rPr>
        <w:t xml:space="preserve"> Our post-delivery hosting, support, and maintenance services mean we remain your technology partner throughout the project's sales lifecycle.</w:t>
      </w:r>
    </w:p>
    <w:p w14:paraId="5A089784" w14:textId="77777777" w:rsidR="00527253" w:rsidRDefault="00527253">
      <w:pPr>
        <w:pStyle w:val="Heading1"/>
        <w:spacing w:before="0"/>
        <w:divId w:val="1830100337"/>
        <w:rPr>
          <w:rFonts w:ascii="Calibri" w:eastAsia="Times New Roman" w:hAnsi="Calibri" w:cs="Calibri"/>
          <w:spacing w:val="20"/>
          <w:kern w:val="36"/>
          <w:sz w:val="36"/>
          <w:szCs w:val="36"/>
        </w:rPr>
      </w:pPr>
      <w:r>
        <w:rPr>
          <w:rFonts w:ascii="Calibri" w:eastAsia="Times New Roman" w:hAnsi="Calibri" w:cs="Calibri"/>
          <w:spacing w:val="20"/>
          <w:kern w:val="36"/>
          <w:sz w:val="36"/>
          <w:szCs w:val="36"/>
        </w:rPr>
        <w:t>TABLE OF CONTENTS</w:t>
      </w:r>
    </w:p>
    <w:p w14:paraId="16A9911A" w14:textId="77777777" w:rsidR="00527253" w:rsidRDefault="00527253">
      <w:pPr>
        <w:divId w:val="620574777"/>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01    About Design Zone</w:t>
      </w:r>
      <w:r>
        <w:rPr>
          <w:rStyle w:val="toc-pg3"/>
          <w:rFonts w:ascii="Calibri" w:eastAsia="Times New Roman" w:hAnsi="Calibri" w:cs="Calibri"/>
          <w:color w:val="1A1A1A"/>
          <w:sz w:val="21"/>
          <w:szCs w:val="21"/>
        </w:rPr>
        <w:t>3</w:t>
      </w:r>
    </w:p>
    <w:p w14:paraId="02304660" w14:textId="77777777" w:rsidR="00527253" w:rsidRDefault="00527253">
      <w:pPr>
        <w:divId w:val="2074771429"/>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02    Pricing Overview</w:t>
      </w:r>
      <w:r>
        <w:rPr>
          <w:rStyle w:val="toc-pg3"/>
          <w:rFonts w:ascii="Calibri" w:eastAsia="Times New Roman" w:hAnsi="Calibri" w:cs="Calibri"/>
          <w:color w:val="1A1A1A"/>
          <w:sz w:val="21"/>
          <w:szCs w:val="21"/>
        </w:rPr>
        <w:t>4</w:t>
      </w:r>
    </w:p>
    <w:p w14:paraId="11087FA2" w14:textId="77777777" w:rsidR="00527253" w:rsidRDefault="00527253">
      <w:pPr>
        <w:divId w:val="685598155"/>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03    Core Platform Package</w:t>
      </w:r>
      <w:r>
        <w:rPr>
          <w:rStyle w:val="toc-pg3"/>
          <w:rFonts w:ascii="Calibri" w:eastAsia="Times New Roman" w:hAnsi="Calibri" w:cs="Calibri"/>
          <w:color w:val="1A1A1A"/>
          <w:sz w:val="21"/>
          <w:szCs w:val="21"/>
        </w:rPr>
        <w:t>5</w:t>
      </w:r>
    </w:p>
    <w:p w14:paraId="0E152A85" w14:textId="77777777" w:rsidR="00527253" w:rsidRDefault="00527253">
      <w:pPr>
        <w:divId w:val="1206137943"/>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04    3D Asset Pricing — Apartments</w:t>
      </w:r>
      <w:r>
        <w:rPr>
          <w:rStyle w:val="toc-pg3"/>
          <w:rFonts w:ascii="Calibri" w:eastAsia="Times New Roman" w:hAnsi="Calibri" w:cs="Calibri"/>
          <w:color w:val="1A1A1A"/>
          <w:sz w:val="21"/>
          <w:szCs w:val="21"/>
        </w:rPr>
        <w:t>6</w:t>
      </w:r>
    </w:p>
    <w:p w14:paraId="5D0CF16D" w14:textId="77777777" w:rsidR="00527253" w:rsidRDefault="00527253">
      <w:pPr>
        <w:divId w:val="332924877"/>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05    3D Asset Pricing — Villas</w:t>
      </w:r>
      <w:r>
        <w:rPr>
          <w:rStyle w:val="toc-pg3"/>
          <w:rFonts w:ascii="Calibri" w:eastAsia="Times New Roman" w:hAnsi="Calibri" w:cs="Calibri"/>
          <w:color w:val="1A1A1A"/>
          <w:sz w:val="21"/>
          <w:szCs w:val="21"/>
        </w:rPr>
        <w:t>7</w:t>
      </w:r>
    </w:p>
    <w:p w14:paraId="5496DCE1" w14:textId="77777777" w:rsidR="00527253" w:rsidRDefault="00527253">
      <w:pPr>
        <w:divId w:val="1405638397"/>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06    Video &amp; Marketing Content</w:t>
      </w:r>
      <w:r>
        <w:rPr>
          <w:rStyle w:val="toc-pg3"/>
          <w:rFonts w:ascii="Calibri" w:eastAsia="Times New Roman" w:hAnsi="Calibri" w:cs="Calibri"/>
          <w:color w:val="1A1A1A"/>
          <w:sz w:val="21"/>
          <w:szCs w:val="21"/>
        </w:rPr>
        <w:t>8</w:t>
      </w:r>
    </w:p>
    <w:p w14:paraId="3AA48E5D" w14:textId="77777777" w:rsidR="00527253" w:rsidRDefault="00527253">
      <w:pPr>
        <w:divId w:val="932010641"/>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07    Indicative Project Totals by Scale</w:t>
      </w:r>
      <w:r>
        <w:rPr>
          <w:rStyle w:val="toc-pg3"/>
          <w:rFonts w:ascii="Calibri" w:eastAsia="Times New Roman" w:hAnsi="Calibri" w:cs="Calibri"/>
          <w:color w:val="1A1A1A"/>
          <w:sz w:val="21"/>
          <w:szCs w:val="21"/>
        </w:rPr>
        <w:t>9</w:t>
      </w:r>
    </w:p>
    <w:p w14:paraId="55F64B78" w14:textId="77777777" w:rsidR="00527253" w:rsidRDefault="00527253">
      <w:pPr>
        <w:divId w:val="311296032"/>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08    Optional Add-On Services</w:t>
      </w:r>
      <w:r>
        <w:rPr>
          <w:rStyle w:val="toc-pg3"/>
          <w:rFonts w:ascii="Calibri" w:eastAsia="Times New Roman" w:hAnsi="Calibri" w:cs="Calibri"/>
          <w:color w:val="1A1A1A"/>
          <w:sz w:val="21"/>
          <w:szCs w:val="21"/>
        </w:rPr>
        <w:t>10</w:t>
      </w:r>
    </w:p>
    <w:p w14:paraId="64BA1195" w14:textId="77777777" w:rsidR="00527253" w:rsidRDefault="00527253">
      <w:pPr>
        <w:divId w:val="1498686026"/>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09    Payment Milestones</w:t>
      </w:r>
      <w:r>
        <w:rPr>
          <w:rStyle w:val="toc-pg3"/>
          <w:rFonts w:ascii="Calibri" w:eastAsia="Times New Roman" w:hAnsi="Calibri" w:cs="Calibri"/>
          <w:color w:val="1A1A1A"/>
          <w:sz w:val="21"/>
          <w:szCs w:val="21"/>
        </w:rPr>
        <w:t>11</w:t>
      </w:r>
    </w:p>
    <w:p w14:paraId="51417CE9" w14:textId="77777777" w:rsidR="00527253" w:rsidRDefault="00527253">
      <w:pPr>
        <w:divId w:val="339554196"/>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10    Revision Policy</w:t>
      </w:r>
      <w:r>
        <w:rPr>
          <w:rStyle w:val="toc-pg3"/>
          <w:rFonts w:ascii="Calibri" w:eastAsia="Times New Roman" w:hAnsi="Calibri" w:cs="Calibri"/>
          <w:color w:val="1A1A1A"/>
          <w:sz w:val="21"/>
          <w:szCs w:val="21"/>
        </w:rPr>
        <w:t>12</w:t>
      </w:r>
    </w:p>
    <w:p w14:paraId="5861D32E" w14:textId="77777777" w:rsidR="00527253" w:rsidRDefault="00527253">
      <w:pPr>
        <w:divId w:val="1556896487"/>
        <w:rPr>
          <w:rFonts w:ascii="Calibri" w:eastAsia="Times New Roman" w:hAnsi="Calibri" w:cs="Calibri"/>
          <w:color w:val="1A1A1A"/>
          <w:sz w:val="21"/>
          <w:szCs w:val="21"/>
        </w:rPr>
      </w:pPr>
      <w:r>
        <w:rPr>
          <w:rStyle w:val="toc-title3"/>
          <w:rFonts w:ascii="Calibri" w:eastAsia="Times New Roman" w:hAnsi="Calibri" w:cs="Calibri"/>
          <w:color w:val="1A1A1A"/>
          <w:sz w:val="21"/>
          <w:szCs w:val="21"/>
        </w:rPr>
        <w:t>11    Terms &amp; Conditions</w:t>
      </w:r>
      <w:r>
        <w:rPr>
          <w:rStyle w:val="toc-pg3"/>
          <w:rFonts w:ascii="Calibri" w:eastAsia="Times New Roman" w:hAnsi="Calibri" w:cs="Calibri"/>
          <w:color w:val="1A1A1A"/>
          <w:sz w:val="21"/>
          <w:szCs w:val="21"/>
        </w:rPr>
        <w:t>13</w:t>
      </w:r>
    </w:p>
    <w:p w14:paraId="3BEF7210" w14:textId="77777777" w:rsidR="00527253" w:rsidRDefault="00527253">
      <w:pPr>
        <w:pageBreakBefore/>
        <w:shd w:val="clear" w:color="auto" w:fill="1A3A5C"/>
        <w:divId w:val="433524054"/>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lastRenderedPageBreak/>
        <w:t>02</w:t>
      </w:r>
    </w:p>
    <w:p w14:paraId="6BF7AE4B" w14:textId="77777777" w:rsidR="00527253" w:rsidRDefault="00527253">
      <w:pPr>
        <w:pStyle w:val="Heading1"/>
        <w:pageBreakBefore/>
        <w:spacing w:before="120"/>
        <w:divId w:val="154340534"/>
        <w:rPr>
          <w:rFonts w:ascii="Calibri" w:eastAsia="Times New Roman" w:hAnsi="Calibri" w:cs="Calibri"/>
          <w:kern w:val="36"/>
        </w:rPr>
      </w:pPr>
      <w:r>
        <w:rPr>
          <w:rFonts w:ascii="Calibri" w:eastAsia="Times New Roman" w:hAnsi="Calibri" w:cs="Calibri"/>
          <w:kern w:val="36"/>
        </w:rPr>
        <w:lastRenderedPageBreak/>
        <w:t>Pricing Overview</w:t>
      </w:r>
    </w:p>
    <w:p w14:paraId="17E67553" w14:textId="77777777" w:rsidR="00527253" w:rsidRDefault="00527253">
      <w:pPr>
        <w:pStyle w:val="NormalWeb"/>
        <w:pageBreakBefore/>
        <w:divId w:val="154340534"/>
        <w:rPr>
          <w:rFonts w:ascii="Calibri" w:hAnsi="Calibri" w:cs="Calibri"/>
          <w:color w:val="1A1A1A"/>
          <w:sz w:val="21"/>
          <w:szCs w:val="21"/>
        </w:rPr>
      </w:pPr>
      <w:r>
        <w:rPr>
          <w:rFonts w:ascii="Calibri" w:hAnsi="Calibri" w:cs="Calibri"/>
          <w:color w:val="1A1A1A"/>
          <w:sz w:val="21"/>
          <w:szCs w:val="21"/>
        </w:rPr>
        <w:lastRenderedPageBreak/>
        <w:t>The following pricing structure has been developed to reflect current market rates for high-quality interactive 3D visualisation services in the Kingdom of Saudi Arabia. Our pricing has been benchmarked against comparable service providers in the KSA market to ensure competitive positioning while maintaining our standard of quality and delivery. All prices are quoted in Saudi Riyals (SAR) and are exclusive of VAT at the prevailing rate of 15% per ZATCA regulations.</w:t>
      </w:r>
    </w:p>
    <w:p w14:paraId="7F2FB136" w14:textId="77777777" w:rsidR="00527253" w:rsidRDefault="00527253">
      <w:pPr>
        <w:pStyle w:val="NormalWeb"/>
        <w:pageBreakBefore/>
        <w:divId w:val="154340534"/>
        <w:rPr>
          <w:rFonts w:ascii="Calibri" w:hAnsi="Calibri" w:cs="Calibri"/>
          <w:color w:val="1A1A1A"/>
          <w:sz w:val="21"/>
          <w:szCs w:val="21"/>
        </w:rPr>
      </w:pPr>
      <w:r>
        <w:rPr>
          <w:rFonts w:ascii="Calibri" w:hAnsi="Calibri" w:cs="Calibri"/>
          <w:color w:val="1A1A1A"/>
          <w:sz w:val="21"/>
          <w:szCs w:val="21"/>
        </w:rPr>
        <w:lastRenderedPageBreak/>
        <w:t>Pricing is structured by service category and unit type, allowing each client to build a precisely tailored scope. The final project cost depends on: the selected package, the number of unit typologies to be modelled, whether the project includes apartments, villas, or both, the scope of amenity coverage, and any selected optional add-ons. A confirmed and signed quotation will be issued following scope review and approval of this proposal.</w:t>
      </w:r>
    </w:p>
    <w:p w14:paraId="63AE706E" w14:textId="77777777" w:rsidR="00527253" w:rsidRDefault="00527253">
      <w:pPr>
        <w:pageBreakBefore/>
        <w:shd w:val="clear" w:color="auto" w:fill="EEF3F9"/>
        <w:divId w:val="669065374"/>
        <w:rPr>
          <w:rFonts w:ascii="Calibri" w:eastAsia="Times New Roman" w:hAnsi="Calibri" w:cs="Calibri"/>
          <w:color w:val="1A1A1A"/>
          <w:sz w:val="20"/>
          <w:szCs w:val="20"/>
        </w:rPr>
      </w:pPr>
      <w:r>
        <w:rPr>
          <w:rStyle w:val="Strong"/>
          <w:rFonts w:ascii="Calibri" w:eastAsia="Times New Roman" w:hAnsi="Calibri" w:cs="Calibri"/>
          <w:sz w:val="20"/>
          <w:szCs w:val="20"/>
        </w:rPr>
        <w:lastRenderedPageBreak/>
        <w:t>Proposal Validity:</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Prices in this proposal are valid for </w:t>
      </w:r>
      <w:r>
        <w:rPr>
          <w:rStyle w:val="Strong"/>
          <w:rFonts w:ascii="Calibri" w:eastAsia="Times New Roman" w:hAnsi="Calibri" w:cs="Calibri"/>
          <w:sz w:val="20"/>
          <w:szCs w:val="20"/>
        </w:rPr>
        <w:t>60 days</w:t>
      </w:r>
      <w:r>
        <w:rPr>
          <w:rFonts w:ascii="Calibri" w:eastAsia="Times New Roman" w:hAnsi="Calibri" w:cs="Calibri"/>
          <w:color w:val="1A1A1A"/>
          <w:sz w:val="20"/>
          <w:szCs w:val="20"/>
        </w:rPr>
        <w:t xml:space="preserve"> from the date of issue. After this period, Design Zone reserves the right to review and revise pricing to reflect current cost structures before issuing a renewed quotation. </w:t>
      </w:r>
    </w:p>
    <w:p w14:paraId="361C2A11" w14:textId="77777777" w:rsidR="00527253" w:rsidRDefault="00527253">
      <w:pPr>
        <w:pStyle w:val="Heading2"/>
        <w:pageBreakBefore/>
        <w:divId w:val="154340534"/>
        <w:rPr>
          <w:rFonts w:ascii="Calibri" w:eastAsia="Times New Roman" w:hAnsi="Calibri" w:cs="Calibri"/>
        </w:rPr>
      </w:pPr>
      <w:r>
        <w:rPr>
          <w:rFonts w:ascii="Calibri" w:eastAsia="Times New Roman" w:hAnsi="Calibri" w:cs="Calibri"/>
        </w:rPr>
        <w:lastRenderedPageBreak/>
        <w:t>How to Read This Proposal</w:t>
      </w:r>
    </w:p>
    <w:p w14:paraId="71869C8C" w14:textId="77777777" w:rsidR="00527253" w:rsidRDefault="00527253">
      <w:pPr>
        <w:pageBreakBefore/>
        <w:numPr>
          <w:ilvl w:val="0"/>
          <w:numId w:val="2"/>
        </w:numPr>
        <w:spacing w:before="100" w:beforeAutospacing="1" w:after="80"/>
        <w:divId w:val="154340534"/>
        <w:rPr>
          <w:rFonts w:ascii="Calibri" w:eastAsia="Times New Roman" w:hAnsi="Calibri" w:cs="Calibri"/>
          <w:color w:val="1A1A1A"/>
          <w:sz w:val="21"/>
          <w:szCs w:val="21"/>
        </w:rPr>
      </w:pPr>
      <w:r>
        <w:rPr>
          <w:rStyle w:val="Strong"/>
          <w:rFonts w:ascii="Calibri" w:eastAsia="Times New Roman" w:hAnsi="Calibri" w:cs="Calibri"/>
          <w:sz w:val="21"/>
          <w:szCs w:val="21"/>
        </w:rPr>
        <w:lastRenderedPageBreak/>
        <w:t>Section 03 — Core Platform Package:</w:t>
      </w:r>
      <w:r>
        <w:rPr>
          <w:rFonts w:ascii="Calibri" w:eastAsia="Times New Roman" w:hAnsi="Calibri" w:cs="Calibri"/>
          <w:color w:val="1A1A1A"/>
          <w:sz w:val="21"/>
          <w:szCs w:val="21"/>
        </w:rPr>
        <w:t xml:space="preserve"> Fixed, one-time implementation fee covering the TwinMaq platform foundation — charged once per project regardless of scale.</w:t>
      </w:r>
    </w:p>
    <w:p w14:paraId="5430A6E9" w14:textId="77777777" w:rsidR="00527253" w:rsidRDefault="00527253">
      <w:pPr>
        <w:pageBreakBefore/>
        <w:numPr>
          <w:ilvl w:val="0"/>
          <w:numId w:val="2"/>
        </w:numPr>
        <w:spacing w:before="100" w:beforeAutospacing="1" w:after="80"/>
        <w:divId w:val="154340534"/>
        <w:rPr>
          <w:rFonts w:ascii="Calibri" w:eastAsia="Times New Roman" w:hAnsi="Calibri" w:cs="Calibri"/>
          <w:color w:val="1A1A1A"/>
          <w:sz w:val="21"/>
          <w:szCs w:val="21"/>
        </w:rPr>
      </w:pPr>
      <w:r>
        <w:rPr>
          <w:rStyle w:val="Strong"/>
          <w:rFonts w:ascii="Calibri" w:eastAsia="Times New Roman" w:hAnsi="Calibri" w:cs="Calibri"/>
          <w:sz w:val="21"/>
          <w:szCs w:val="21"/>
        </w:rPr>
        <w:lastRenderedPageBreak/>
        <w:t>Sections 04–05 — 3D Asset Pricing:</w:t>
      </w:r>
      <w:r>
        <w:rPr>
          <w:rFonts w:ascii="Calibri" w:eastAsia="Times New Roman" w:hAnsi="Calibri" w:cs="Calibri"/>
          <w:color w:val="1A1A1A"/>
          <w:sz w:val="21"/>
          <w:szCs w:val="21"/>
        </w:rPr>
        <w:t xml:space="preserve"> Per-typology pricing for apartment and villa unit types. Projects are priced by the number of </w:t>
      </w:r>
      <w:r>
        <w:rPr>
          <w:rStyle w:val="Emphasis"/>
          <w:rFonts w:ascii="Calibri" w:eastAsia="Times New Roman" w:hAnsi="Calibri" w:cs="Calibri"/>
          <w:color w:val="1A1A1A"/>
          <w:sz w:val="21"/>
          <w:szCs w:val="21"/>
        </w:rPr>
        <w:t>unique typologies</w:t>
      </w:r>
      <w:r>
        <w:rPr>
          <w:rFonts w:ascii="Calibri" w:eastAsia="Times New Roman" w:hAnsi="Calibri" w:cs="Calibri"/>
          <w:color w:val="1A1A1A"/>
          <w:sz w:val="21"/>
          <w:szCs w:val="21"/>
        </w:rPr>
        <w:t>, not individual units — making TwinMaq highly cost-efficient for large-unit-count developments.</w:t>
      </w:r>
    </w:p>
    <w:p w14:paraId="698022D1" w14:textId="77777777" w:rsidR="00527253" w:rsidRDefault="00527253">
      <w:pPr>
        <w:pageBreakBefore/>
        <w:numPr>
          <w:ilvl w:val="0"/>
          <w:numId w:val="2"/>
        </w:numPr>
        <w:spacing w:before="100" w:beforeAutospacing="1" w:after="80"/>
        <w:divId w:val="154340534"/>
        <w:rPr>
          <w:rFonts w:ascii="Calibri" w:eastAsia="Times New Roman" w:hAnsi="Calibri" w:cs="Calibri"/>
          <w:color w:val="1A1A1A"/>
          <w:sz w:val="21"/>
          <w:szCs w:val="21"/>
        </w:rPr>
      </w:pPr>
      <w:r>
        <w:rPr>
          <w:rStyle w:val="Strong"/>
          <w:rFonts w:ascii="Calibri" w:eastAsia="Times New Roman" w:hAnsi="Calibri" w:cs="Calibri"/>
          <w:sz w:val="21"/>
          <w:szCs w:val="21"/>
        </w:rPr>
        <w:lastRenderedPageBreak/>
        <w:t>Section 06 — Video &amp; Marketing Content:</w:t>
      </w:r>
      <w:r>
        <w:rPr>
          <w:rFonts w:ascii="Calibri" w:eastAsia="Times New Roman" w:hAnsi="Calibri" w:cs="Calibri"/>
          <w:color w:val="1A1A1A"/>
          <w:sz w:val="21"/>
          <w:szCs w:val="21"/>
        </w:rPr>
        <w:t xml:space="preserve"> Cinematic marketing videos produced from the same 3D environment as the platform.</w:t>
      </w:r>
    </w:p>
    <w:p w14:paraId="73C49486" w14:textId="77777777" w:rsidR="00527253" w:rsidRDefault="00527253">
      <w:pPr>
        <w:pageBreakBefore/>
        <w:numPr>
          <w:ilvl w:val="0"/>
          <w:numId w:val="2"/>
        </w:numPr>
        <w:spacing w:before="100" w:beforeAutospacing="1" w:after="80"/>
        <w:divId w:val="154340534"/>
        <w:rPr>
          <w:rFonts w:ascii="Calibri" w:eastAsia="Times New Roman" w:hAnsi="Calibri" w:cs="Calibri"/>
          <w:color w:val="1A1A1A"/>
          <w:sz w:val="21"/>
          <w:szCs w:val="21"/>
        </w:rPr>
      </w:pPr>
      <w:r>
        <w:rPr>
          <w:rStyle w:val="Strong"/>
          <w:rFonts w:ascii="Calibri" w:eastAsia="Times New Roman" w:hAnsi="Calibri" w:cs="Calibri"/>
          <w:sz w:val="21"/>
          <w:szCs w:val="21"/>
        </w:rPr>
        <w:lastRenderedPageBreak/>
        <w:t>Section 07 — Project Scale Totals:</w:t>
      </w:r>
      <w:r>
        <w:rPr>
          <w:rFonts w:ascii="Calibri" w:eastAsia="Times New Roman" w:hAnsi="Calibri" w:cs="Calibri"/>
          <w:color w:val="1A1A1A"/>
          <w:sz w:val="21"/>
          <w:szCs w:val="21"/>
        </w:rPr>
        <w:t xml:space="preserve"> Indicative full-project cost estimates by development size and type for quick budgeting reference.</w:t>
      </w:r>
    </w:p>
    <w:p w14:paraId="5782C866" w14:textId="77777777" w:rsidR="00527253" w:rsidRDefault="00527253">
      <w:pPr>
        <w:pageBreakBefore/>
        <w:numPr>
          <w:ilvl w:val="0"/>
          <w:numId w:val="2"/>
        </w:numPr>
        <w:spacing w:before="100" w:beforeAutospacing="1" w:after="80"/>
        <w:divId w:val="154340534"/>
        <w:rPr>
          <w:rFonts w:ascii="Calibri" w:eastAsia="Times New Roman" w:hAnsi="Calibri" w:cs="Calibri"/>
          <w:color w:val="1A1A1A"/>
          <w:sz w:val="21"/>
          <w:szCs w:val="21"/>
        </w:rPr>
      </w:pPr>
      <w:r>
        <w:rPr>
          <w:rStyle w:val="Strong"/>
          <w:rFonts w:ascii="Calibri" w:eastAsia="Times New Roman" w:hAnsi="Calibri" w:cs="Calibri"/>
          <w:sz w:val="21"/>
          <w:szCs w:val="21"/>
        </w:rPr>
        <w:lastRenderedPageBreak/>
        <w:t>Sections 08–11:</w:t>
      </w:r>
      <w:r>
        <w:rPr>
          <w:rFonts w:ascii="Calibri" w:eastAsia="Times New Roman" w:hAnsi="Calibri" w:cs="Calibri"/>
          <w:color w:val="1A1A1A"/>
          <w:sz w:val="21"/>
          <w:szCs w:val="21"/>
        </w:rPr>
        <w:t xml:space="preserve"> Add-ons, payment schedule, revision policy, and terms &amp; conditions.</w:t>
      </w:r>
    </w:p>
    <w:p w14:paraId="4F4EC44D" w14:textId="77777777" w:rsidR="00527253" w:rsidRDefault="00527253">
      <w:pPr>
        <w:pStyle w:val="Heading2"/>
        <w:pageBreakBefore/>
        <w:divId w:val="154340534"/>
        <w:rPr>
          <w:rFonts w:ascii="Calibri" w:eastAsia="Times New Roman" w:hAnsi="Calibri" w:cs="Calibri"/>
        </w:rPr>
      </w:pPr>
      <w:r>
        <w:rPr>
          <w:rFonts w:ascii="Calibri" w:eastAsia="Times New Roman" w:hAnsi="Calibri" w:cs="Calibri"/>
        </w:rPr>
        <w:lastRenderedPageBreak/>
        <w:t>Key Pricing Principles</w:t>
      </w:r>
    </w:p>
    <w:tbl>
      <w:tblPr>
        <w:tblW w:w="5000" w:type="pct"/>
        <w:tblCellMar>
          <w:top w:w="15" w:type="dxa"/>
          <w:left w:w="15" w:type="dxa"/>
          <w:bottom w:w="15" w:type="dxa"/>
          <w:right w:w="15" w:type="dxa"/>
        </w:tblCellMar>
        <w:tblLook w:val="04A0" w:firstRow="1" w:lastRow="0" w:firstColumn="1" w:lastColumn="0" w:noHBand="0" w:noVBand="1"/>
      </w:tblPr>
      <w:tblGrid>
        <w:gridCol w:w="2818"/>
        <w:gridCol w:w="6575"/>
      </w:tblGrid>
      <w:tr w:rsidR="00000000" w14:paraId="45BD883B" w14:textId="77777777">
        <w:trPr>
          <w:divId w:val="154340534"/>
        </w:trPr>
        <w:tc>
          <w:tcPr>
            <w:tcW w:w="15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BCD903F"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Principle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823854C"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Explanation</w:t>
            </w:r>
          </w:p>
        </w:tc>
      </w:tr>
      <w:tr w:rsidR="00000000" w14:paraId="0535DB05" w14:textId="77777777">
        <w:trPr>
          <w:divId w:val="15434053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3200E30"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Typology-Based Pricing</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FCCF73E"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Apartment and villa pricing applies per unique typology, not per individual unit. A 120-unit project with 4 typologies requires modelling of 4 types only — regardless of how many units of each type exist. This makes TwinMaq exceptionally cost-efficient for large projects.</w:t>
            </w:r>
          </w:p>
        </w:tc>
      </w:tr>
      <w:tr w:rsidR="00000000" w14:paraId="3D1814BB" w14:textId="77777777">
        <w:trPr>
          <w:divId w:val="15434053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E200BF4"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Fixed Core + Variable Assets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E77983C"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The Core Platform Package (Section 03) is a fixed one-time fee. All 3D asset modelling (Sections 04–05) and video production (Section 06) are charged per typology and can be added or removed from scope.</w:t>
            </w:r>
          </w:p>
        </w:tc>
      </w:tr>
      <w:tr w:rsidR="00000000" w14:paraId="3B7B2F93" w14:textId="77777777">
        <w:trPr>
          <w:divId w:val="15434053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FE02917"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SAR Pricing with VAT</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5954B6C"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All prices are in Saudi Riyals (SAR) and exclusive of VAT. VAT at 15% will be added to all invoices in full compliance with ZATCA regulations. Design Zone issues ZATCA-compliant tax invoices for each payment milestone.</w:t>
            </w:r>
          </w:p>
        </w:tc>
      </w:tr>
      <w:tr w:rsidR="00000000" w14:paraId="651309D1" w14:textId="77777777">
        <w:trPr>
          <w:divId w:val="15434053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FDCDCDC"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Market-Benchmarked</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711E88B"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All pricing has been benchmarked against current KSA market rates for equivalent-quality 3D visualisation and PropTech platform services. Design Zone offers competitive rates without compromising on photorealistic quality or platform functionality.</w:t>
            </w:r>
          </w:p>
        </w:tc>
      </w:tr>
    </w:tbl>
    <w:p w14:paraId="266C714B" w14:textId="77777777" w:rsidR="00527253" w:rsidRDefault="00527253">
      <w:pPr>
        <w:pageBreakBefore/>
        <w:shd w:val="clear" w:color="auto" w:fill="1A3A5C"/>
        <w:divId w:val="605692331"/>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lastRenderedPageBreak/>
        <w:t>03</w:t>
      </w:r>
    </w:p>
    <w:p w14:paraId="2942FFF9" w14:textId="77777777" w:rsidR="00527253" w:rsidRDefault="00527253">
      <w:pPr>
        <w:pStyle w:val="Heading1"/>
        <w:pageBreakBefore/>
        <w:spacing w:before="120"/>
        <w:divId w:val="1680082161"/>
        <w:rPr>
          <w:rFonts w:ascii="Calibri" w:eastAsia="Times New Roman" w:hAnsi="Calibri" w:cs="Calibri"/>
          <w:kern w:val="36"/>
        </w:rPr>
      </w:pPr>
      <w:r>
        <w:rPr>
          <w:rFonts w:ascii="Calibri" w:eastAsia="Times New Roman" w:hAnsi="Calibri" w:cs="Calibri"/>
          <w:kern w:val="36"/>
        </w:rPr>
        <w:lastRenderedPageBreak/>
        <w:t>Core Platform Package</w:t>
      </w:r>
    </w:p>
    <w:p w14:paraId="0A62B001" w14:textId="77777777" w:rsidR="00527253" w:rsidRDefault="00527253">
      <w:pPr>
        <w:pStyle w:val="NormalWeb"/>
        <w:pageBreakBefore/>
        <w:divId w:val="1680082161"/>
        <w:rPr>
          <w:rFonts w:ascii="Calibri" w:hAnsi="Calibri" w:cs="Calibri"/>
          <w:color w:val="1A1A1A"/>
          <w:sz w:val="21"/>
          <w:szCs w:val="21"/>
        </w:rPr>
      </w:pPr>
      <w:r>
        <w:rPr>
          <w:rFonts w:ascii="Calibri" w:hAnsi="Calibri" w:cs="Calibri"/>
          <w:color w:val="1A1A1A"/>
          <w:sz w:val="21"/>
          <w:szCs w:val="21"/>
        </w:rPr>
        <w:lastRenderedPageBreak/>
        <w:t>The Core Platform Package is a fixed, one-time implementation fee covering all foundational components of the TwinMaq platform — charged once per project, regardless of the number of units or typologies. This package forms the base of every TwinMaq deployment and must be included in all project scopes.</w:t>
      </w:r>
    </w:p>
    <w:p w14:paraId="0706C0DA" w14:textId="77777777" w:rsidR="00527253" w:rsidRDefault="00527253">
      <w:pPr>
        <w:pStyle w:val="NormalWeb"/>
        <w:pageBreakBefore/>
        <w:divId w:val="1680082161"/>
        <w:rPr>
          <w:rFonts w:ascii="Calibri" w:hAnsi="Calibri" w:cs="Calibri"/>
          <w:color w:val="1A1A1A"/>
          <w:sz w:val="21"/>
          <w:szCs w:val="21"/>
        </w:rPr>
      </w:pPr>
      <w:r>
        <w:rPr>
          <w:rFonts w:ascii="Calibri" w:hAnsi="Calibri" w:cs="Calibri"/>
          <w:color w:val="1A1A1A"/>
          <w:sz w:val="21"/>
          <w:szCs w:val="21"/>
        </w:rPr>
        <w:lastRenderedPageBreak/>
        <w:t>The core package includes: the branded home landing page, full exterior masterplan integration with day/night mode, the interactive location map, the unit selection interface with floor plan viewer, the Unit Comparison Engine, day/night toggle throughout the platform, bilingual Arabic/English interface, and the 360° panoramic viewer for up to three amenity hotspot areas.</w:t>
      </w:r>
    </w:p>
    <w:tbl>
      <w:tblPr>
        <w:tblW w:w="5000" w:type="pct"/>
        <w:tblCellMar>
          <w:top w:w="15" w:type="dxa"/>
          <w:left w:w="15" w:type="dxa"/>
          <w:bottom w:w="15" w:type="dxa"/>
          <w:right w:w="15" w:type="dxa"/>
        </w:tblCellMar>
        <w:tblLook w:val="04A0" w:firstRow="1" w:lastRow="0" w:firstColumn="1" w:lastColumn="0" w:noHBand="0" w:noVBand="1"/>
      </w:tblPr>
      <w:tblGrid>
        <w:gridCol w:w="5635"/>
        <w:gridCol w:w="1879"/>
        <w:gridCol w:w="1879"/>
      </w:tblGrid>
      <w:tr w:rsidR="00000000" w14:paraId="4B0FA3F2" w14:textId="77777777">
        <w:trPr>
          <w:divId w:val="1680082161"/>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9211E4C"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Component</w:t>
            </w:r>
          </w:p>
        </w:tc>
        <w:tc>
          <w:tcPr>
            <w:tcW w:w="10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6941ECD"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Min Price (SAR)</w:t>
            </w:r>
          </w:p>
        </w:tc>
        <w:tc>
          <w:tcPr>
            <w:tcW w:w="10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B6E8C78"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Max Price (SAR)</w:t>
            </w:r>
          </w:p>
        </w:tc>
      </w:tr>
      <w:tr w:rsidR="00000000" w14:paraId="5CD064E6" w14:textId="77777777">
        <w:trPr>
          <w:divId w:val="168008216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2115847"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TwinMaq Core Platform Integration</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Includes: Branded home landing page · Exterior masterplan (day + night) · Interactive 2D location map · 360° Bird's-Eye View · Unit selection interface (colour-coded, live availability) · Unit Comparison Engine · Bilingual Arabic/English interface (RTL/LTR) · Lead capture module · Admin dashboard (unit management + lead inbox + analytics) · Cloud hosting Year 1 (SSL, CDN, 99.9% uptime) · 2 revision rounds included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vAlign w:val="center"/>
            <w:hideMark/>
          </w:tcPr>
          <w:p w14:paraId="5E745BB5"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45,000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vAlign w:val="center"/>
            <w:hideMark/>
          </w:tcPr>
          <w:p w14:paraId="30EF0645"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55,000</w:t>
            </w:r>
          </w:p>
        </w:tc>
      </w:tr>
      <w:tr w:rsidR="00000000" w14:paraId="5FE46F9F" w14:textId="77777777">
        <w:trPr>
          <w:divId w:val="168008216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1BBB19B"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AutoCAD 2D Layout Generation — All Unit Types</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Annotated DWG files for every modelled unit type · Room labels (Arabic + English) · Dimension strings · Total area callout · Consistent with 3D model geometry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8997048"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5,000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175665B"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10,000</w:t>
            </w:r>
          </w:p>
        </w:tc>
      </w:tr>
      <w:tr w:rsidR="00000000" w14:paraId="50DA0428" w14:textId="77777777">
        <w:trPr>
          <w:divId w:val="168008216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99B1A4D"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Surrounding Area Context Layer (up to 4–5 km radius)</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3D surroundings model · Landmark pins with distances and travel times · Schools, hospitals, malls, mosques, supermarkets, highways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E4CD943"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5,000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5379849"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8,000</w:t>
            </w:r>
          </w:p>
        </w:tc>
      </w:tr>
      <w:tr w:rsidR="00000000" w14:paraId="11D770AB" w14:textId="77777777">
        <w:trPr>
          <w:divId w:val="168008216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6DE51FD"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Exterior Building 3D Model</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Full photorealistic 3D exterior · Accurate facade materials, cladding, glazing · Landscaping and site elements · Animated environment (vehicles, trees, water)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9FC407C"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8,000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D42AC43"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15,000</w:t>
            </w:r>
          </w:p>
        </w:tc>
      </w:tr>
      <w:tr w:rsidR="00000000" w14:paraId="77D56B6E" w14:textId="77777777">
        <w:trPr>
          <w:divId w:val="1680082161"/>
        </w:trPr>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1109F9EF" w14:textId="77777777" w:rsidR="00527253" w:rsidRDefault="00527253">
            <w:pPr>
              <w:spacing w:before="200" w:after="200"/>
              <w:rPr>
                <w:rFonts w:ascii="Calibri" w:eastAsia="Times New Roman" w:hAnsi="Calibri" w:cs="Calibri"/>
                <w:b/>
                <w:bCs/>
                <w:color w:val="1A1A1A"/>
                <w:sz w:val="20"/>
                <w:szCs w:val="20"/>
              </w:rPr>
            </w:pPr>
            <w:r>
              <w:rPr>
                <w:rStyle w:val="Strong"/>
                <w:rFonts w:ascii="Calibri" w:eastAsia="Times New Roman" w:hAnsi="Calibri" w:cs="Calibri"/>
                <w:sz w:val="20"/>
                <w:szCs w:val="20"/>
              </w:rPr>
              <w:t>Total Core Package (Excl. VAT)</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46C606F0" w14:textId="77777777" w:rsidR="00527253" w:rsidRDefault="00527253">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sz w:val="20"/>
                <w:szCs w:val="20"/>
              </w:rPr>
              <w:t>63,000</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3604F91C" w14:textId="77777777" w:rsidR="00527253" w:rsidRDefault="00527253">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sz w:val="20"/>
                <w:szCs w:val="20"/>
              </w:rPr>
              <w:t>88,000</w:t>
            </w:r>
          </w:p>
        </w:tc>
      </w:tr>
      <w:tr w:rsidR="00000000" w14:paraId="4DBBEEDE" w14:textId="77777777">
        <w:trPr>
          <w:divId w:val="1680082161"/>
        </w:trPr>
        <w:tc>
          <w:tcPr>
            <w:tcW w:w="0" w:type="auto"/>
            <w:gridSpan w:val="3"/>
            <w:tcBorders>
              <w:top w:val="single" w:sz="8" w:space="0" w:color="BED0E4"/>
              <w:left w:val="single" w:sz="8" w:space="0" w:color="BED0E4"/>
              <w:bottom w:val="single" w:sz="8" w:space="0" w:color="BED0E4"/>
              <w:right w:val="single" w:sz="8" w:space="0" w:color="BED0E4"/>
            </w:tcBorders>
            <w:shd w:val="clear" w:color="auto" w:fill="F7FBFF"/>
            <w:tcMar>
              <w:top w:w="110" w:type="dxa"/>
              <w:left w:w="180" w:type="dxa"/>
              <w:bottom w:w="110" w:type="dxa"/>
              <w:right w:w="180" w:type="dxa"/>
            </w:tcMar>
            <w:hideMark/>
          </w:tcPr>
          <w:p w14:paraId="51874702" w14:textId="77777777" w:rsidR="00527253" w:rsidRDefault="00527253">
            <w:pPr>
              <w:spacing w:before="200" w:after="200"/>
              <w:rPr>
                <w:rFonts w:ascii="Calibri" w:eastAsia="Times New Roman" w:hAnsi="Calibri" w:cs="Calibri"/>
                <w:i/>
                <w:iCs/>
                <w:color w:val="4A5568"/>
                <w:sz w:val="18"/>
                <w:szCs w:val="18"/>
              </w:rPr>
            </w:pPr>
            <w:r>
              <w:rPr>
                <w:rFonts w:ascii="Calibri" w:eastAsia="Times New Roman" w:hAnsi="Calibri" w:cs="Calibri"/>
                <w:i/>
                <w:iCs/>
                <w:color w:val="4A5568"/>
                <w:sz w:val="18"/>
                <w:szCs w:val="18"/>
              </w:rPr>
              <w:t>All prices exclusive of 15% VAT. Final core package price depends on project complexity, number of buildings, and exterior model supply (client-supplied vs. Design Zone-built). A confirmed fixed price is issued after scope review.</w:t>
            </w:r>
          </w:p>
        </w:tc>
      </w:tr>
    </w:tbl>
    <w:p w14:paraId="3DC79E01" w14:textId="77777777" w:rsidR="00527253" w:rsidRDefault="00527253">
      <w:pPr>
        <w:pageBreakBefore/>
        <w:shd w:val="clear" w:color="auto" w:fill="EEF3F9"/>
        <w:divId w:val="865681515"/>
        <w:rPr>
          <w:rFonts w:ascii="Calibri" w:eastAsia="Times New Roman" w:hAnsi="Calibri" w:cs="Calibri"/>
          <w:color w:val="1A1A1A"/>
          <w:sz w:val="20"/>
          <w:szCs w:val="20"/>
        </w:rPr>
      </w:pPr>
      <w:r>
        <w:rPr>
          <w:rStyle w:val="Strong"/>
          <w:rFonts w:ascii="Calibri" w:eastAsia="Times New Roman" w:hAnsi="Calibri" w:cs="Calibri"/>
          <w:sz w:val="20"/>
          <w:szCs w:val="20"/>
        </w:rPr>
        <w:lastRenderedPageBreak/>
        <w:t>Core Package Note:</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The Core Platform Package price is confirmed as a fixed amount in the final scope-reviewed quotation. The ranges above are indicative; the final figure depends on project scale (single building vs. compound), number of structures, and whether a client-supplied 3D exterior model is available. </w:t>
      </w:r>
    </w:p>
    <w:p w14:paraId="2E0560A9" w14:textId="77777777" w:rsidR="00527253" w:rsidRDefault="00527253">
      <w:pPr>
        <w:pageBreakBefore/>
        <w:shd w:val="clear" w:color="auto" w:fill="1A3A5C"/>
        <w:divId w:val="433597693"/>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lastRenderedPageBreak/>
        <w:t>04</w:t>
      </w:r>
    </w:p>
    <w:p w14:paraId="1F59F423" w14:textId="77777777" w:rsidR="00527253" w:rsidRDefault="00527253">
      <w:pPr>
        <w:pStyle w:val="Heading1"/>
        <w:pageBreakBefore/>
        <w:spacing w:before="120"/>
        <w:divId w:val="1047147874"/>
        <w:rPr>
          <w:rFonts w:ascii="Calibri" w:eastAsia="Times New Roman" w:hAnsi="Calibri" w:cs="Calibri"/>
          <w:kern w:val="36"/>
        </w:rPr>
      </w:pPr>
      <w:r>
        <w:rPr>
          <w:rFonts w:ascii="Calibri" w:eastAsia="Times New Roman" w:hAnsi="Calibri" w:cs="Calibri"/>
          <w:kern w:val="36"/>
        </w:rPr>
        <w:lastRenderedPageBreak/>
        <w:t>3D Asset Pricing — Apartments</w:t>
      </w:r>
    </w:p>
    <w:p w14:paraId="58F793CB" w14:textId="77777777" w:rsidR="00527253" w:rsidRDefault="00527253">
      <w:pPr>
        <w:pStyle w:val="NormalWeb"/>
        <w:pageBreakBefore/>
        <w:divId w:val="1047147874"/>
        <w:rPr>
          <w:rFonts w:ascii="Calibri" w:hAnsi="Calibri" w:cs="Calibri"/>
          <w:color w:val="1A1A1A"/>
          <w:sz w:val="21"/>
          <w:szCs w:val="21"/>
        </w:rPr>
      </w:pPr>
      <w:r>
        <w:rPr>
          <w:rFonts w:ascii="Calibri" w:hAnsi="Calibri" w:cs="Calibri"/>
          <w:color w:val="1A1A1A"/>
          <w:sz w:val="21"/>
          <w:szCs w:val="21"/>
        </w:rPr>
        <w:lastRenderedPageBreak/>
        <w:t>Apartment unit pricing is applied per unique typology, not per individual unit. A development with 120 units across four typologies (Studio, 1BHK, 2BHK, 3BHK) requires modelling of four unit types only — making this an exceptionally cost-efficient structure for large-inventory projects. This is the standard pricing model used across the KSA 3D visualisation market.</w:t>
      </w:r>
    </w:p>
    <w:p w14:paraId="2CEDAB9D" w14:textId="77777777" w:rsidR="00527253" w:rsidRDefault="00527253">
      <w:pPr>
        <w:pStyle w:val="NormalWeb"/>
        <w:pageBreakBefore/>
        <w:divId w:val="1047147874"/>
        <w:rPr>
          <w:rFonts w:ascii="Calibri" w:hAnsi="Calibri" w:cs="Calibri"/>
          <w:color w:val="1A1A1A"/>
          <w:sz w:val="21"/>
          <w:szCs w:val="21"/>
        </w:rPr>
      </w:pPr>
      <w:r>
        <w:rPr>
          <w:rFonts w:ascii="Calibri" w:hAnsi="Calibri" w:cs="Calibri"/>
          <w:color w:val="1A1A1A"/>
          <w:sz w:val="21"/>
          <w:szCs w:val="21"/>
        </w:rPr>
        <w:lastRenderedPageBreak/>
        <w:t>Each apartment typology scope includes: a fully photorealistic 3D interior environment, accurate spatial proportions and ceiling heights, realistic material finishes and lighting, 360° panoramic captures, and export-quality rendering for platform embedding.</w:t>
      </w:r>
    </w:p>
    <w:tbl>
      <w:tblPr>
        <w:tblW w:w="5000" w:type="pct"/>
        <w:tblCellMar>
          <w:top w:w="15" w:type="dxa"/>
          <w:left w:w="15" w:type="dxa"/>
          <w:bottom w:w="15" w:type="dxa"/>
          <w:right w:w="15" w:type="dxa"/>
        </w:tblCellMar>
        <w:tblLook w:val="04A0" w:firstRow="1" w:lastRow="0" w:firstColumn="1" w:lastColumn="0" w:noHBand="0" w:noVBand="1"/>
      </w:tblPr>
      <w:tblGrid>
        <w:gridCol w:w="4786"/>
        <w:gridCol w:w="1225"/>
        <w:gridCol w:w="1691"/>
        <w:gridCol w:w="1691"/>
      </w:tblGrid>
      <w:tr w:rsidR="00000000" w14:paraId="36E57E17" w14:textId="77777777">
        <w:trPr>
          <w:divId w:val="1047147874"/>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4DD69D9"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Service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D326C12"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Unit</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268B7E6"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Min (SAR)</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6639F5E"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Max (SAR)</w:t>
            </w:r>
          </w:p>
        </w:tc>
      </w:tr>
      <w:tr w:rsidR="00000000" w14:paraId="3B377E91" w14:textId="77777777">
        <w:trPr>
          <w:divId w:val="1047147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D2317E2"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3D Apartment Unit Interior — Full Layout</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Full photorealistic 3D interior model · Accurate room layout, proportions, and ceiling heights · Realistic flooring, wall finishes, cabinetry, fixtures, and furniture · Exportable for platform integration and video rendering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657F3FE"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7384EA2"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1,800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62D8441"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2,500</w:t>
            </w:r>
          </w:p>
        </w:tc>
      </w:tr>
      <w:tr w:rsidR="00000000" w14:paraId="12544B7E" w14:textId="77777777">
        <w:trPr>
          <w:divId w:val="1047147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AFF490E"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360° Interior Panorama — Apartment</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Full 360° panoramic capture per typology · Day and night lighting variants · Multiple room positions (living, bedroom, kitchen, bathroom) · Embedded in TwinMaq as interactive hotspots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EA289C3"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C8BB1FE"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3,000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63820EF"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5,000</w:t>
            </w:r>
          </w:p>
        </w:tc>
      </w:tr>
      <w:tr w:rsidR="00000000" w14:paraId="422ACC5C" w14:textId="77777777">
        <w:trPr>
          <w:divId w:val="1047147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6E0CC02"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360° Amenity Panorama (Gym, Pool, Lobby, etc.)</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Full 360° panoramic capture of communal / amenity space · Day and night mood variants · Accessible via masterplan hotspot pins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8FF3B26"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amenity area</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28CF327"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458EA8B"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3,500</w:t>
            </w:r>
          </w:p>
        </w:tc>
      </w:tr>
      <w:tr w:rsidR="00000000" w14:paraId="5C808585" w14:textId="77777777">
        <w:trPr>
          <w:divId w:val="1047147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EEEB48B"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Interior Walkthrough Video — Apartment</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Cinematic 60–90 second camera movement through full unit interior · Photorealistic rendering of finishes, lighting, and spatial flow · Embedded in TwinMaq platform + exported as standalone MP4 · Formatted for social media, portal listings, and presentations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6913182"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B250931"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15,000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6DE62C9"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20,000</w:t>
            </w:r>
          </w:p>
        </w:tc>
      </w:tr>
      <w:tr w:rsidR="00000000" w14:paraId="1462A713" w14:textId="77777777">
        <w:trPr>
          <w:divId w:val="1047147874"/>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110" w:type="dxa"/>
              <w:left w:w="180" w:type="dxa"/>
              <w:bottom w:w="110" w:type="dxa"/>
              <w:right w:w="180" w:type="dxa"/>
            </w:tcMar>
            <w:hideMark/>
          </w:tcPr>
          <w:p w14:paraId="498F2A9D" w14:textId="77777777" w:rsidR="00527253" w:rsidRDefault="00527253">
            <w:pPr>
              <w:spacing w:before="200" w:after="200"/>
              <w:rPr>
                <w:rFonts w:ascii="Calibri" w:eastAsia="Times New Roman" w:hAnsi="Calibri" w:cs="Calibri"/>
                <w:i/>
                <w:iCs/>
                <w:color w:val="4A5568"/>
                <w:sz w:val="18"/>
                <w:szCs w:val="18"/>
              </w:rPr>
            </w:pPr>
            <w:r>
              <w:rPr>
                <w:rStyle w:val="Strong"/>
                <w:rFonts w:ascii="Calibri" w:eastAsia="Times New Roman" w:hAnsi="Calibri" w:cs="Calibri"/>
                <w:i/>
                <w:iCs/>
                <w:sz w:val="18"/>
                <w:szCs w:val="18"/>
              </w:rPr>
              <w:t>KSA Market Benchmark:</w:t>
            </w:r>
            <w:r>
              <w:rPr>
                <w:rFonts w:ascii="Calibri" w:eastAsia="Times New Roman" w:hAnsi="Calibri" w:cs="Calibri"/>
                <w:i/>
                <w:iCs/>
                <w:color w:val="4A5568"/>
                <w:sz w:val="18"/>
                <w:szCs w:val="18"/>
              </w:rPr>
              <w:t xml:space="preserve"> </w:t>
            </w:r>
            <w:r>
              <w:rPr>
                <w:rFonts w:ascii="Calibri" w:eastAsia="Times New Roman" w:hAnsi="Calibri" w:cs="Calibri"/>
                <w:i/>
                <w:iCs/>
                <w:color w:val="4A5568"/>
                <w:sz w:val="18"/>
                <w:szCs w:val="18"/>
              </w:rPr>
              <w:t xml:space="preserve">Apartment typology 3D interior modelling in Saudi Arabia typically ranges from SAR 2,000–3,500 per typology at market-standard quality. TwinMaq pricing is competitively positioned within this range while delivering photorealistic platform-integrated quality. 360° panoramic pricing for apartment amenities typically ranges from SAR 2,000–4,000 per area. Interior walkthrough video production for apartments is typically quoted between SAR 15,000–25,000 per typology by KSA visualisation providers. </w:t>
            </w:r>
          </w:p>
        </w:tc>
      </w:tr>
    </w:tbl>
    <w:p w14:paraId="27B035CE" w14:textId="77777777" w:rsidR="00527253" w:rsidRDefault="00527253">
      <w:pPr>
        <w:pStyle w:val="Heading2"/>
        <w:pageBreakBefore/>
        <w:divId w:val="1047147874"/>
        <w:rPr>
          <w:rFonts w:ascii="Calibri" w:eastAsia="Times New Roman" w:hAnsi="Calibri" w:cs="Calibri"/>
        </w:rPr>
      </w:pPr>
      <w:r>
        <w:rPr>
          <w:rFonts w:ascii="Calibri" w:eastAsia="Times New Roman" w:hAnsi="Calibri" w:cs="Calibri"/>
        </w:rPr>
        <w:lastRenderedPageBreak/>
        <w:t>Apartment Pricing Example — 4-Typology Project</w:t>
      </w:r>
    </w:p>
    <w:tbl>
      <w:tblPr>
        <w:tblW w:w="5000" w:type="pct"/>
        <w:tblCellMar>
          <w:top w:w="15" w:type="dxa"/>
          <w:left w:w="15" w:type="dxa"/>
          <w:bottom w:w="15" w:type="dxa"/>
          <w:right w:w="15" w:type="dxa"/>
        </w:tblCellMar>
        <w:tblLook w:val="04A0" w:firstRow="1" w:lastRow="0" w:firstColumn="1" w:lastColumn="0" w:noHBand="0" w:noVBand="1"/>
      </w:tblPr>
      <w:tblGrid>
        <w:gridCol w:w="4384"/>
        <w:gridCol w:w="1527"/>
        <w:gridCol w:w="1946"/>
        <w:gridCol w:w="1536"/>
      </w:tblGrid>
      <w:tr w:rsidR="00000000" w14:paraId="58B4F8C5" w14:textId="77777777">
        <w:trPr>
          <w:divId w:val="1047147874"/>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E0CF8A1"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Item</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42AAF555" w14:textId="77777777" w:rsidR="00527253" w:rsidRDefault="00527253">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Typologies</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392843D"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Unit Rate (SAR)</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6E7E125"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Total (SAR)</w:t>
            </w:r>
          </w:p>
        </w:tc>
      </w:tr>
      <w:tr w:rsidR="00000000" w14:paraId="69DCC77E" w14:textId="77777777">
        <w:trPr>
          <w:divId w:val="1047147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1B87D7A"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3D Unit Interior Layout (mid-range)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DB277FB" w14:textId="77777777" w:rsidR="00527253" w:rsidRDefault="00527253">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4</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2B196AD"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2,200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1EE310E"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8,800</w:t>
            </w:r>
          </w:p>
        </w:tc>
      </w:tr>
      <w:tr w:rsidR="00000000" w14:paraId="2C1A14F8" w14:textId="77777777">
        <w:trPr>
          <w:divId w:val="1047147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5DE0BB5"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360° Interior Panorama (mid-range)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273FDEA" w14:textId="77777777" w:rsidR="00527253" w:rsidRDefault="00527253">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4</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6E0C7B5"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4,000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85A5275"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16,000</w:t>
            </w:r>
          </w:p>
        </w:tc>
      </w:tr>
      <w:tr w:rsidR="00000000" w14:paraId="179C818F" w14:textId="77777777">
        <w:trPr>
          <w:divId w:val="1047147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FA325FD"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360° Amenity Panorama (5 areas)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0F54815" w14:textId="77777777" w:rsidR="00527253" w:rsidRDefault="00527253">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5</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CDB1A21"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2,800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C864F4A"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14,000</w:t>
            </w:r>
          </w:p>
        </w:tc>
      </w:tr>
      <w:tr w:rsidR="00000000" w14:paraId="0C3235F1" w14:textId="77777777">
        <w:trPr>
          <w:divId w:val="1047147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A22FCD9"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Interior Walkthrough Video (2 typologies)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B4B0FFC" w14:textId="77777777" w:rsidR="00527253" w:rsidRDefault="00527253">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9B119C0"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17,000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A35C778"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34,000</w:t>
            </w:r>
          </w:p>
        </w:tc>
      </w:tr>
      <w:tr w:rsidR="00000000" w14:paraId="5CAC81EA" w14:textId="77777777">
        <w:trPr>
          <w:divId w:val="1047147874"/>
        </w:trPr>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7D4C0EE0" w14:textId="77777777" w:rsidR="00527253" w:rsidRDefault="00527253">
            <w:pPr>
              <w:spacing w:before="200" w:after="200"/>
              <w:rPr>
                <w:rFonts w:ascii="Calibri" w:eastAsia="Times New Roman" w:hAnsi="Calibri" w:cs="Calibri"/>
                <w:b/>
                <w:bCs/>
                <w:color w:val="1A1A1A"/>
                <w:sz w:val="20"/>
                <w:szCs w:val="20"/>
              </w:rPr>
            </w:pPr>
            <w:r>
              <w:rPr>
                <w:rStyle w:val="Strong"/>
                <w:rFonts w:ascii="Calibri" w:eastAsia="Times New Roman" w:hAnsi="Calibri" w:cs="Calibri"/>
                <w:sz w:val="20"/>
                <w:szCs w:val="20"/>
              </w:rPr>
              <w:t>Apartment Assets Subtotal</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69E3ADA5" w14:textId="77777777" w:rsidR="00527253" w:rsidRDefault="00527253">
            <w:pPr>
              <w:spacing w:before="200" w:after="200"/>
              <w:rPr>
                <w:rFonts w:ascii="Calibri" w:eastAsia="Times New Roman" w:hAnsi="Calibri" w:cs="Calibri"/>
                <w:b/>
                <w:bCs/>
                <w:color w:val="1A1A1A"/>
                <w:sz w:val="20"/>
                <w:szCs w:val="20"/>
              </w:rPr>
            </w:pP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5E897FF6" w14:textId="77777777" w:rsidR="00527253" w:rsidRDefault="00527253">
            <w:pPr>
              <w:spacing w:before="200" w:after="200"/>
              <w:rPr>
                <w:rFonts w:eastAsia="Times New Roman"/>
                <w:sz w:val="20"/>
                <w:szCs w:val="20"/>
              </w:rPr>
            </w:pP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5BFEE538" w14:textId="77777777" w:rsidR="00527253" w:rsidRDefault="00527253">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sz w:val="20"/>
                <w:szCs w:val="20"/>
              </w:rPr>
              <w:t>72,800</w:t>
            </w:r>
          </w:p>
        </w:tc>
      </w:tr>
      <w:tr w:rsidR="00000000" w14:paraId="7721F470" w14:textId="77777777">
        <w:trPr>
          <w:divId w:val="1047147874"/>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110" w:type="dxa"/>
              <w:left w:w="180" w:type="dxa"/>
              <w:bottom w:w="110" w:type="dxa"/>
              <w:right w:w="180" w:type="dxa"/>
            </w:tcMar>
            <w:hideMark/>
          </w:tcPr>
          <w:p w14:paraId="6100CF6A" w14:textId="77777777" w:rsidR="00527253" w:rsidRDefault="00527253">
            <w:pPr>
              <w:spacing w:before="200" w:after="200"/>
              <w:rPr>
                <w:rFonts w:ascii="Calibri" w:eastAsia="Times New Roman" w:hAnsi="Calibri" w:cs="Calibri"/>
                <w:i/>
                <w:iCs/>
                <w:color w:val="4A5568"/>
                <w:sz w:val="18"/>
                <w:szCs w:val="18"/>
              </w:rPr>
            </w:pPr>
            <w:r>
              <w:rPr>
                <w:rFonts w:ascii="Calibri" w:eastAsia="Times New Roman" w:hAnsi="Calibri" w:cs="Calibri"/>
                <w:i/>
                <w:iCs/>
                <w:color w:val="4A5568"/>
                <w:sz w:val="18"/>
                <w:szCs w:val="18"/>
              </w:rPr>
              <w:t>This example is indicative only. Final pricing is based on confirmed typology count and scope at kickoff. Add 15% VAT to all figures.</w:t>
            </w:r>
          </w:p>
        </w:tc>
      </w:tr>
    </w:tbl>
    <w:p w14:paraId="6CAB7235" w14:textId="77777777" w:rsidR="00527253" w:rsidRDefault="00527253">
      <w:pPr>
        <w:pageBreakBefore/>
        <w:shd w:val="clear" w:color="auto" w:fill="1A3A5C"/>
        <w:divId w:val="135033865"/>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lastRenderedPageBreak/>
        <w:t>05</w:t>
      </w:r>
    </w:p>
    <w:p w14:paraId="08494F79" w14:textId="77777777" w:rsidR="00527253" w:rsidRDefault="00527253">
      <w:pPr>
        <w:pStyle w:val="Heading1"/>
        <w:pageBreakBefore/>
        <w:spacing w:before="120"/>
        <w:divId w:val="316807441"/>
        <w:rPr>
          <w:rFonts w:ascii="Calibri" w:eastAsia="Times New Roman" w:hAnsi="Calibri" w:cs="Calibri"/>
          <w:kern w:val="36"/>
        </w:rPr>
      </w:pPr>
      <w:r>
        <w:rPr>
          <w:rFonts w:ascii="Calibri" w:eastAsia="Times New Roman" w:hAnsi="Calibri" w:cs="Calibri"/>
          <w:kern w:val="36"/>
        </w:rPr>
        <w:lastRenderedPageBreak/>
        <w:t>3D Asset Pricing — Villas</w:t>
      </w:r>
    </w:p>
    <w:p w14:paraId="7F7A7DF0" w14:textId="77777777" w:rsidR="00527253" w:rsidRDefault="00527253">
      <w:pPr>
        <w:pStyle w:val="NormalWeb"/>
        <w:pageBreakBefore/>
        <w:divId w:val="316807441"/>
        <w:rPr>
          <w:rFonts w:ascii="Calibri" w:hAnsi="Calibri" w:cs="Calibri"/>
          <w:color w:val="1A1A1A"/>
          <w:sz w:val="21"/>
          <w:szCs w:val="21"/>
        </w:rPr>
      </w:pPr>
      <w:r>
        <w:rPr>
          <w:rFonts w:ascii="Calibri" w:hAnsi="Calibri" w:cs="Calibri"/>
          <w:color w:val="1A1A1A"/>
          <w:sz w:val="21"/>
          <w:szCs w:val="21"/>
        </w:rPr>
        <w:lastRenderedPageBreak/>
        <w:t>Villa projects require significantly greater modelling complexity than apartment typologies. This is due to: multi-floor vertical layouts (ground floor, first floor, sometimes roof level), larger total spatial footprints, private outdoor areas (gardens, driveways, private pools, outdoor seating and dining terraces), varied facade treatments per villa block, and project-specific outdoor living configurations.</w:t>
      </w:r>
    </w:p>
    <w:p w14:paraId="193E6E1B" w14:textId="77777777" w:rsidR="00527253" w:rsidRDefault="00527253">
      <w:pPr>
        <w:pStyle w:val="NormalWeb"/>
        <w:pageBreakBefore/>
        <w:divId w:val="316807441"/>
        <w:rPr>
          <w:rFonts w:ascii="Calibri" w:hAnsi="Calibri" w:cs="Calibri"/>
          <w:color w:val="1A1A1A"/>
          <w:sz w:val="21"/>
          <w:szCs w:val="21"/>
        </w:rPr>
      </w:pPr>
      <w:r>
        <w:rPr>
          <w:rFonts w:ascii="Calibri" w:hAnsi="Calibri" w:cs="Calibri"/>
          <w:color w:val="1A1A1A"/>
          <w:sz w:val="21"/>
          <w:szCs w:val="21"/>
        </w:rPr>
        <w:lastRenderedPageBreak/>
        <w:t>Villa pricing applies per unique villa typology — not per individual villa unit. A compound of 60 villas across three typologies (Type A, Type B, Type C) requires modelling of three villa types only. Villa rates are set at a higher level than apartments to accurately reflect the additional modelling scope and rendering complexity.</w:t>
      </w:r>
    </w:p>
    <w:tbl>
      <w:tblPr>
        <w:tblW w:w="5000" w:type="pct"/>
        <w:tblCellMar>
          <w:top w:w="15" w:type="dxa"/>
          <w:left w:w="15" w:type="dxa"/>
          <w:bottom w:w="15" w:type="dxa"/>
          <w:right w:w="15" w:type="dxa"/>
        </w:tblCellMar>
        <w:tblLook w:val="04A0" w:firstRow="1" w:lastRow="0" w:firstColumn="1" w:lastColumn="0" w:noHBand="0" w:noVBand="1"/>
      </w:tblPr>
      <w:tblGrid>
        <w:gridCol w:w="4785"/>
        <w:gridCol w:w="1226"/>
        <w:gridCol w:w="1691"/>
        <w:gridCol w:w="1691"/>
      </w:tblGrid>
      <w:tr w:rsidR="00000000" w14:paraId="41382433" w14:textId="77777777">
        <w:trPr>
          <w:divId w:val="316807441"/>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B12B67D"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Service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7EF811F"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Unit</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A396670"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Min (SAR)</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71BD145"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Max (SAR)</w:t>
            </w:r>
          </w:p>
        </w:tc>
      </w:tr>
      <w:tr w:rsidR="00000000" w14:paraId="7184074B" w14:textId="77777777">
        <w:trPr>
          <w:divId w:val="31680744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1D19418"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3D Villa Unit Layout — Per Floor Level</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Full 3D interior model built per floor of each villa typology · Ground floor, first floor, and roof terrace modelled separately · Accurate room layout, proportions, and ceiling heights per level · Staircase, transition spaces, and vertical connection modelled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02B0EDA"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floor / 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EE5622B"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3,500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0F3BC1B"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5,500</w:t>
            </w:r>
          </w:p>
        </w:tc>
      </w:tr>
      <w:tr w:rsidR="00000000" w14:paraId="64A266F6" w14:textId="77777777">
        <w:trPr>
          <w:divId w:val="31680744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118B013"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360° Interior Panorama — Villa</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Full 360° panoramic capture per villa typology · Major rooms on each floor covered · Day and night lighting variants · Embedded as interactive hotspots in the platform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B27C79B"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0216525"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5,000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C31FC22"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8,000</w:t>
            </w:r>
          </w:p>
        </w:tc>
      </w:tr>
      <w:tr w:rsidR="00000000" w14:paraId="66EFBF5F" w14:textId="77777777">
        <w:trPr>
          <w:divId w:val="31680744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554D790"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 xml:space="preserve">360° Exterior &amp; </w:t>
            </w:r>
            <w:r>
              <w:rPr>
                <w:rStyle w:val="Strong"/>
                <w:rFonts w:ascii="Calibri" w:eastAsia="Times New Roman" w:hAnsi="Calibri" w:cs="Calibri"/>
                <w:sz w:val="20"/>
                <w:szCs w:val="20"/>
              </w:rPr>
              <w:t>Garden Panorama — Villa</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Full 360° panoramic capture from the villa's private outdoor areas · Garden, driveway, outdoor seating, terrace, and pool area where applicable · Aerial perspective option for compound orientation shots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2DE943D"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FE9DBB4"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3,000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99E3F51"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5,000</w:t>
            </w:r>
          </w:p>
        </w:tc>
      </w:tr>
      <w:tr w:rsidR="00000000" w14:paraId="5CFBC807" w14:textId="77777777">
        <w:trPr>
          <w:divId w:val="31680744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68D7B27"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Interior Walkthrough Video — Villa</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Cinematic camera walkthrough through the full villa — all floors, all major rooms · 90–120 seconds per typology (longer than apartment due to multi-floor scope) · Entrance, living areas, kitchen, dining, all bedrooms, bathrooms, staircase, balcony, and outdoor spaces · Exported as standalone MP4 and embedded in the TwinMaq platform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CBA4043"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04033EB"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20,000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A146F39"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30,000</w:t>
            </w:r>
          </w:p>
        </w:tc>
      </w:tr>
      <w:tr w:rsidR="00000000" w14:paraId="5239311B" w14:textId="77777777">
        <w:trPr>
          <w:divId w:val="31680744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235AB14"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Private Pool &amp; Outdoor Area Visualisation</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Dedicated photorealistic rendering of private pool, outdoor dining, and garden areas · Day and evening lighting scenarios · Used for 360° captures and video production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FF105BE"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C761DF1"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4,000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A67912C"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7,000</w:t>
            </w:r>
          </w:p>
        </w:tc>
      </w:tr>
      <w:tr w:rsidR="00000000" w14:paraId="49F974DD" w14:textId="77777777">
        <w:trPr>
          <w:divId w:val="316807441"/>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110" w:type="dxa"/>
              <w:left w:w="180" w:type="dxa"/>
              <w:bottom w:w="110" w:type="dxa"/>
              <w:right w:w="180" w:type="dxa"/>
            </w:tcMar>
            <w:hideMark/>
          </w:tcPr>
          <w:p w14:paraId="771DB6C4" w14:textId="77777777" w:rsidR="00527253" w:rsidRDefault="00527253">
            <w:pPr>
              <w:spacing w:before="200" w:after="200"/>
              <w:rPr>
                <w:rFonts w:ascii="Calibri" w:eastAsia="Times New Roman" w:hAnsi="Calibri" w:cs="Calibri"/>
                <w:i/>
                <w:iCs/>
                <w:color w:val="4A5568"/>
                <w:sz w:val="18"/>
                <w:szCs w:val="18"/>
              </w:rPr>
            </w:pPr>
            <w:r>
              <w:rPr>
                <w:rStyle w:val="Strong"/>
                <w:rFonts w:ascii="Calibri" w:eastAsia="Times New Roman" w:hAnsi="Calibri" w:cs="Calibri"/>
                <w:i/>
                <w:iCs/>
                <w:sz w:val="18"/>
                <w:szCs w:val="18"/>
              </w:rPr>
              <w:t>KSA Market Benchmark:</w:t>
            </w:r>
            <w:r>
              <w:rPr>
                <w:rFonts w:ascii="Calibri" w:eastAsia="Times New Roman" w:hAnsi="Calibri" w:cs="Calibri"/>
                <w:i/>
                <w:iCs/>
                <w:color w:val="4A5568"/>
                <w:sz w:val="18"/>
                <w:szCs w:val="18"/>
              </w:rPr>
              <w:t xml:space="preserve"> Villa visualisation in Saudi Arabia typically ranges from SAR 4,000–8,000 per typology for interior 3D modelling, and SAR 6,000–12,000 for full interior panoramic packages. Interior walkthrough video production for villas is typically quoted between SAR 20,000–35,000 per typology by KSA providers. Design Zone's pricing reflects full-scope delivery — interior, exterior, and garden areas — within the lower-to-mid range of these market benchmarks. </w:t>
            </w:r>
          </w:p>
        </w:tc>
      </w:tr>
    </w:tbl>
    <w:p w14:paraId="02051F46" w14:textId="77777777" w:rsidR="00527253" w:rsidRDefault="00527253">
      <w:pPr>
        <w:pStyle w:val="Heading2"/>
        <w:pageBreakBefore/>
        <w:divId w:val="316807441"/>
        <w:rPr>
          <w:rFonts w:ascii="Calibri" w:eastAsia="Times New Roman" w:hAnsi="Calibri" w:cs="Calibri"/>
        </w:rPr>
      </w:pPr>
      <w:r>
        <w:rPr>
          <w:rFonts w:ascii="Calibri" w:eastAsia="Times New Roman" w:hAnsi="Calibri" w:cs="Calibri"/>
        </w:rPr>
        <w:lastRenderedPageBreak/>
        <w:t>Villa Pricing Example — 2-Typology Compound</w:t>
      </w:r>
    </w:p>
    <w:tbl>
      <w:tblPr>
        <w:tblW w:w="5000" w:type="pct"/>
        <w:tblCellMar>
          <w:top w:w="15" w:type="dxa"/>
          <w:left w:w="15" w:type="dxa"/>
          <w:bottom w:w="15" w:type="dxa"/>
          <w:right w:w="15" w:type="dxa"/>
        </w:tblCellMar>
        <w:tblLook w:val="04A0" w:firstRow="1" w:lastRow="0" w:firstColumn="1" w:lastColumn="0" w:noHBand="0" w:noVBand="1"/>
      </w:tblPr>
      <w:tblGrid>
        <w:gridCol w:w="5122"/>
        <w:gridCol w:w="1066"/>
        <w:gridCol w:w="1800"/>
        <w:gridCol w:w="1405"/>
      </w:tblGrid>
      <w:tr w:rsidR="00000000" w14:paraId="59B67522" w14:textId="77777777">
        <w:trPr>
          <w:divId w:val="316807441"/>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98D83DE"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Item</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508A168" w14:textId="77777777" w:rsidR="00527253" w:rsidRDefault="00527253">
            <w:pPr>
              <w:spacing w:before="20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Qty</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72507BF"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Unit Rate (SAR)</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2A6F29F"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Total (SAR)</w:t>
            </w:r>
          </w:p>
        </w:tc>
      </w:tr>
      <w:tr w:rsidR="00000000" w14:paraId="042B5C04" w14:textId="77777777">
        <w:trPr>
          <w:divId w:val="31680744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7B87C1C"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3D Villa Layout — 2 floors per typology (2 typologies)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B7E1817" w14:textId="77777777" w:rsidR="00527253" w:rsidRDefault="00527253">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4 floors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F6EDCA1"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4,500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B13081E"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18,000</w:t>
            </w:r>
          </w:p>
        </w:tc>
      </w:tr>
      <w:tr w:rsidR="00000000" w14:paraId="6BCED1EB" w14:textId="77777777">
        <w:trPr>
          <w:divId w:val="31680744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E75B543"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360° Interior Panorama (2 typologies)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4B77A78" w14:textId="77777777" w:rsidR="00527253" w:rsidRDefault="00527253">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DE2311A"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6,500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9826E51"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13,000</w:t>
            </w:r>
          </w:p>
        </w:tc>
      </w:tr>
      <w:tr w:rsidR="00000000" w14:paraId="5AA187AF" w14:textId="77777777">
        <w:trPr>
          <w:divId w:val="31680744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85822EC"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360° Exterior &amp; Garden Panorama (2 typologies)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840AFFE" w14:textId="77777777" w:rsidR="00527253" w:rsidRDefault="00527253">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4AC91A5"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4,000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B5C2FC6"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8,000</w:t>
            </w:r>
          </w:p>
        </w:tc>
      </w:tr>
      <w:tr w:rsidR="00000000" w14:paraId="546BF103" w14:textId="77777777">
        <w:trPr>
          <w:divId w:val="31680744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1DF2CBB"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 xml:space="preserve">Private Pool &amp; </w:t>
            </w:r>
            <w:r>
              <w:rPr>
                <w:rFonts w:ascii="Calibri" w:eastAsia="Times New Roman" w:hAnsi="Calibri" w:cs="Calibri"/>
                <w:color w:val="1A1A1A"/>
                <w:sz w:val="20"/>
                <w:szCs w:val="20"/>
              </w:rPr>
              <w:t>Outdoor Visualisation (2 typologies)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9C3A17A" w14:textId="77777777" w:rsidR="00527253" w:rsidRDefault="00527253">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116B139"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5,500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E999167"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11,000</w:t>
            </w:r>
          </w:p>
        </w:tc>
      </w:tr>
      <w:tr w:rsidR="00000000" w14:paraId="250D1CBB" w14:textId="77777777">
        <w:trPr>
          <w:divId w:val="316807441"/>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C09DCB3"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Walkthrough Video (1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164AC59" w14:textId="77777777" w:rsidR="00527253" w:rsidRDefault="00527253">
            <w:pPr>
              <w:spacing w:before="200" w:after="200"/>
              <w:jc w:val="center"/>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E34ACB1"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25,000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5D204C0" w14:textId="77777777" w:rsidR="00527253" w:rsidRDefault="00527253">
            <w:pPr>
              <w:spacing w:before="200" w:after="200"/>
              <w:jc w:val="right"/>
              <w:rPr>
                <w:rFonts w:ascii="Calibri" w:eastAsia="Times New Roman" w:hAnsi="Calibri" w:cs="Calibri"/>
                <w:color w:val="1A1A1A"/>
                <w:sz w:val="20"/>
                <w:szCs w:val="20"/>
              </w:rPr>
            </w:pPr>
            <w:r>
              <w:rPr>
                <w:rFonts w:ascii="Calibri" w:eastAsia="Times New Roman" w:hAnsi="Calibri" w:cs="Calibri"/>
                <w:color w:val="1A1A1A"/>
                <w:sz w:val="20"/>
                <w:szCs w:val="20"/>
              </w:rPr>
              <w:t>25,000</w:t>
            </w:r>
          </w:p>
        </w:tc>
      </w:tr>
      <w:tr w:rsidR="00000000" w14:paraId="70AA56AD" w14:textId="77777777">
        <w:trPr>
          <w:divId w:val="316807441"/>
        </w:trPr>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031409C1" w14:textId="77777777" w:rsidR="00527253" w:rsidRDefault="00527253">
            <w:pPr>
              <w:spacing w:before="200" w:after="200"/>
              <w:rPr>
                <w:rFonts w:ascii="Calibri" w:eastAsia="Times New Roman" w:hAnsi="Calibri" w:cs="Calibri"/>
                <w:b/>
                <w:bCs/>
                <w:color w:val="1A1A1A"/>
                <w:sz w:val="20"/>
                <w:szCs w:val="20"/>
              </w:rPr>
            </w:pPr>
            <w:r>
              <w:rPr>
                <w:rStyle w:val="Strong"/>
                <w:rFonts w:ascii="Calibri" w:eastAsia="Times New Roman" w:hAnsi="Calibri" w:cs="Calibri"/>
                <w:sz w:val="20"/>
                <w:szCs w:val="20"/>
              </w:rPr>
              <w:t>Villa Assets Subtotal</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32C6E018" w14:textId="77777777" w:rsidR="00527253" w:rsidRDefault="00527253">
            <w:pPr>
              <w:spacing w:before="200" w:after="200"/>
              <w:rPr>
                <w:rFonts w:ascii="Calibri" w:eastAsia="Times New Roman" w:hAnsi="Calibri" w:cs="Calibri"/>
                <w:b/>
                <w:bCs/>
                <w:color w:val="1A1A1A"/>
                <w:sz w:val="20"/>
                <w:szCs w:val="20"/>
              </w:rPr>
            </w:pP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128FCE4B" w14:textId="77777777" w:rsidR="00527253" w:rsidRDefault="00527253">
            <w:pPr>
              <w:spacing w:before="200" w:after="200"/>
              <w:rPr>
                <w:rFonts w:eastAsia="Times New Roman"/>
                <w:sz w:val="20"/>
                <w:szCs w:val="20"/>
              </w:rPr>
            </w:pP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110" w:type="dxa"/>
              <w:left w:w="180" w:type="dxa"/>
              <w:bottom w:w="110" w:type="dxa"/>
              <w:right w:w="180" w:type="dxa"/>
            </w:tcMar>
            <w:hideMark/>
          </w:tcPr>
          <w:p w14:paraId="31E9C7FF" w14:textId="77777777" w:rsidR="00527253" w:rsidRDefault="00527253">
            <w:pPr>
              <w:spacing w:before="200" w:after="200"/>
              <w:jc w:val="right"/>
              <w:rPr>
                <w:rFonts w:ascii="Calibri" w:eastAsia="Times New Roman" w:hAnsi="Calibri" w:cs="Calibri"/>
                <w:b/>
                <w:bCs/>
                <w:color w:val="1A1A1A"/>
                <w:sz w:val="20"/>
                <w:szCs w:val="20"/>
              </w:rPr>
            </w:pPr>
            <w:r>
              <w:rPr>
                <w:rStyle w:val="Strong"/>
                <w:rFonts w:ascii="Calibri" w:eastAsia="Times New Roman" w:hAnsi="Calibri" w:cs="Calibri"/>
                <w:sz w:val="20"/>
                <w:szCs w:val="20"/>
              </w:rPr>
              <w:t>75,000</w:t>
            </w:r>
          </w:p>
        </w:tc>
      </w:tr>
      <w:tr w:rsidR="00000000" w14:paraId="218AF8D0" w14:textId="77777777">
        <w:trPr>
          <w:divId w:val="316807441"/>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110" w:type="dxa"/>
              <w:left w:w="180" w:type="dxa"/>
              <w:bottom w:w="110" w:type="dxa"/>
              <w:right w:w="180" w:type="dxa"/>
            </w:tcMar>
            <w:hideMark/>
          </w:tcPr>
          <w:p w14:paraId="51CC3145" w14:textId="77777777" w:rsidR="00527253" w:rsidRDefault="00527253">
            <w:pPr>
              <w:spacing w:before="200" w:after="200"/>
              <w:rPr>
                <w:rFonts w:ascii="Calibri" w:eastAsia="Times New Roman" w:hAnsi="Calibri" w:cs="Calibri"/>
                <w:i/>
                <w:iCs/>
                <w:color w:val="4A5568"/>
                <w:sz w:val="18"/>
                <w:szCs w:val="18"/>
              </w:rPr>
            </w:pPr>
            <w:r>
              <w:rPr>
                <w:rFonts w:ascii="Calibri" w:eastAsia="Times New Roman" w:hAnsi="Calibri" w:cs="Calibri"/>
                <w:i/>
                <w:iCs/>
                <w:color w:val="4A5568"/>
                <w:sz w:val="18"/>
                <w:szCs w:val="18"/>
              </w:rPr>
              <w:t>Indicative only. Final pricing confirmed after scope review. Add 15% VAT.</w:t>
            </w:r>
          </w:p>
        </w:tc>
      </w:tr>
    </w:tbl>
    <w:p w14:paraId="6B7807BF" w14:textId="77777777" w:rsidR="00527253" w:rsidRDefault="00527253">
      <w:pPr>
        <w:pageBreakBefore/>
        <w:shd w:val="clear" w:color="auto" w:fill="1A3A5C"/>
        <w:divId w:val="804398348"/>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lastRenderedPageBreak/>
        <w:t>06</w:t>
      </w:r>
    </w:p>
    <w:p w14:paraId="76CE0F76" w14:textId="77777777" w:rsidR="00527253" w:rsidRDefault="00527253">
      <w:pPr>
        <w:pStyle w:val="Heading1"/>
        <w:pageBreakBefore/>
        <w:spacing w:before="120"/>
        <w:divId w:val="1947884945"/>
        <w:rPr>
          <w:rFonts w:ascii="Calibri" w:eastAsia="Times New Roman" w:hAnsi="Calibri" w:cs="Calibri"/>
          <w:kern w:val="36"/>
        </w:rPr>
      </w:pPr>
      <w:r>
        <w:rPr>
          <w:rFonts w:ascii="Calibri" w:eastAsia="Times New Roman" w:hAnsi="Calibri" w:cs="Calibri"/>
          <w:kern w:val="36"/>
        </w:rPr>
        <w:lastRenderedPageBreak/>
        <w:t>Video &amp; Marketing Content</w:t>
      </w:r>
    </w:p>
    <w:p w14:paraId="5A34236B" w14:textId="77777777" w:rsidR="00527253" w:rsidRDefault="00527253">
      <w:pPr>
        <w:pStyle w:val="NormalWeb"/>
        <w:pageBreakBefore/>
        <w:divId w:val="1947884945"/>
        <w:rPr>
          <w:rFonts w:ascii="Calibri" w:hAnsi="Calibri" w:cs="Calibri"/>
          <w:color w:val="1A1A1A"/>
          <w:sz w:val="21"/>
          <w:szCs w:val="21"/>
        </w:rPr>
      </w:pPr>
      <w:r>
        <w:rPr>
          <w:rFonts w:ascii="Calibri" w:hAnsi="Calibri" w:cs="Calibri"/>
          <w:color w:val="1A1A1A"/>
          <w:sz w:val="21"/>
          <w:szCs w:val="21"/>
        </w:rPr>
        <w:lastRenderedPageBreak/>
        <w:t>All video content produced by Design Zone is rendered from the same 3D environment used to build the interactive TwinMaq platform — guaranteeing full visual consistency across every marketing channel. Videos are not produced from a separate pipeline; every frame is rendered from the same photorealistic 3D assets that buyers interact with in the platform. This means your marketing videos, your platform visuals, and your AutoCAD drawings are all guaranteed to show the same project.</w:t>
      </w:r>
    </w:p>
    <w:p w14:paraId="1D3F9BF6" w14:textId="77777777" w:rsidR="00527253" w:rsidRDefault="00527253">
      <w:pPr>
        <w:pStyle w:val="NormalWeb"/>
        <w:pageBreakBefore/>
        <w:divId w:val="1947884945"/>
        <w:rPr>
          <w:rFonts w:ascii="Calibri" w:hAnsi="Calibri" w:cs="Calibri"/>
          <w:color w:val="1A1A1A"/>
          <w:sz w:val="21"/>
          <w:szCs w:val="21"/>
        </w:rPr>
      </w:pPr>
      <w:r>
        <w:rPr>
          <w:rFonts w:ascii="Calibri" w:hAnsi="Calibri" w:cs="Calibri"/>
          <w:color w:val="1A1A1A"/>
          <w:sz w:val="21"/>
          <w:szCs w:val="21"/>
        </w:rPr>
        <w:lastRenderedPageBreak/>
        <w:t>All video deliverables are formatted and optimised for: social media (Instagram Reels, YouTube Shorts, LinkedIn Video, TikTok), digital advertising campaigns, real estate portal video listings, WhatsApp distribution, and large-format sales centre screen presentations.</w:t>
      </w:r>
    </w:p>
    <w:tbl>
      <w:tblPr>
        <w:tblW w:w="5000" w:type="pct"/>
        <w:tblCellMar>
          <w:top w:w="15" w:type="dxa"/>
          <w:left w:w="15" w:type="dxa"/>
          <w:bottom w:w="15" w:type="dxa"/>
          <w:right w:w="15" w:type="dxa"/>
        </w:tblCellMar>
        <w:tblLook w:val="04A0" w:firstRow="1" w:lastRow="0" w:firstColumn="1" w:lastColumn="0" w:noHBand="0" w:noVBand="1"/>
      </w:tblPr>
      <w:tblGrid>
        <w:gridCol w:w="5185"/>
        <w:gridCol w:w="1202"/>
        <w:gridCol w:w="1503"/>
        <w:gridCol w:w="1503"/>
      </w:tblGrid>
      <w:tr w:rsidR="00000000" w14:paraId="51CEC1B0" w14:textId="77777777">
        <w:trPr>
          <w:divId w:val="1947884945"/>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C4EE8E9"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Video Type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A4A037D"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Unit</w:t>
            </w:r>
          </w:p>
        </w:tc>
        <w:tc>
          <w:tcPr>
            <w:tcW w:w="8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474D23D"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Min (SAR)</w:t>
            </w:r>
          </w:p>
        </w:tc>
        <w:tc>
          <w:tcPr>
            <w:tcW w:w="8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0B2435C"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Max (SAR)</w:t>
            </w:r>
          </w:p>
        </w:tc>
      </w:tr>
      <w:tr w:rsidR="00000000" w14:paraId="295175B2" w14:textId="77777777">
        <w:trPr>
          <w:divId w:val="1947884945"/>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3E96FA8"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Interior Unit Walkthrough — Apartment</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60–90 seconds · Full unit camera walkthrough · Photorealistic renders · All major rooms covered · Day or evening lighting · Delivered as MP4 (1080p minimum, 4K on request)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D6D427E"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39CBA08"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15,000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E99B214"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20,000</w:t>
            </w:r>
          </w:p>
        </w:tc>
      </w:tr>
      <w:tr w:rsidR="00000000" w14:paraId="51F360BF" w14:textId="77777777">
        <w:trPr>
          <w:divId w:val="1947884945"/>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51CEBA1"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Interior Unit Walkthrough — Villa</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90–120 seconds · Multi-floor walkthrough · All major rooms, staircase, outdoor areas · Day and evening lighting variants available · Delivered as MP4 (1080p minimum, 4K on request)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18861A5"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816CED5"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20,000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E099DB0"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30,000</w:t>
            </w:r>
          </w:p>
        </w:tc>
      </w:tr>
      <w:tr w:rsidR="00000000" w14:paraId="72FE1977" w14:textId="77777777">
        <w:trPr>
          <w:divId w:val="1947884945"/>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0D36A50"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Exterior / Master Plan Marketing Video</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Aerial flyover of the full development · Establishes site context, building arrangement, landscaping, and surrounding area · Ideal for investor presentations and portal listings · 60–90 seconds · Day lighting with optional dusk / golden-hour render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9A23A41"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sequence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FA1BC7C"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18,000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AC8C36E"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25,000</w:t>
            </w:r>
          </w:p>
        </w:tc>
      </w:tr>
      <w:tr w:rsidR="00000000" w14:paraId="04D88CEF" w14:textId="77777777">
        <w:trPr>
          <w:divId w:val="1947884945"/>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923E783"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Amenity Showcase Video</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Highlight reel of communal spaces: pools, gym, lobby, gardens, rooftop · Lifestyle-focused cinematography · 45–60 seconds · Formatted for social media and presentations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1755B0B"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sequence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E326F4A"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12,000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FE44FDC"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18,000</w:t>
            </w:r>
          </w:p>
        </w:tc>
      </w:tr>
      <w:tr w:rsidR="00000000" w14:paraId="71D506A1" w14:textId="77777777">
        <w:trPr>
          <w:divId w:val="1947884945"/>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2A3506B"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Arabic Professional Voiceover</w:t>
            </w:r>
            <w:r>
              <w:rPr>
                <w:rFonts w:ascii="Calibri" w:eastAsia="Times New Roman" w:hAnsi="Calibri" w:cs="Calibri"/>
                <w:color w:val="1A1A1A"/>
                <w:sz w:val="20"/>
                <w:szCs w:val="20"/>
              </w:rPr>
              <w:br/>
            </w:r>
            <w:r>
              <w:rPr>
                <w:rFonts w:ascii="Calibri" w:eastAsia="Times New Roman" w:hAnsi="Calibri" w:cs="Calibri"/>
                <w:color w:val="4A5568"/>
                <w:sz w:val="19"/>
                <w:szCs w:val="19"/>
              </w:rPr>
              <w:t xml:space="preserve">Professional Modern Standard Arabic narration added to all videos in scope · Script drafted and approved by client before recording · Studio-quality recording </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E50D710"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project</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E575184"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3,500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6DEF11F"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6,000</w:t>
            </w:r>
          </w:p>
        </w:tc>
      </w:tr>
      <w:tr w:rsidR="00000000" w14:paraId="175C0D59" w14:textId="77777777">
        <w:trPr>
          <w:divId w:val="1947884945"/>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110" w:type="dxa"/>
              <w:left w:w="180" w:type="dxa"/>
              <w:bottom w:w="110" w:type="dxa"/>
              <w:right w:w="180" w:type="dxa"/>
            </w:tcMar>
            <w:hideMark/>
          </w:tcPr>
          <w:p w14:paraId="146C3C90" w14:textId="77777777" w:rsidR="00527253" w:rsidRDefault="00527253">
            <w:pPr>
              <w:spacing w:before="200" w:after="200"/>
              <w:rPr>
                <w:rFonts w:ascii="Calibri" w:eastAsia="Times New Roman" w:hAnsi="Calibri" w:cs="Calibri"/>
                <w:i/>
                <w:iCs/>
                <w:color w:val="4A5568"/>
                <w:sz w:val="18"/>
                <w:szCs w:val="18"/>
              </w:rPr>
            </w:pPr>
            <w:r>
              <w:rPr>
                <w:rFonts w:ascii="Calibri" w:eastAsia="Times New Roman" w:hAnsi="Calibri" w:cs="Calibri"/>
                <w:i/>
                <w:iCs/>
                <w:color w:val="4A5568"/>
                <w:sz w:val="18"/>
                <w:szCs w:val="18"/>
              </w:rPr>
              <w:t>All videos are delivered in the agreed aspect ratio (16:9 for presentations and YouTube; 9:16 vertical for Instagram Reels and TikTok; 1:1 for Instagram Feed). Arabic and English subtitle files (.SRT) are included with all video deliverables at no extra charge.</w:t>
            </w:r>
          </w:p>
        </w:tc>
      </w:tr>
    </w:tbl>
    <w:p w14:paraId="4178C92D" w14:textId="77777777" w:rsidR="00527253" w:rsidRDefault="00527253">
      <w:pPr>
        <w:pageBreakBefore/>
        <w:shd w:val="clear" w:color="auto" w:fill="EEF3F9"/>
        <w:divId w:val="326058839"/>
        <w:rPr>
          <w:rFonts w:ascii="Calibri" w:eastAsia="Times New Roman" w:hAnsi="Calibri" w:cs="Calibri"/>
          <w:color w:val="1A1A1A"/>
          <w:sz w:val="20"/>
          <w:szCs w:val="20"/>
        </w:rPr>
      </w:pPr>
      <w:r>
        <w:rPr>
          <w:rStyle w:val="Strong"/>
          <w:rFonts w:ascii="Calibri" w:eastAsia="Times New Roman" w:hAnsi="Calibri" w:cs="Calibri"/>
          <w:sz w:val="20"/>
          <w:szCs w:val="20"/>
        </w:rPr>
        <w:lastRenderedPageBreak/>
        <w:t>Video Consistency Guarantee:</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Because all TwinMaq videos are rendered from the same 3D environment as the interactive platform, your social media videos, your investor presentation videos, and your in-platform walkthrough experience will always show exactly the same finishes, materials, lighting, and layout — with zero visual inconsistency between channels. </w:t>
      </w:r>
    </w:p>
    <w:p w14:paraId="51CAA5E1" w14:textId="77777777" w:rsidR="00527253" w:rsidRDefault="00527253">
      <w:pPr>
        <w:pageBreakBefore/>
        <w:shd w:val="clear" w:color="auto" w:fill="1A3A5C"/>
        <w:divId w:val="673263083"/>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lastRenderedPageBreak/>
        <w:t>07</w:t>
      </w:r>
    </w:p>
    <w:p w14:paraId="664A7D1B" w14:textId="77777777" w:rsidR="00527253" w:rsidRDefault="00527253">
      <w:pPr>
        <w:pStyle w:val="Heading1"/>
        <w:pageBreakBefore/>
        <w:spacing w:before="120"/>
        <w:divId w:val="465975874"/>
        <w:rPr>
          <w:rFonts w:ascii="Calibri" w:eastAsia="Times New Roman" w:hAnsi="Calibri" w:cs="Calibri"/>
          <w:kern w:val="36"/>
        </w:rPr>
      </w:pPr>
      <w:r>
        <w:rPr>
          <w:rFonts w:ascii="Calibri" w:eastAsia="Times New Roman" w:hAnsi="Calibri" w:cs="Calibri"/>
          <w:kern w:val="36"/>
        </w:rPr>
        <w:lastRenderedPageBreak/>
        <w:t>Indicative Project Totals by Scale</w:t>
      </w:r>
    </w:p>
    <w:p w14:paraId="52AE62E1" w14:textId="77777777" w:rsidR="00527253" w:rsidRDefault="00527253">
      <w:pPr>
        <w:pStyle w:val="NormalWeb"/>
        <w:pageBreakBefore/>
        <w:divId w:val="465975874"/>
        <w:rPr>
          <w:rFonts w:ascii="Calibri" w:hAnsi="Calibri" w:cs="Calibri"/>
          <w:color w:val="1A1A1A"/>
          <w:sz w:val="21"/>
          <w:szCs w:val="21"/>
        </w:rPr>
      </w:pPr>
      <w:r>
        <w:rPr>
          <w:rFonts w:ascii="Calibri" w:hAnsi="Calibri" w:cs="Calibri"/>
          <w:color w:val="1A1A1A"/>
          <w:sz w:val="21"/>
          <w:szCs w:val="21"/>
        </w:rPr>
        <w:lastRenderedPageBreak/>
        <w:t>All figures below are indicative and based on mid-range pricing across all service categories. These estimates are provided to assist with initial budget planning. A confirmed, fixed-price quotation is issued after detailed scope review and approval of the project brief. All prices are in SAR, exclusive of 15% VAT.</w:t>
      </w:r>
    </w:p>
    <w:p w14:paraId="07142510" w14:textId="77777777" w:rsidR="00527253" w:rsidRDefault="00527253">
      <w:pPr>
        <w:pStyle w:val="Heading2"/>
        <w:pageBreakBefore/>
        <w:divId w:val="465975874"/>
        <w:rPr>
          <w:rFonts w:ascii="Calibri" w:eastAsia="Times New Roman" w:hAnsi="Calibri" w:cs="Calibri"/>
        </w:rPr>
      </w:pPr>
      <w:r>
        <w:rPr>
          <w:rFonts w:ascii="Calibri" w:eastAsia="Times New Roman" w:hAnsi="Calibri" w:cs="Calibri"/>
        </w:rPr>
        <w:lastRenderedPageBreak/>
        <w:t>Apartment Projects</w:t>
      </w:r>
    </w:p>
    <w:tbl>
      <w:tblPr>
        <w:tblW w:w="5000" w:type="pct"/>
        <w:tblCellMar>
          <w:top w:w="15" w:type="dxa"/>
          <w:left w:w="15" w:type="dxa"/>
          <w:bottom w:w="15" w:type="dxa"/>
          <w:right w:w="15" w:type="dxa"/>
        </w:tblCellMar>
        <w:tblLook w:val="04A0" w:firstRow="1" w:lastRow="0" w:firstColumn="1" w:lastColumn="0" w:noHBand="0" w:noVBand="1"/>
      </w:tblPr>
      <w:tblGrid>
        <w:gridCol w:w="1215"/>
        <w:gridCol w:w="4421"/>
        <w:gridCol w:w="1503"/>
        <w:gridCol w:w="2254"/>
      </w:tblGrid>
      <w:tr w:rsidR="00000000" w14:paraId="52E04029" w14:textId="77777777">
        <w:trPr>
          <w:divId w:val="465975874"/>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ADE89B1"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Scale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6550B97"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Scope</w:t>
            </w:r>
          </w:p>
        </w:tc>
        <w:tc>
          <w:tcPr>
            <w:tcW w:w="8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7AA73D9"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Timeline</w:t>
            </w:r>
          </w:p>
        </w:tc>
        <w:tc>
          <w:tcPr>
            <w:tcW w:w="12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12B3D6C"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Estimated Cost (SAR, Excl. VAT)</w:t>
            </w:r>
          </w:p>
        </w:tc>
      </w:tr>
      <w:tr w:rsidR="00000000" w14:paraId="44BE8F78" w14:textId="77777777">
        <w:trPr>
          <w:divId w:val="465975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00A3C44"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Small</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3B6A83D"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Up to 30 units · 1–2 typologies · Basic amenities (3 panoramas)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160F418"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6–7 weeks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F810C37"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120,000 – 160,000</w:t>
            </w:r>
          </w:p>
        </w:tc>
      </w:tr>
      <w:tr w:rsidR="00000000" w14:paraId="44DDD6E5" w14:textId="77777777">
        <w:trPr>
          <w:divId w:val="465975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D92C13D"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Medium</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20C2869"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30–80 units · 3–4 typologies · 5 amenity panoramas · 1 walkthrough video</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7772987"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8–10 weeks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180CA4F"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180,000 – 260,000</w:t>
            </w:r>
          </w:p>
        </w:tc>
      </w:tr>
      <w:tr w:rsidR="00000000" w14:paraId="33033C21" w14:textId="77777777">
        <w:trPr>
          <w:divId w:val="465975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D89F0C1"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Large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FE5C7B8"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80–150 units · 5+ typologies · Full amenity coverage · 2–3 walkthrough videos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D2BD31C"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10–14 weeks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54E96FE"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280,000 – 420,000</w:t>
            </w:r>
          </w:p>
        </w:tc>
      </w:tr>
      <w:tr w:rsidR="00000000" w14:paraId="363339C6" w14:textId="77777777">
        <w:trPr>
          <w:divId w:val="465975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E269E20"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Enterprise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A8CE6D3"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150+ units · Multi-tower or multi-building · Full scope · Custom</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A800525"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Custom</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C5223C6"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450,000 +</w:t>
            </w:r>
          </w:p>
        </w:tc>
      </w:tr>
    </w:tbl>
    <w:p w14:paraId="663C2869" w14:textId="77777777" w:rsidR="00527253" w:rsidRDefault="00527253">
      <w:pPr>
        <w:pStyle w:val="Heading2"/>
        <w:pageBreakBefore/>
        <w:divId w:val="465975874"/>
        <w:rPr>
          <w:rFonts w:ascii="Calibri" w:eastAsia="Times New Roman" w:hAnsi="Calibri" w:cs="Calibri"/>
        </w:rPr>
      </w:pPr>
      <w:r>
        <w:rPr>
          <w:rFonts w:ascii="Calibri" w:eastAsia="Times New Roman" w:hAnsi="Calibri" w:cs="Calibri"/>
        </w:rPr>
        <w:lastRenderedPageBreak/>
        <w:t>Villa Projects</w:t>
      </w:r>
    </w:p>
    <w:tbl>
      <w:tblPr>
        <w:tblW w:w="5000" w:type="pct"/>
        <w:tblCellMar>
          <w:top w:w="15" w:type="dxa"/>
          <w:left w:w="15" w:type="dxa"/>
          <w:bottom w:w="15" w:type="dxa"/>
          <w:right w:w="15" w:type="dxa"/>
        </w:tblCellMar>
        <w:tblLook w:val="04A0" w:firstRow="1" w:lastRow="0" w:firstColumn="1" w:lastColumn="0" w:noHBand="0" w:noVBand="1"/>
      </w:tblPr>
      <w:tblGrid>
        <w:gridCol w:w="1062"/>
        <w:gridCol w:w="4574"/>
        <w:gridCol w:w="1503"/>
        <w:gridCol w:w="2254"/>
      </w:tblGrid>
      <w:tr w:rsidR="00000000" w14:paraId="6B4F014E" w14:textId="77777777">
        <w:trPr>
          <w:divId w:val="465975874"/>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CE728ED"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Scale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B19CB56"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Scope</w:t>
            </w:r>
          </w:p>
        </w:tc>
        <w:tc>
          <w:tcPr>
            <w:tcW w:w="8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79A87C5"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Timeline</w:t>
            </w:r>
          </w:p>
        </w:tc>
        <w:tc>
          <w:tcPr>
            <w:tcW w:w="12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E576F21"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Estimated Cost (SAR, Excl. VAT)</w:t>
            </w:r>
          </w:p>
        </w:tc>
      </w:tr>
      <w:tr w:rsidR="00000000" w14:paraId="2AF9F5E0" w14:textId="77777777">
        <w:trPr>
          <w:divId w:val="465975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0F1EFA4"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Small</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C834C67"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Up to 20 villas · 1–2 typologies · Garden + exterior panoramas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41705DB"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7–9 weeks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2484E8C"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160,000 – 220,000</w:t>
            </w:r>
          </w:p>
        </w:tc>
      </w:tr>
      <w:tr w:rsidR="00000000" w14:paraId="69E69DAB" w14:textId="77777777">
        <w:trPr>
          <w:divId w:val="465975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25A61E0"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Medium</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069B480"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20–60 villas · 3–4 typologies · Pool visualisation · 1 walkthrough video</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23E8272"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10–13 weeks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31F1146"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250,000 – 380,000</w:t>
            </w:r>
          </w:p>
        </w:tc>
      </w:tr>
      <w:tr w:rsidR="00000000" w14:paraId="7C37AE2A" w14:textId="77777777">
        <w:trPr>
          <w:divId w:val="465975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F3B90E5"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Large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B3290FC"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60+ villas · Compound · Full scope · Multiple walkthrough videos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DF0EDB0"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14–18 weeks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EDB401F"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420,000 – 650,000</w:t>
            </w:r>
          </w:p>
        </w:tc>
      </w:tr>
    </w:tbl>
    <w:p w14:paraId="7F217757" w14:textId="77777777" w:rsidR="00527253" w:rsidRDefault="00527253">
      <w:pPr>
        <w:pStyle w:val="Heading2"/>
        <w:pageBreakBefore/>
        <w:divId w:val="465975874"/>
        <w:rPr>
          <w:rFonts w:ascii="Calibri" w:eastAsia="Times New Roman" w:hAnsi="Calibri" w:cs="Calibri"/>
        </w:rPr>
      </w:pPr>
      <w:r>
        <w:rPr>
          <w:rFonts w:ascii="Calibri" w:eastAsia="Times New Roman" w:hAnsi="Calibri" w:cs="Calibri"/>
        </w:rPr>
        <w:lastRenderedPageBreak/>
        <w:t>Mixed-Use Projects (Apartments + Villas or Residential + Commercial)</w:t>
      </w:r>
    </w:p>
    <w:tbl>
      <w:tblPr>
        <w:tblW w:w="5000" w:type="pct"/>
        <w:tblCellMar>
          <w:top w:w="15" w:type="dxa"/>
          <w:left w:w="15" w:type="dxa"/>
          <w:bottom w:w="15" w:type="dxa"/>
          <w:right w:w="15" w:type="dxa"/>
        </w:tblCellMar>
        <w:tblLook w:val="04A0" w:firstRow="1" w:lastRow="0" w:firstColumn="1" w:lastColumn="0" w:noHBand="0" w:noVBand="1"/>
      </w:tblPr>
      <w:tblGrid>
        <w:gridCol w:w="2334"/>
        <w:gridCol w:w="3302"/>
        <w:gridCol w:w="1503"/>
        <w:gridCol w:w="2254"/>
      </w:tblGrid>
      <w:tr w:rsidR="00000000" w14:paraId="74067F27" w14:textId="77777777">
        <w:trPr>
          <w:divId w:val="465975874"/>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41EC4F00"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Scale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19F795C"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Scope</w:t>
            </w:r>
          </w:p>
        </w:tc>
        <w:tc>
          <w:tcPr>
            <w:tcW w:w="8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DFF8766"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Timeline</w:t>
            </w:r>
          </w:p>
        </w:tc>
        <w:tc>
          <w:tcPr>
            <w:tcW w:w="12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4EFA511C"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Estimated Cost (SAR, Excl. VAT)</w:t>
            </w:r>
          </w:p>
        </w:tc>
      </w:tr>
      <w:tr w:rsidR="00000000" w14:paraId="3C039F1C" w14:textId="77777777">
        <w:trPr>
          <w:divId w:val="465975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848EF28"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Medium Mixed</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10BB243"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Apartments + villas or commercial component · 4–6 typologies total</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8C2A14A"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10–14 weeks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DB24B67"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260,000 – 400,000</w:t>
            </w:r>
          </w:p>
        </w:tc>
      </w:tr>
      <w:tr w:rsidR="00000000" w14:paraId="01F01C5B" w14:textId="77777777">
        <w:trPr>
          <w:divId w:val="465975874"/>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1FBD634"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Large Mixed / Master Development</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5556B58"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Multi-type, multi-building master development · Full scope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90402E3"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14–20 weeks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9EF71DE"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450,000 – 700,000+</w:t>
            </w:r>
          </w:p>
        </w:tc>
      </w:tr>
      <w:tr w:rsidR="00000000" w14:paraId="0B356D1C" w14:textId="77777777">
        <w:trPr>
          <w:divId w:val="465975874"/>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110" w:type="dxa"/>
              <w:left w:w="180" w:type="dxa"/>
              <w:bottom w:w="110" w:type="dxa"/>
              <w:right w:w="180" w:type="dxa"/>
            </w:tcMar>
            <w:hideMark/>
          </w:tcPr>
          <w:p w14:paraId="737C8634" w14:textId="77777777" w:rsidR="00527253" w:rsidRDefault="00527253">
            <w:pPr>
              <w:spacing w:before="200" w:after="200"/>
              <w:rPr>
                <w:rFonts w:ascii="Calibri" w:eastAsia="Times New Roman" w:hAnsi="Calibri" w:cs="Calibri"/>
                <w:i/>
                <w:iCs/>
                <w:color w:val="4A5568"/>
                <w:sz w:val="18"/>
                <w:szCs w:val="18"/>
              </w:rPr>
            </w:pPr>
            <w:r>
              <w:rPr>
                <w:rFonts w:ascii="Calibri" w:eastAsia="Times New Roman" w:hAnsi="Calibri" w:cs="Calibri"/>
                <w:i/>
                <w:iCs/>
                <w:color w:val="4A5568"/>
                <w:sz w:val="18"/>
                <w:szCs w:val="18"/>
              </w:rPr>
              <w:t>All scale estimates above include the Core Platform Package (Section 03). These are budget-planning figures only. A scope-confirmed fixed quotation is provided after the project brief is reviewed and signed. Add 15% VAT to all figures.</w:t>
            </w:r>
          </w:p>
        </w:tc>
      </w:tr>
    </w:tbl>
    <w:p w14:paraId="1BA78B17" w14:textId="77777777" w:rsidR="00527253" w:rsidRDefault="00527253">
      <w:pPr>
        <w:pageBreakBefore/>
        <w:shd w:val="clear" w:color="auto" w:fill="1A3A5C"/>
        <w:divId w:val="371420523"/>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lastRenderedPageBreak/>
        <w:t>08</w:t>
      </w:r>
    </w:p>
    <w:p w14:paraId="058FA283" w14:textId="77777777" w:rsidR="00527253" w:rsidRDefault="00527253">
      <w:pPr>
        <w:pStyle w:val="Heading1"/>
        <w:pageBreakBefore/>
        <w:spacing w:before="120"/>
        <w:divId w:val="1003776793"/>
        <w:rPr>
          <w:rFonts w:ascii="Calibri" w:eastAsia="Times New Roman" w:hAnsi="Calibri" w:cs="Calibri"/>
          <w:kern w:val="36"/>
        </w:rPr>
      </w:pPr>
      <w:r>
        <w:rPr>
          <w:rFonts w:ascii="Calibri" w:eastAsia="Times New Roman" w:hAnsi="Calibri" w:cs="Calibri"/>
          <w:kern w:val="36"/>
        </w:rPr>
        <w:lastRenderedPageBreak/>
        <w:t>Optional Add-On Services</w:t>
      </w:r>
    </w:p>
    <w:p w14:paraId="725A350F" w14:textId="77777777" w:rsidR="00527253" w:rsidRDefault="00527253">
      <w:pPr>
        <w:pStyle w:val="NormalWeb"/>
        <w:pageBreakBefore/>
        <w:divId w:val="1003776793"/>
        <w:rPr>
          <w:rFonts w:ascii="Calibri" w:hAnsi="Calibri" w:cs="Calibri"/>
          <w:color w:val="1A1A1A"/>
          <w:sz w:val="21"/>
          <w:szCs w:val="21"/>
        </w:rPr>
      </w:pPr>
      <w:r>
        <w:rPr>
          <w:rFonts w:ascii="Calibri" w:hAnsi="Calibri" w:cs="Calibri"/>
          <w:color w:val="1A1A1A"/>
          <w:sz w:val="21"/>
          <w:szCs w:val="21"/>
        </w:rPr>
        <w:lastRenderedPageBreak/>
        <w:t>The following services are available as additions to any project scope. Add-ons must be formally requested in writing and confirmed in the scope agreement before project commencement — or submitted as a formal scope addition request after delivery with a written cost estimate from Design Zone. Add-on fees are not included in any base package or project scale estimate.</w:t>
      </w:r>
    </w:p>
    <w:tbl>
      <w:tblPr>
        <w:tblW w:w="5000" w:type="pct"/>
        <w:tblCellMar>
          <w:top w:w="15" w:type="dxa"/>
          <w:left w:w="15" w:type="dxa"/>
          <w:bottom w:w="15" w:type="dxa"/>
          <w:right w:w="15" w:type="dxa"/>
        </w:tblCellMar>
        <w:tblLook w:val="04A0" w:firstRow="1" w:lastRow="0" w:firstColumn="1" w:lastColumn="0" w:noHBand="0" w:noVBand="1"/>
      </w:tblPr>
      <w:tblGrid>
        <w:gridCol w:w="4592"/>
        <w:gridCol w:w="1419"/>
        <w:gridCol w:w="1691"/>
        <w:gridCol w:w="1691"/>
      </w:tblGrid>
      <w:tr w:rsidR="00000000" w14:paraId="6A858CA9" w14:textId="77777777">
        <w:trPr>
          <w:divId w:val="1003776793"/>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9B26681"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Add-On Service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C1325A0" w14:textId="77777777" w:rsidR="00527253" w:rsidRDefault="00527253">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Unit</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5973EE6"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Min (SAR)</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654B3E1" w14:textId="77777777" w:rsidR="00527253" w:rsidRDefault="00527253">
            <w:pPr>
              <w:spacing w:before="200" w:after="200"/>
              <w:jc w:val="right"/>
              <w:rPr>
                <w:rFonts w:ascii="Calibri" w:eastAsia="Times New Roman" w:hAnsi="Calibri" w:cs="Calibri"/>
                <w:b/>
                <w:bCs/>
                <w:color w:val="FFFFFF"/>
                <w:sz w:val="20"/>
                <w:szCs w:val="20"/>
              </w:rPr>
            </w:pPr>
            <w:r>
              <w:rPr>
                <w:rFonts w:ascii="Calibri" w:eastAsia="Times New Roman" w:hAnsi="Calibri" w:cs="Calibri"/>
                <w:b/>
                <w:bCs/>
                <w:color w:val="FFFFFF"/>
                <w:sz w:val="20"/>
                <w:szCs w:val="20"/>
              </w:rPr>
              <w:t>Max (SAR)</w:t>
            </w:r>
          </w:p>
        </w:tc>
      </w:tr>
      <w:tr w:rsidR="00000000" w14:paraId="682B57E5" w14:textId="77777777">
        <w:trPr>
          <w:divId w:val="1003776793"/>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0722C01"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Materials &amp; Finishes Selector</w:t>
            </w:r>
            <w:r>
              <w:rPr>
                <w:rFonts w:ascii="Calibri" w:eastAsia="Times New Roman" w:hAnsi="Calibri" w:cs="Calibri"/>
                <w:color w:val="1A1A1A"/>
                <w:sz w:val="20"/>
                <w:szCs w:val="20"/>
              </w:rPr>
              <w:br/>
            </w:r>
            <w:r>
              <w:rPr>
                <w:rFonts w:ascii="Calibri" w:eastAsia="Times New Roman" w:hAnsi="Calibri" w:cs="Calibri"/>
                <w:color w:val="4A5568"/>
                <w:sz w:val="19"/>
                <w:szCs w:val="19"/>
              </w:rPr>
              <w:t>Real-time finish customisation inside the unit (flooring, walls, kitchen, bathroom). TwinMaq Exclusive feature.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70ED876"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project</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F930640"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18,000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663A7DA"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28,000</w:t>
            </w:r>
          </w:p>
        </w:tc>
      </w:tr>
      <w:tr w:rsidR="00000000" w14:paraId="6EDFEAEE" w14:textId="77777777">
        <w:trPr>
          <w:divId w:val="1003776793"/>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1D7D637"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VR Mode Integration</w:t>
            </w:r>
            <w:r>
              <w:rPr>
                <w:rFonts w:ascii="Calibri" w:eastAsia="Times New Roman" w:hAnsi="Calibri" w:cs="Calibri"/>
                <w:color w:val="1A1A1A"/>
                <w:sz w:val="20"/>
                <w:szCs w:val="20"/>
              </w:rPr>
              <w:br/>
            </w:r>
            <w:r>
              <w:rPr>
                <w:rFonts w:ascii="Calibri" w:eastAsia="Times New Roman" w:hAnsi="Calibri" w:cs="Calibri"/>
                <w:color w:val="4A5568"/>
                <w:sz w:val="19"/>
                <w:szCs w:val="19"/>
              </w:rPr>
              <w:t>Meta Quest 2/3 and HTC Vive compatible. Full VR navigation of the 3D environment.</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041D6A5"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One-time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8D44989"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22,000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316058E"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32,000</w:t>
            </w:r>
          </w:p>
        </w:tc>
      </w:tr>
      <w:tr w:rsidR="00000000" w14:paraId="2A73EDAE" w14:textId="77777777">
        <w:trPr>
          <w:divId w:val="1003776793"/>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F449E34"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CRM / Inventory System Integration</w:t>
            </w:r>
            <w:r>
              <w:rPr>
                <w:rFonts w:ascii="Calibri" w:eastAsia="Times New Roman" w:hAnsi="Calibri" w:cs="Calibri"/>
                <w:color w:val="1A1A1A"/>
                <w:sz w:val="20"/>
                <w:szCs w:val="20"/>
              </w:rPr>
              <w:br/>
            </w:r>
            <w:r>
              <w:rPr>
                <w:rFonts w:ascii="Calibri" w:eastAsia="Times New Roman" w:hAnsi="Calibri" w:cs="Calibri"/>
                <w:color w:val="4A5568"/>
                <w:sz w:val="19"/>
                <w:szCs w:val="19"/>
              </w:rPr>
              <w:t>Lead data pushed directly to client's CRM (Salesforce, HubSpot, or custom API). Unit availability synced with inventory system.</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676008B"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One-time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7FF8B32"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10,000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18BC791"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15,000</w:t>
            </w:r>
          </w:p>
        </w:tc>
      </w:tr>
      <w:tr w:rsidR="00000000" w14:paraId="26011766" w14:textId="77777777">
        <w:trPr>
          <w:divId w:val="1003776793"/>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C71E42F"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Touchscreen Kiosk Optimisation</w:t>
            </w:r>
            <w:r>
              <w:rPr>
                <w:rFonts w:ascii="Calibri" w:eastAsia="Times New Roman" w:hAnsi="Calibri" w:cs="Calibri"/>
                <w:color w:val="1A1A1A"/>
                <w:sz w:val="20"/>
                <w:szCs w:val="20"/>
              </w:rPr>
              <w:br/>
            </w:r>
            <w:r>
              <w:rPr>
                <w:rFonts w:ascii="Calibri" w:eastAsia="Times New Roman" w:hAnsi="Calibri" w:cs="Calibri"/>
                <w:color w:val="4A5568"/>
                <w:sz w:val="19"/>
                <w:szCs w:val="19"/>
              </w:rPr>
              <w:t>Dedicated kiosk mode with large-touch UI, auto-reset timer, multi-screen mirroring configuration.</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84BACD9"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One-time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A32EF81"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6,000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F1AE647"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9,000</w:t>
            </w:r>
          </w:p>
        </w:tc>
      </w:tr>
      <w:tr w:rsidR="00000000" w14:paraId="41B49A2A" w14:textId="77777777">
        <w:trPr>
          <w:divId w:val="1003776793"/>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2EB6339"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Guided Virtual Tour (Curated Path)</w:t>
            </w:r>
            <w:r>
              <w:rPr>
                <w:rFonts w:ascii="Calibri" w:eastAsia="Times New Roman" w:hAnsi="Calibri" w:cs="Calibri"/>
                <w:color w:val="1A1A1A"/>
                <w:sz w:val="20"/>
                <w:szCs w:val="20"/>
              </w:rPr>
              <w:br/>
            </w:r>
            <w:r>
              <w:rPr>
                <w:rFonts w:ascii="Calibri" w:eastAsia="Times New Roman" w:hAnsi="Calibri" w:cs="Calibri"/>
                <w:color w:val="4A5568"/>
                <w:sz w:val="19"/>
                <w:szCs w:val="19"/>
              </w:rPr>
              <w:t>Pre-programmed sequential tour through the development — exterior to amenities to unit. Runs automatically. Ideal for kiosks and investor events.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B4A39E7"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tour</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99C359A"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8,000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8C110F7"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12,000</w:t>
            </w:r>
          </w:p>
        </w:tc>
      </w:tr>
      <w:tr w:rsidR="00000000" w14:paraId="2CDE2C67" w14:textId="77777777">
        <w:trPr>
          <w:divId w:val="1003776793"/>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88B0D35"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Additional Unit Type (Post-Delivery)</w:t>
            </w:r>
            <w:r>
              <w:rPr>
                <w:rFonts w:ascii="Calibri" w:eastAsia="Times New Roman" w:hAnsi="Calibri" w:cs="Calibri"/>
                <w:color w:val="1A1A1A"/>
                <w:sz w:val="20"/>
                <w:szCs w:val="20"/>
              </w:rPr>
              <w:br/>
            </w:r>
            <w:r>
              <w:rPr>
                <w:rFonts w:ascii="Calibri" w:eastAsia="Times New Roman" w:hAnsi="Calibri" w:cs="Calibri"/>
                <w:color w:val="4A5568"/>
                <w:sz w:val="19"/>
                <w:szCs w:val="19"/>
              </w:rPr>
              <w:t>Adding a new unit typology to the platform after final delivery.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9867CD4"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typology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76F8AEF"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2,500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D31DC52"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5,000</w:t>
            </w:r>
          </w:p>
        </w:tc>
      </w:tr>
      <w:tr w:rsidR="00000000" w14:paraId="1ADDDC80" w14:textId="77777777">
        <w:trPr>
          <w:divId w:val="1003776793"/>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25A3392"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Social Media Content Pack</w:t>
            </w:r>
            <w:r>
              <w:rPr>
                <w:rFonts w:ascii="Calibri" w:eastAsia="Times New Roman" w:hAnsi="Calibri" w:cs="Calibri"/>
                <w:color w:val="1A1A1A"/>
                <w:sz w:val="20"/>
                <w:szCs w:val="20"/>
              </w:rPr>
              <w:br/>
            </w:r>
            <w:r>
              <w:rPr>
                <w:rFonts w:ascii="Calibri" w:eastAsia="Times New Roman" w:hAnsi="Calibri" w:cs="Calibri"/>
                <w:color w:val="4A5568"/>
                <w:sz w:val="19"/>
                <w:szCs w:val="19"/>
              </w:rPr>
              <w:t>10 high-resolution still renders from the 3D environment formatted for social media use.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979652C"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pack (10 renders)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12B0980"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5,000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B183609"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8,000</w:t>
            </w:r>
          </w:p>
        </w:tc>
      </w:tr>
      <w:tr w:rsidR="00000000" w14:paraId="5F693BE6" w14:textId="77777777">
        <w:trPr>
          <w:divId w:val="1003776793"/>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C60E8CD"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Annual Hosting &amp; Maintenance</w:t>
            </w:r>
            <w:r>
              <w:rPr>
                <w:rFonts w:ascii="Calibri" w:eastAsia="Times New Roman" w:hAnsi="Calibri" w:cs="Calibri"/>
                <w:color w:val="1A1A1A"/>
                <w:sz w:val="20"/>
                <w:szCs w:val="20"/>
              </w:rPr>
              <w:br/>
            </w:r>
            <w:r>
              <w:rPr>
                <w:rFonts w:ascii="Calibri" w:eastAsia="Times New Roman" w:hAnsi="Calibri" w:cs="Calibri"/>
                <w:color w:val="4A5568"/>
                <w:sz w:val="19"/>
                <w:szCs w:val="19"/>
              </w:rPr>
              <w:t>After Year 1 hosting period included in core package. SSL, CDN, 99.9% uptime, daily backups, minor content updates.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CCFD332"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year</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BE5ED06"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12,000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EC2BA14"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18,000</w:t>
            </w:r>
          </w:p>
        </w:tc>
      </w:tr>
      <w:tr w:rsidR="00000000" w14:paraId="184D4A05" w14:textId="77777777">
        <w:trPr>
          <w:divId w:val="1003776793"/>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32BCDF4"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lastRenderedPageBreak/>
              <w:t>On-Site Technical Support (Events)</w:t>
            </w:r>
            <w:r>
              <w:rPr>
                <w:rFonts w:ascii="Calibri" w:eastAsia="Times New Roman" w:hAnsi="Calibri" w:cs="Calibri"/>
                <w:color w:val="1A1A1A"/>
                <w:sz w:val="20"/>
                <w:szCs w:val="20"/>
              </w:rPr>
              <w:br/>
            </w:r>
            <w:r>
              <w:rPr>
                <w:rFonts w:ascii="Calibri" w:eastAsia="Times New Roman" w:hAnsi="Calibri" w:cs="Calibri"/>
                <w:color w:val="4A5568"/>
                <w:sz w:val="19"/>
                <w:szCs w:val="19"/>
              </w:rPr>
              <w:t>Design Zone team member at client's sales launch event, exhibition stand, or investor presentation.</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288FCF5"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day</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C5D0B62"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2,500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88A9A47"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4,000</w:t>
            </w:r>
          </w:p>
        </w:tc>
      </w:tr>
      <w:tr w:rsidR="00000000" w14:paraId="449C1306" w14:textId="77777777">
        <w:trPr>
          <w:divId w:val="1003776793"/>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81D6C71" w14:textId="77777777" w:rsidR="00527253" w:rsidRDefault="00527253">
            <w:pPr>
              <w:spacing w:before="200" w:after="200"/>
              <w:rPr>
                <w:rFonts w:ascii="Calibri" w:eastAsia="Times New Roman" w:hAnsi="Calibri" w:cs="Calibri"/>
                <w:color w:val="1A1A1A"/>
                <w:sz w:val="20"/>
                <w:szCs w:val="20"/>
              </w:rPr>
            </w:pPr>
            <w:r>
              <w:rPr>
                <w:rStyle w:val="Strong"/>
                <w:rFonts w:ascii="Calibri" w:eastAsia="Times New Roman" w:hAnsi="Calibri" w:cs="Calibri"/>
                <w:sz w:val="20"/>
                <w:szCs w:val="20"/>
              </w:rPr>
              <w:t>Extended Priority Support</w:t>
            </w:r>
            <w:r>
              <w:rPr>
                <w:rFonts w:ascii="Calibri" w:eastAsia="Times New Roman" w:hAnsi="Calibri" w:cs="Calibri"/>
                <w:color w:val="1A1A1A"/>
                <w:sz w:val="20"/>
                <w:szCs w:val="20"/>
              </w:rPr>
              <w:br/>
            </w:r>
            <w:r>
              <w:rPr>
                <w:rFonts w:ascii="Calibri" w:eastAsia="Times New Roman" w:hAnsi="Calibri" w:cs="Calibri"/>
                <w:color w:val="4A5568"/>
                <w:sz w:val="19"/>
                <w:szCs w:val="19"/>
              </w:rPr>
              <w:t>Priority response queue, quarterly content reviews, platform analytics reports, and minor update requests.</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BD627F5" w14:textId="77777777" w:rsidR="00527253" w:rsidRDefault="00527253">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Per year</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1C7B3F9"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14,000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5504CB9" w14:textId="77777777" w:rsidR="00527253" w:rsidRDefault="00527253">
            <w:pPr>
              <w:spacing w:before="200" w:after="200"/>
              <w:jc w:val="right"/>
              <w:rPr>
                <w:rFonts w:ascii="Calibri" w:eastAsia="Times New Roman" w:hAnsi="Calibri" w:cs="Calibri"/>
                <w:color w:val="1A1A1A"/>
                <w:sz w:val="20"/>
                <w:szCs w:val="20"/>
              </w:rPr>
            </w:pPr>
            <w:r>
              <w:rPr>
                <w:rStyle w:val="Strong"/>
                <w:rFonts w:ascii="Calibri" w:eastAsia="Times New Roman" w:hAnsi="Calibri" w:cs="Calibri"/>
                <w:sz w:val="20"/>
                <w:szCs w:val="20"/>
              </w:rPr>
              <w:t>20,000</w:t>
            </w:r>
          </w:p>
        </w:tc>
      </w:tr>
      <w:tr w:rsidR="00000000" w14:paraId="3E46A630" w14:textId="77777777">
        <w:trPr>
          <w:divId w:val="1003776793"/>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110" w:type="dxa"/>
              <w:left w:w="180" w:type="dxa"/>
              <w:bottom w:w="110" w:type="dxa"/>
              <w:right w:w="180" w:type="dxa"/>
            </w:tcMar>
            <w:hideMark/>
          </w:tcPr>
          <w:p w14:paraId="3292A166" w14:textId="77777777" w:rsidR="00527253" w:rsidRDefault="00527253">
            <w:pPr>
              <w:spacing w:before="200" w:after="200"/>
              <w:rPr>
                <w:rFonts w:ascii="Calibri" w:eastAsia="Times New Roman" w:hAnsi="Calibri" w:cs="Calibri"/>
                <w:i/>
                <w:iCs/>
                <w:color w:val="4A5568"/>
                <w:sz w:val="18"/>
                <w:szCs w:val="18"/>
              </w:rPr>
            </w:pPr>
            <w:r>
              <w:rPr>
                <w:rFonts w:ascii="Calibri" w:eastAsia="Times New Roman" w:hAnsi="Calibri" w:cs="Calibri"/>
                <w:i/>
                <w:iCs/>
                <w:color w:val="4A5568"/>
                <w:sz w:val="18"/>
                <w:szCs w:val="18"/>
              </w:rPr>
              <w:t>All add-on prices are exclusive of 15% VAT. Add-on requests must be submitted in writing. Design Zone will issue a written cost estimate before any add-on work commences. No verbal or informal instructions are accepted as authorisation for additional work.</w:t>
            </w:r>
          </w:p>
        </w:tc>
      </w:tr>
    </w:tbl>
    <w:p w14:paraId="37625B00" w14:textId="77777777" w:rsidR="00527253" w:rsidRDefault="00527253">
      <w:pPr>
        <w:pageBreakBefore/>
        <w:shd w:val="clear" w:color="auto" w:fill="1A3A5C"/>
        <w:divId w:val="1391271004"/>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lastRenderedPageBreak/>
        <w:t>09</w:t>
      </w:r>
    </w:p>
    <w:p w14:paraId="5349E77D" w14:textId="77777777" w:rsidR="00527253" w:rsidRDefault="00527253">
      <w:pPr>
        <w:pStyle w:val="Heading1"/>
        <w:pageBreakBefore/>
        <w:spacing w:before="120"/>
        <w:divId w:val="1822841310"/>
        <w:rPr>
          <w:rFonts w:ascii="Calibri" w:eastAsia="Times New Roman" w:hAnsi="Calibri" w:cs="Calibri"/>
          <w:kern w:val="36"/>
        </w:rPr>
      </w:pPr>
      <w:r>
        <w:rPr>
          <w:rFonts w:ascii="Calibri" w:eastAsia="Times New Roman" w:hAnsi="Calibri" w:cs="Calibri"/>
          <w:kern w:val="36"/>
        </w:rPr>
        <w:lastRenderedPageBreak/>
        <w:t>Payment Milestones</w:t>
      </w:r>
    </w:p>
    <w:p w14:paraId="5542941B" w14:textId="77777777" w:rsidR="00527253" w:rsidRDefault="00527253">
      <w:pPr>
        <w:pStyle w:val="NormalWeb"/>
        <w:pageBreakBefore/>
        <w:divId w:val="1822841310"/>
        <w:rPr>
          <w:rFonts w:ascii="Calibri" w:hAnsi="Calibri" w:cs="Calibri"/>
          <w:color w:val="1A1A1A"/>
          <w:sz w:val="21"/>
          <w:szCs w:val="21"/>
        </w:rPr>
      </w:pPr>
      <w:r>
        <w:rPr>
          <w:rFonts w:ascii="Calibri" w:hAnsi="Calibri" w:cs="Calibri"/>
          <w:color w:val="1A1A1A"/>
          <w:sz w:val="21"/>
          <w:szCs w:val="21"/>
        </w:rPr>
        <w:lastRenderedPageBreak/>
        <w:t xml:space="preserve">Payment is structured across four milestone-based installments aligned to key project delivery events. All invoices are issued by Design Zone and are due within </w:t>
      </w:r>
      <w:r>
        <w:rPr>
          <w:rStyle w:val="Strong"/>
          <w:rFonts w:ascii="Calibri" w:hAnsi="Calibri" w:cs="Calibri"/>
          <w:sz w:val="21"/>
          <w:szCs w:val="21"/>
        </w:rPr>
        <w:t>five (5) business days</w:t>
      </w:r>
      <w:r>
        <w:rPr>
          <w:rFonts w:ascii="Calibri" w:hAnsi="Calibri" w:cs="Calibri"/>
          <w:color w:val="1A1A1A"/>
          <w:sz w:val="21"/>
          <w:szCs w:val="21"/>
        </w:rPr>
        <w:t xml:space="preserve"> of the invoice date. Project work begins only after Milestone 1 payment is confirmed received. No resources are allocated, no files are processed, and no project clock starts until both the signed agreement and the Milestone 1 payment are in hand.</w:t>
      </w:r>
    </w:p>
    <w:tbl>
      <w:tblPr>
        <w:tblW w:w="5000" w:type="pct"/>
        <w:tblCellSpacing w:w="0" w:type="dxa"/>
        <w:tblCellMar>
          <w:left w:w="0" w:type="dxa"/>
          <w:right w:w="0" w:type="dxa"/>
        </w:tblCellMar>
        <w:tblLook w:val="04A0" w:firstRow="1" w:lastRow="0" w:firstColumn="1" w:lastColumn="0" w:noHBand="0" w:noVBand="1"/>
      </w:tblPr>
      <w:tblGrid>
        <w:gridCol w:w="840"/>
        <w:gridCol w:w="7513"/>
        <w:gridCol w:w="1040"/>
      </w:tblGrid>
      <w:tr w:rsidR="00000000" w14:paraId="01BD738D" w14:textId="77777777">
        <w:trPr>
          <w:divId w:val="1822841310"/>
          <w:tblCellSpacing w:w="0" w:type="dxa"/>
        </w:trPr>
        <w:tc>
          <w:tcPr>
            <w:tcW w:w="840" w:type="dxa"/>
            <w:tcBorders>
              <w:top w:val="single" w:sz="8" w:space="0" w:color="BED0E4"/>
              <w:left w:val="single" w:sz="8" w:space="0" w:color="BED0E4"/>
              <w:bottom w:val="single" w:sz="8" w:space="0" w:color="BED0E4"/>
              <w:right w:val="single" w:sz="8" w:space="0" w:color="BED0E4"/>
            </w:tcBorders>
            <w:shd w:val="clear" w:color="auto" w:fill="1A3A5C"/>
            <w:tcMar>
              <w:top w:w="240" w:type="dxa"/>
              <w:left w:w="160" w:type="dxa"/>
              <w:bottom w:w="240" w:type="dxa"/>
              <w:right w:w="160" w:type="dxa"/>
            </w:tcMar>
            <w:vAlign w:val="center"/>
            <w:hideMark/>
          </w:tcPr>
          <w:p w14:paraId="7638A6A6" w14:textId="77777777" w:rsidR="00527253" w:rsidRDefault="00527253">
            <w:pPr>
              <w:spacing w:before="280" w:after="280"/>
              <w:jc w:val="center"/>
              <w:rPr>
                <w:rFonts w:ascii="Calibri" w:eastAsia="Times New Roman" w:hAnsi="Calibri" w:cs="Calibri"/>
                <w:b/>
                <w:bCs/>
                <w:color w:val="FFFFFF"/>
                <w:sz w:val="26"/>
                <w:szCs w:val="26"/>
              </w:rPr>
            </w:pPr>
            <w:r>
              <w:rPr>
                <w:rFonts w:ascii="Calibri" w:eastAsia="Times New Roman" w:hAnsi="Calibri" w:cs="Calibri"/>
                <w:b/>
                <w:bCs/>
                <w:color w:val="FFFFFF"/>
                <w:sz w:val="26"/>
                <w:szCs w:val="26"/>
              </w:rPr>
              <w:t>M1</w:t>
            </w:r>
          </w:p>
        </w:tc>
        <w:tc>
          <w:tcPr>
            <w:tcW w:w="0" w:type="auto"/>
            <w:tcBorders>
              <w:top w:val="single" w:sz="8" w:space="0" w:color="BED0E4"/>
              <w:left w:val="single" w:sz="8" w:space="0" w:color="BED0E4"/>
              <w:bottom w:val="single" w:sz="8" w:space="0" w:color="BED0E4"/>
              <w:right w:val="single" w:sz="8" w:space="0" w:color="BED0E4"/>
            </w:tcBorders>
            <w:tcMar>
              <w:top w:w="200" w:type="dxa"/>
              <w:left w:w="280" w:type="dxa"/>
              <w:bottom w:w="200" w:type="dxa"/>
              <w:right w:w="280" w:type="dxa"/>
            </w:tcMar>
            <w:vAlign w:val="center"/>
            <w:hideMark/>
          </w:tcPr>
          <w:p w14:paraId="765E1C26" w14:textId="77777777" w:rsidR="00527253" w:rsidRDefault="00527253">
            <w:pPr>
              <w:spacing w:before="280" w:after="280"/>
              <w:rPr>
                <w:rFonts w:ascii="Calibri" w:eastAsia="Times New Roman" w:hAnsi="Calibri" w:cs="Calibri"/>
                <w:color w:val="1A1A1A"/>
                <w:sz w:val="21"/>
                <w:szCs w:val="21"/>
              </w:rPr>
            </w:pPr>
            <w:r>
              <w:rPr>
                <w:rStyle w:val="Strong"/>
                <w:rFonts w:ascii="Calibri" w:eastAsia="Times New Roman" w:hAnsi="Calibri" w:cs="Calibri"/>
                <w:sz w:val="22"/>
                <w:szCs w:val="22"/>
              </w:rPr>
              <w:t>Kickoff Payment — 40%</w:t>
            </w:r>
            <w:r>
              <w:rPr>
                <w:rFonts w:ascii="Calibri" w:eastAsia="Times New Roman" w:hAnsi="Calibri" w:cs="Calibri"/>
                <w:color w:val="1A1A1A"/>
                <w:sz w:val="21"/>
                <w:szCs w:val="21"/>
              </w:rPr>
              <w:br/>
            </w:r>
            <w:r>
              <w:rPr>
                <w:rStyle w:val="Emphasis"/>
                <w:rFonts w:ascii="Calibri" w:eastAsia="Times New Roman" w:hAnsi="Calibri" w:cs="Calibri"/>
                <w:color w:val="6B8CBA"/>
                <w:sz w:val="19"/>
                <w:szCs w:val="19"/>
              </w:rPr>
              <w:t>Trigger: Signed agreement OR official Purchase Order (PO) / Work Order (WO) received + payment confirmed</w:t>
            </w:r>
            <w:r>
              <w:rPr>
                <w:rFonts w:ascii="Calibri" w:eastAsia="Times New Roman" w:hAnsi="Calibri" w:cs="Calibri"/>
                <w:color w:val="1A1A1A"/>
                <w:sz w:val="21"/>
                <w:szCs w:val="21"/>
              </w:rPr>
              <w:br/>
              <w:t xml:space="preserve">Project clock starts. Files submitted by client. Kickoff meeting held. Project scope and schedule confirmed. </w:t>
            </w:r>
          </w:p>
        </w:tc>
        <w:tc>
          <w:tcPr>
            <w:tcW w:w="1040" w:type="dxa"/>
            <w:tcBorders>
              <w:top w:val="single" w:sz="8" w:space="0" w:color="BED0E4"/>
              <w:left w:val="single" w:sz="8" w:space="0" w:color="BED0E4"/>
              <w:bottom w:val="single" w:sz="8" w:space="0" w:color="BED0E4"/>
              <w:right w:val="single" w:sz="8" w:space="0" w:color="BED0E4"/>
            </w:tcBorders>
            <w:shd w:val="clear" w:color="auto" w:fill="2C5282"/>
            <w:tcMar>
              <w:top w:w="240" w:type="dxa"/>
              <w:left w:w="160" w:type="dxa"/>
              <w:bottom w:w="240" w:type="dxa"/>
              <w:right w:w="160" w:type="dxa"/>
            </w:tcMar>
            <w:vAlign w:val="center"/>
            <w:hideMark/>
          </w:tcPr>
          <w:p w14:paraId="136AC2BC" w14:textId="77777777" w:rsidR="00527253" w:rsidRDefault="00527253">
            <w:pPr>
              <w:spacing w:before="280" w:after="280"/>
              <w:jc w:val="center"/>
              <w:rPr>
                <w:rFonts w:ascii="Calibri" w:eastAsia="Times New Roman" w:hAnsi="Calibri" w:cs="Calibri"/>
                <w:b/>
                <w:bCs/>
                <w:color w:val="FFFFFF"/>
                <w:sz w:val="32"/>
                <w:szCs w:val="32"/>
              </w:rPr>
            </w:pPr>
            <w:r>
              <w:rPr>
                <w:rFonts w:ascii="Calibri" w:eastAsia="Times New Roman" w:hAnsi="Calibri" w:cs="Calibri"/>
                <w:b/>
                <w:bCs/>
                <w:color w:val="FFFFFF"/>
                <w:sz w:val="32"/>
                <w:szCs w:val="32"/>
              </w:rPr>
              <w:t>40%</w:t>
            </w:r>
          </w:p>
        </w:tc>
      </w:tr>
      <w:tr w:rsidR="00000000" w14:paraId="061F81BB" w14:textId="77777777">
        <w:trPr>
          <w:divId w:val="1822841310"/>
          <w:trHeight w:val="120"/>
          <w:tblCellSpacing w:w="0" w:type="dxa"/>
        </w:trPr>
        <w:tc>
          <w:tcPr>
            <w:tcW w:w="0" w:type="auto"/>
            <w:gridSpan w:val="3"/>
            <w:tcBorders>
              <w:top w:val="single" w:sz="8" w:space="0" w:color="BED0E4"/>
              <w:left w:val="single" w:sz="8" w:space="0" w:color="BED0E4"/>
              <w:bottom w:val="single" w:sz="8" w:space="0" w:color="BED0E4"/>
              <w:right w:val="single" w:sz="8" w:space="0" w:color="BED0E4"/>
            </w:tcBorders>
            <w:tcMar>
              <w:top w:w="160" w:type="dxa"/>
              <w:left w:w="200" w:type="dxa"/>
              <w:bottom w:w="160" w:type="dxa"/>
              <w:right w:w="200" w:type="dxa"/>
            </w:tcMar>
            <w:vAlign w:val="center"/>
            <w:hideMark/>
          </w:tcPr>
          <w:p w14:paraId="5C06A61D" w14:textId="77777777" w:rsidR="00527253" w:rsidRDefault="00527253">
            <w:pPr>
              <w:spacing w:before="280" w:after="280"/>
              <w:jc w:val="center"/>
              <w:rPr>
                <w:rFonts w:ascii="Calibri" w:eastAsia="Times New Roman" w:hAnsi="Calibri" w:cs="Calibri"/>
                <w:b/>
                <w:bCs/>
                <w:color w:val="FFFFFF"/>
                <w:sz w:val="32"/>
                <w:szCs w:val="32"/>
              </w:rPr>
            </w:pPr>
          </w:p>
        </w:tc>
      </w:tr>
      <w:tr w:rsidR="00000000" w14:paraId="748626F7" w14:textId="77777777">
        <w:trPr>
          <w:divId w:val="1822841310"/>
          <w:tblCellSpacing w:w="0" w:type="dxa"/>
        </w:trPr>
        <w:tc>
          <w:tcPr>
            <w:tcW w:w="840" w:type="dxa"/>
            <w:tcBorders>
              <w:top w:val="single" w:sz="8" w:space="0" w:color="BED0E4"/>
              <w:left w:val="single" w:sz="8" w:space="0" w:color="BED0E4"/>
              <w:bottom w:val="single" w:sz="8" w:space="0" w:color="BED0E4"/>
              <w:right w:val="single" w:sz="8" w:space="0" w:color="BED0E4"/>
            </w:tcBorders>
            <w:shd w:val="clear" w:color="auto" w:fill="1A3A5C"/>
            <w:tcMar>
              <w:top w:w="240" w:type="dxa"/>
              <w:left w:w="160" w:type="dxa"/>
              <w:bottom w:w="240" w:type="dxa"/>
              <w:right w:w="160" w:type="dxa"/>
            </w:tcMar>
            <w:vAlign w:val="center"/>
            <w:hideMark/>
          </w:tcPr>
          <w:p w14:paraId="01C0893A" w14:textId="77777777" w:rsidR="00527253" w:rsidRDefault="00527253">
            <w:pPr>
              <w:spacing w:before="280" w:after="280"/>
              <w:jc w:val="center"/>
              <w:rPr>
                <w:rFonts w:ascii="Calibri" w:eastAsia="Times New Roman" w:hAnsi="Calibri" w:cs="Calibri"/>
                <w:b/>
                <w:bCs/>
                <w:color w:val="FFFFFF"/>
                <w:sz w:val="26"/>
                <w:szCs w:val="26"/>
              </w:rPr>
            </w:pPr>
            <w:r>
              <w:rPr>
                <w:rFonts w:ascii="Calibri" w:eastAsia="Times New Roman" w:hAnsi="Calibri" w:cs="Calibri"/>
                <w:b/>
                <w:bCs/>
                <w:color w:val="FFFFFF"/>
                <w:sz w:val="26"/>
                <w:szCs w:val="26"/>
              </w:rPr>
              <w:t>M2</w:t>
            </w:r>
          </w:p>
        </w:tc>
        <w:tc>
          <w:tcPr>
            <w:tcW w:w="0" w:type="auto"/>
            <w:tcBorders>
              <w:top w:val="single" w:sz="8" w:space="0" w:color="BED0E4"/>
              <w:left w:val="single" w:sz="8" w:space="0" w:color="BED0E4"/>
              <w:bottom w:val="single" w:sz="8" w:space="0" w:color="BED0E4"/>
              <w:right w:val="single" w:sz="8" w:space="0" w:color="BED0E4"/>
            </w:tcBorders>
            <w:tcMar>
              <w:top w:w="200" w:type="dxa"/>
              <w:left w:w="280" w:type="dxa"/>
              <w:bottom w:w="200" w:type="dxa"/>
              <w:right w:w="280" w:type="dxa"/>
            </w:tcMar>
            <w:vAlign w:val="center"/>
            <w:hideMark/>
          </w:tcPr>
          <w:p w14:paraId="525D2294" w14:textId="77777777" w:rsidR="00527253" w:rsidRDefault="00527253">
            <w:pPr>
              <w:spacing w:before="280" w:after="280"/>
              <w:rPr>
                <w:rFonts w:ascii="Calibri" w:eastAsia="Times New Roman" w:hAnsi="Calibri" w:cs="Calibri"/>
                <w:color w:val="1A1A1A"/>
                <w:sz w:val="21"/>
                <w:szCs w:val="21"/>
              </w:rPr>
            </w:pPr>
            <w:r>
              <w:rPr>
                <w:rStyle w:val="Strong"/>
                <w:rFonts w:ascii="Calibri" w:eastAsia="Times New Roman" w:hAnsi="Calibri" w:cs="Calibri"/>
                <w:sz w:val="22"/>
                <w:szCs w:val="22"/>
              </w:rPr>
              <w:t>Modelling Complete — 20%</w:t>
            </w:r>
            <w:r>
              <w:rPr>
                <w:rFonts w:ascii="Calibri" w:eastAsia="Times New Roman" w:hAnsi="Calibri" w:cs="Calibri"/>
                <w:color w:val="1A1A1A"/>
                <w:sz w:val="21"/>
                <w:szCs w:val="21"/>
              </w:rPr>
              <w:br/>
            </w:r>
            <w:r>
              <w:rPr>
                <w:rStyle w:val="Emphasis"/>
                <w:rFonts w:ascii="Calibri" w:eastAsia="Times New Roman" w:hAnsi="Calibri" w:cs="Calibri"/>
                <w:color w:val="6B8CBA"/>
                <w:sz w:val="19"/>
                <w:szCs w:val="19"/>
              </w:rPr>
              <w:t>Trigger: All 3D modelling assets completed and delivered to client for mid-phase review (Week 5–6)</w:t>
            </w:r>
            <w:r>
              <w:rPr>
                <w:rFonts w:ascii="Calibri" w:eastAsia="Times New Roman" w:hAnsi="Calibri" w:cs="Calibri"/>
                <w:color w:val="1A1A1A"/>
                <w:sz w:val="21"/>
                <w:szCs w:val="21"/>
              </w:rPr>
              <w:br/>
              <w:t xml:space="preserve">Client reviews 3D model renders and provides directional feedback. No platform access yet at this milestone. </w:t>
            </w:r>
          </w:p>
        </w:tc>
        <w:tc>
          <w:tcPr>
            <w:tcW w:w="1040" w:type="dxa"/>
            <w:tcBorders>
              <w:top w:val="single" w:sz="8" w:space="0" w:color="BED0E4"/>
              <w:left w:val="single" w:sz="8" w:space="0" w:color="BED0E4"/>
              <w:bottom w:val="single" w:sz="8" w:space="0" w:color="BED0E4"/>
              <w:right w:val="single" w:sz="8" w:space="0" w:color="BED0E4"/>
            </w:tcBorders>
            <w:shd w:val="clear" w:color="auto" w:fill="2C5282"/>
            <w:tcMar>
              <w:top w:w="240" w:type="dxa"/>
              <w:left w:w="160" w:type="dxa"/>
              <w:bottom w:w="240" w:type="dxa"/>
              <w:right w:w="160" w:type="dxa"/>
            </w:tcMar>
            <w:vAlign w:val="center"/>
            <w:hideMark/>
          </w:tcPr>
          <w:p w14:paraId="5A045D8F" w14:textId="77777777" w:rsidR="00527253" w:rsidRDefault="00527253">
            <w:pPr>
              <w:spacing w:before="280" w:after="280"/>
              <w:jc w:val="center"/>
              <w:rPr>
                <w:rFonts w:ascii="Calibri" w:eastAsia="Times New Roman" w:hAnsi="Calibri" w:cs="Calibri"/>
                <w:b/>
                <w:bCs/>
                <w:color w:val="FFFFFF"/>
                <w:sz w:val="32"/>
                <w:szCs w:val="32"/>
              </w:rPr>
            </w:pPr>
            <w:r>
              <w:rPr>
                <w:rFonts w:ascii="Calibri" w:eastAsia="Times New Roman" w:hAnsi="Calibri" w:cs="Calibri"/>
                <w:b/>
                <w:bCs/>
                <w:color w:val="FFFFFF"/>
                <w:sz w:val="32"/>
                <w:szCs w:val="32"/>
              </w:rPr>
              <w:t>20%</w:t>
            </w:r>
          </w:p>
        </w:tc>
      </w:tr>
      <w:tr w:rsidR="00000000" w14:paraId="479D4D43" w14:textId="77777777">
        <w:trPr>
          <w:divId w:val="1822841310"/>
          <w:trHeight w:val="120"/>
          <w:tblCellSpacing w:w="0" w:type="dxa"/>
        </w:trPr>
        <w:tc>
          <w:tcPr>
            <w:tcW w:w="0" w:type="auto"/>
            <w:gridSpan w:val="3"/>
            <w:tcBorders>
              <w:top w:val="single" w:sz="8" w:space="0" w:color="BED0E4"/>
              <w:left w:val="single" w:sz="8" w:space="0" w:color="BED0E4"/>
              <w:bottom w:val="single" w:sz="8" w:space="0" w:color="BED0E4"/>
              <w:right w:val="single" w:sz="8" w:space="0" w:color="BED0E4"/>
            </w:tcBorders>
            <w:tcMar>
              <w:top w:w="160" w:type="dxa"/>
              <w:left w:w="200" w:type="dxa"/>
              <w:bottom w:w="160" w:type="dxa"/>
              <w:right w:w="200" w:type="dxa"/>
            </w:tcMar>
            <w:vAlign w:val="center"/>
            <w:hideMark/>
          </w:tcPr>
          <w:p w14:paraId="5991C0C6" w14:textId="77777777" w:rsidR="00527253" w:rsidRDefault="00527253">
            <w:pPr>
              <w:spacing w:before="280" w:after="280"/>
              <w:jc w:val="center"/>
              <w:rPr>
                <w:rFonts w:ascii="Calibri" w:eastAsia="Times New Roman" w:hAnsi="Calibri" w:cs="Calibri"/>
                <w:b/>
                <w:bCs/>
                <w:color w:val="FFFFFF"/>
                <w:sz w:val="32"/>
                <w:szCs w:val="32"/>
              </w:rPr>
            </w:pPr>
          </w:p>
        </w:tc>
      </w:tr>
      <w:tr w:rsidR="00000000" w14:paraId="08C3884E" w14:textId="77777777">
        <w:trPr>
          <w:divId w:val="1822841310"/>
          <w:tblCellSpacing w:w="0" w:type="dxa"/>
        </w:trPr>
        <w:tc>
          <w:tcPr>
            <w:tcW w:w="840" w:type="dxa"/>
            <w:tcBorders>
              <w:top w:val="single" w:sz="8" w:space="0" w:color="BED0E4"/>
              <w:left w:val="single" w:sz="8" w:space="0" w:color="BED0E4"/>
              <w:bottom w:val="single" w:sz="8" w:space="0" w:color="BED0E4"/>
              <w:right w:val="single" w:sz="8" w:space="0" w:color="BED0E4"/>
            </w:tcBorders>
            <w:shd w:val="clear" w:color="auto" w:fill="1A3A5C"/>
            <w:tcMar>
              <w:top w:w="240" w:type="dxa"/>
              <w:left w:w="160" w:type="dxa"/>
              <w:bottom w:w="240" w:type="dxa"/>
              <w:right w:w="160" w:type="dxa"/>
            </w:tcMar>
            <w:vAlign w:val="center"/>
            <w:hideMark/>
          </w:tcPr>
          <w:p w14:paraId="78A9DB4D" w14:textId="77777777" w:rsidR="00527253" w:rsidRDefault="00527253">
            <w:pPr>
              <w:spacing w:before="280" w:after="280"/>
              <w:jc w:val="center"/>
              <w:rPr>
                <w:rFonts w:ascii="Calibri" w:eastAsia="Times New Roman" w:hAnsi="Calibri" w:cs="Calibri"/>
                <w:b/>
                <w:bCs/>
                <w:color w:val="FFFFFF"/>
                <w:sz w:val="26"/>
                <w:szCs w:val="26"/>
              </w:rPr>
            </w:pPr>
            <w:r>
              <w:rPr>
                <w:rFonts w:ascii="Calibri" w:eastAsia="Times New Roman" w:hAnsi="Calibri" w:cs="Calibri"/>
                <w:b/>
                <w:bCs/>
                <w:color w:val="FFFFFF"/>
                <w:sz w:val="26"/>
                <w:szCs w:val="26"/>
              </w:rPr>
              <w:t>M3</w:t>
            </w:r>
          </w:p>
        </w:tc>
        <w:tc>
          <w:tcPr>
            <w:tcW w:w="0" w:type="auto"/>
            <w:tcBorders>
              <w:top w:val="single" w:sz="8" w:space="0" w:color="BED0E4"/>
              <w:left w:val="single" w:sz="8" w:space="0" w:color="BED0E4"/>
              <w:bottom w:val="single" w:sz="8" w:space="0" w:color="BED0E4"/>
              <w:right w:val="single" w:sz="8" w:space="0" w:color="BED0E4"/>
            </w:tcBorders>
            <w:tcMar>
              <w:top w:w="200" w:type="dxa"/>
              <w:left w:w="280" w:type="dxa"/>
              <w:bottom w:w="200" w:type="dxa"/>
              <w:right w:w="280" w:type="dxa"/>
            </w:tcMar>
            <w:vAlign w:val="center"/>
            <w:hideMark/>
          </w:tcPr>
          <w:p w14:paraId="274F229E" w14:textId="77777777" w:rsidR="00527253" w:rsidRDefault="00527253">
            <w:pPr>
              <w:spacing w:before="280" w:after="280"/>
              <w:rPr>
                <w:rFonts w:ascii="Calibri" w:eastAsia="Times New Roman" w:hAnsi="Calibri" w:cs="Calibri"/>
                <w:color w:val="1A1A1A"/>
                <w:sz w:val="21"/>
                <w:szCs w:val="21"/>
              </w:rPr>
            </w:pPr>
            <w:r>
              <w:rPr>
                <w:rStyle w:val="Strong"/>
                <w:rFonts w:ascii="Calibri" w:eastAsia="Times New Roman" w:hAnsi="Calibri" w:cs="Calibri"/>
                <w:sz w:val="22"/>
                <w:szCs w:val="22"/>
              </w:rPr>
              <w:t>Alpha Platform Delivery — 25%</w:t>
            </w:r>
            <w:r>
              <w:rPr>
                <w:rFonts w:ascii="Calibri" w:eastAsia="Times New Roman" w:hAnsi="Calibri" w:cs="Calibri"/>
                <w:color w:val="1A1A1A"/>
                <w:sz w:val="21"/>
                <w:szCs w:val="21"/>
              </w:rPr>
              <w:br/>
            </w:r>
            <w:r>
              <w:rPr>
                <w:rStyle w:val="Emphasis"/>
                <w:rFonts w:ascii="Calibri" w:eastAsia="Times New Roman" w:hAnsi="Calibri" w:cs="Calibri"/>
                <w:color w:val="6B8CBA"/>
                <w:sz w:val="19"/>
                <w:szCs w:val="19"/>
              </w:rPr>
              <w:t>Trigger: Live staging platform link delivered to client for review (Week 7)</w:t>
            </w:r>
            <w:r>
              <w:rPr>
                <w:rFonts w:ascii="Calibri" w:eastAsia="Times New Roman" w:hAnsi="Calibri" w:cs="Calibri"/>
                <w:color w:val="1A1A1A"/>
                <w:sz w:val="21"/>
                <w:szCs w:val="21"/>
              </w:rPr>
              <w:br/>
              <w:t xml:space="preserve">Client reviews the full integrated staging platform. First revision round (R1) feedback submitted. M3 payment due before R1 revisions begin. </w:t>
            </w:r>
          </w:p>
        </w:tc>
        <w:tc>
          <w:tcPr>
            <w:tcW w:w="1040" w:type="dxa"/>
            <w:tcBorders>
              <w:top w:val="single" w:sz="8" w:space="0" w:color="BED0E4"/>
              <w:left w:val="single" w:sz="8" w:space="0" w:color="BED0E4"/>
              <w:bottom w:val="single" w:sz="8" w:space="0" w:color="BED0E4"/>
              <w:right w:val="single" w:sz="8" w:space="0" w:color="BED0E4"/>
            </w:tcBorders>
            <w:shd w:val="clear" w:color="auto" w:fill="2C5282"/>
            <w:tcMar>
              <w:top w:w="240" w:type="dxa"/>
              <w:left w:w="160" w:type="dxa"/>
              <w:bottom w:w="240" w:type="dxa"/>
              <w:right w:w="160" w:type="dxa"/>
            </w:tcMar>
            <w:vAlign w:val="center"/>
            <w:hideMark/>
          </w:tcPr>
          <w:p w14:paraId="21EFD4CD" w14:textId="77777777" w:rsidR="00527253" w:rsidRDefault="00527253">
            <w:pPr>
              <w:spacing w:before="280" w:after="280"/>
              <w:jc w:val="center"/>
              <w:rPr>
                <w:rFonts w:ascii="Calibri" w:eastAsia="Times New Roman" w:hAnsi="Calibri" w:cs="Calibri"/>
                <w:b/>
                <w:bCs/>
                <w:color w:val="FFFFFF"/>
                <w:sz w:val="32"/>
                <w:szCs w:val="32"/>
              </w:rPr>
            </w:pPr>
            <w:r>
              <w:rPr>
                <w:rFonts w:ascii="Calibri" w:eastAsia="Times New Roman" w:hAnsi="Calibri" w:cs="Calibri"/>
                <w:b/>
                <w:bCs/>
                <w:color w:val="FFFFFF"/>
                <w:sz w:val="32"/>
                <w:szCs w:val="32"/>
              </w:rPr>
              <w:t>25%</w:t>
            </w:r>
          </w:p>
        </w:tc>
      </w:tr>
      <w:tr w:rsidR="00000000" w14:paraId="459F4822" w14:textId="77777777">
        <w:trPr>
          <w:divId w:val="1822841310"/>
          <w:trHeight w:val="120"/>
          <w:tblCellSpacing w:w="0" w:type="dxa"/>
        </w:trPr>
        <w:tc>
          <w:tcPr>
            <w:tcW w:w="0" w:type="auto"/>
            <w:gridSpan w:val="3"/>
            <w:tcBorders>
              <w:top w:val="single" w:sz="8" w:space="0" w:color="BED0E4"/>
              <w:left w:val="single" w:sz="8" w:space="0" w:color="BED0E4"/>
              <w:bottom w:val="single" w:sz="8" w:space="0" w:color="BED0E4"/>
              <w:right w:val="single" w:sz="8" w:space="0" w:color="BED0E4"/>
            </w:tcBorders>
            <w:tcMar>
              <w:top w:w="160" w:type="dxa"/>
              <w:left w:w="200" w:type="dxa"/>
              <w:bottom w:w="160" w:type="dxa"/>
              <w:right w:w="200" w:type="dxa"/>
            </w:tcMar>
            <w:vAlign w:val="center"/>
            <w:hideMark/>
          </w:tcPr>
          <w:p w14:paraId="5050C4EB" w14:textId="77777777" w:rsidR="00527253" w:rsidRDefault="00527253">
            <w:pPr>
              <w:spacing w:before="280" w:after="280"/>
              <w:jc w:val="center"/>
              <w:rPr>
                <w:rFonts w:ascii="Calibri" w:eastAsia="Times New Roman" w:hAnsi="Calibri" w:cs="Calibri"/>
                <w:b/>
                <w:bCs/>
                <w:color w:val="FFFFFF"/>
                <w:sz w:val="32"/>
                <w:szCs w:val="32"/>
              </w:rPr>
            </w:pPr>
          </w:p>
        </w:tc>
      </w:tr>
      <w:tr w:rsidR="00000000" w14:paraId="6075592C" w14:textId="77777777">
        <w:trPr>
          <w:divId w:val="1822841310"/>
          <w:tblCellSpacing w:w="0" w:type="dxa"/>
        </w:trPr>
        <w:tc>
          <w:tcPr>
            <w:tcW w:w="840" w:type="dxa"/>
            <w:tcBorders>
              <w:top w:val="single" w:sz="8" w:space="0" w:color="BED0E4"/>
              <w:left w:val="single" w:sz="8" w:space="0" w:color="BED0E4"/>
              <w:bottom w:val="single" w:sz="8" w:space="0" w:color="BED0E4"/>
              <w:right w:val="single" w:sz="8" w:space="0" w:color="BED0E4"/>
            </w:tcBorders>
            <w:shd w:val="clear" w:color="auto" w:fill="1A3A5C"/>
            <w:tcMar>
              <w:top w:w="240" w:type="dxa"/>
              <w:left w:w="160" w:type="dxa"/>
              <w:bottom w:w="240" w:type="dxa"/>
              <w:right w:w="160" w:type="dxa"/>
            </w:tcMar>
            <w:vAlign w:val="center"/>
            <w:hideMark/>
          </w:tcPr>
          <w:p w14:paraId="0A9F1540" w14:textId="77777777" w:rsidR="00527253" w:rsidRDefault="00527253">
            <w:pPr>
              <w:spacing w:before="280" w:after="280"/>
              <w:jc w:val="center"/>
              <w:rPr>
                <w:rFonts w:ascii="Calibri" w:eastAsia="Times New Roman" w:hAnsi="Calibri" w:cs="Calibri"/>
                <w:b/>
                <w:bCs/>
                <w:color w:val="FFFFFF"/>
                <w:sz w:val="26"/>
                <w:szCs w:val="26"/>
              </w:rPr>
            </w:pPr>
            <w:r>
              <w:rPr>
                <w:rFonts w:ascii="Calibri" w:eastAsia="Times New Roman" w:hAnsi="Calibri" w:cs="Calibri"/>
                <w:b/>
                <w:bCs/>
                <w:color w:val="FFFFFF"/>
                <w:sz w:val="26"/>
                <w:szCs w:val="26"/>
              </w:rPr>
              <w:t>M4</w:t>
            </w:r>
          </w:p>
        </w:tc>
        <w:tc>
          <w:tcPr>
            <w:tcW w:w="0" w:type="auto"/>
            <w:tcBorders>
              <w:top w:val="single" w:sz="8" w:space="0" w:color="BED0E4"/>
              <w:left w:val="single" w:sz="8" w:space="0" w:color="BED0E4"/>
              <w:bottom w:val="single" w:sz="8" w:space="0" w:color="BED0E4"/>
              <w:right w:val="single" w:sz="8" w:space="0" w:color="BED0E4"/>
            </w:tcBorders>
            <w:tcMar>
              <w:top w:w="200" w:type="dxa"/>
              <w:left w:w="280" w:type="dxa"/>
              <w:bottom w:w="200" w:type="dxa"/>
              <w:right w:w="280" w:type="dxa"/>
            </w:tcMar>
            <w:vAlign w:val="center"/>
            <w:hideMark/>
          </w:tcPr>
          <w:p w14:paraId="13FEE403" w14:textId="77777777" w:rsidR="00527253" w:rsidRDefault="00527253">
            <w:pPr>
              <w:spacing w:before="280" w:after="280"/>
              <w:rPr>
                <w:rFonts w:ascii="Calibri" w:eastAsia="Times New Roman" w:hAnsi="Calibri" w:cs="Calibri"/>
                <w:color w:val="1A1A1A"/>
                <w:sz w:val="21"/>
                <w:szCs w:val="21"/>
              </w:rPr>
            </w:pPr>
            <w:r>
              <w:rPr>
                <w:rStyle w:val="Strong"/>
                <w:rFonts w:ascii="Calibri" w:eastAsia="Times New Roman" w:hAnsi="Calibri" w:cs="Calibri"/>
                <w:sz w:val="22"/>
                <w:szCs w:val="22"/>
              </w:rPr>
              <w:t>Final Delivery — 15%</w:t>
            </w:r>
            <w:r>
              <w:rPr>
                <w:rFonts w:ascii="Calibri" w:eastAsia="Times New Roman" w:hAnsi="Calibri" w:cs="Calibri"/>
                <w:color w:val="1A1A1A"/>
                <w:sz w:val="21"/>
                <w:szCs w:val="21"/>
              </w:rPr>
              <w:br/>
            </w:r>
            <w:r>
              <w:rPr>
                <w:rStyle w:val="Emphasis"/>
                <w:rFonts w:ascii="Calibri" w:eastAsia="Times New Roman" w:hAnsi="Calibri" w:cs="Calibri"/>
                <w:color w:val="6B8CBA"/>
                <w:sz w:val="19"/>
                <w:szCs w:val="19"/>
              </w:rPr>
              <w:t>Trigger: Final platform accepted by client + written sign-off letter received (Week 8–10)</w:t>
            </w:r>
            <w:r>
              <w:rPr>
                <w:rFonts w:ascii="Calibri" w:eastAsia="Times New Roman" w:hAnsi="Calibri" w:cs="Calibri"/>
                <w:color w:val="1A1A1A"/>
                <w:sz w:val="21"/>
                <w:szCs w:val="21"/>
              </w:rPr>
              <w:br/>
              <w:t xml:space="preserve">All deliverables handed over: live platform URL, admin credentials, MP4 video files, AutoCAD DWG files, handover documentation. M4 payment clears before credentials are released. </w:t>
            </w:r>
          </w:p>
        </w:tc>
        <w:tc>
          <w:tcPr>
            <w:tcW w:w="1040" w:type="dxa"/>
            <w:tcBorders>
              <w:top w:val="single" w:sz="8" w:space="0" w:color="BED0E4"/>
              <w:left w:val="single" w:sz="8" w:space="0" w:color="BED0E4"/>
              <w:bottom w:val="single" w:sz="8" w:space="0" w:color="BED0E4"/>
              <w:right w:val="single" w:sz="8" w:space="0" w:color="BED0E4"/>
            </w:tcBorders>
            <w:shd w:val="clear" w:color="auto" w:fill="6B8CBA"/>
            <w:tcMar>
              <w:top w:w="240" w:type="dxa"/>
              <w:left w:w="160" w:type="dxa"/>
              <w:bottom w:w="240" w:type="dxa"/>
              <w:right w:w="160" w:type="dxa"/>
            </w:tcMar>
            <w:vAlign w:val="center"/>
            <w:hideMark/>
          </w:tcPr>
          <w:p w14:paraId="347DFD90" w14:textId="77777777" w:rsidR="00527253" w:rsidRDefault="00527253">
            <w:pPr>
              <w:spacing w:before="280" w:after="280"/>
              <w:jc w:val="center"/>
              <w:rPr>
                <w:rFonts w:ascii="Calibri" w:eastAsia="Times New Roman" w:hAnsi="Calibri" w:cs="Calibri"/>
                <w:b/>
                <w:bCs/>
                <w:color w:val="FFFFFF"/>
                <w:sz w:val="32"/>
                <w:szCs w:val="32"/>
              </w:rPr>
            </w:pPr>
            <w:r>
              <w:rPr>
                <w:rFonts w:ascii="Calibri" w:eastAsia="Times New Roman" w:hAnsi="Calibri" w:cs="Calibri"/>
                <w:b/>
                <w:bCs/>
                <w:color w:val="FFFFFF"/>
                <w:sz w:val="32"/>
                <w:szCs w:val="32"/>
              </w:rPr>
              <w:t>15%</w:t>
            </w:r>
          </w:p>
        </w:tc>
      </w:tr>
    </w:tbl>
    <w:p w14:paraId="10EAE15A" w14:textId="77777777" w:rsidR="00527253" w:rsidRDefault="00527253">
      <w:pPr>
        <w:pageBreakBefore/>
        <w:divId w:val="1822841310"/>
        <w:rPr>
          <w:rFonts w:ascii="Calibri" w:eastAsia="Times New Roman" w:hAnsi="Calibri" w:cs="Calibri"/>
          <w:vanish/>
          <w:color w:val="1A1A1A"/>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1664"/>
        <w:gridCol w:w="1895"/>
        <w:gridCol w:w="810"/>
        <w:gridCol w:w="1222"/>
        <w:gridCol w:w="3802"/>
      </w:tblGrid>
      <w:tr w:rsidR="00000000" w14:paraId="369C9988" w14:textId="77777777">
        <w:trPr>
          <w:divId w:val="1822841310"/>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DD3F08C" w14:textId="77777777" w:rsidR="00527253" w:rsidRDefault="00527253">
            <w:pPr>
              <w:spacing w:before="28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Milestone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6BFDCD6" w14:textId="77777777" w:rsidR="00527253" w:rsidRDefault="00527253">
            <w:pPr>
              <w:spacing w:before="28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Stage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987DD80" w14:textId="77777777" w:rsidR="00527253" w:rsidRDefault="00527253">
            <w:pPr>
              <w:spacing w:before="280" w:after="200"/>
              <w:jc w:val="center"/>
              <w:rPr>
                <w:rFonts w:ascii="Calibri" w:eastAsia="Times New Roman" w:hAnsi="Calibri" w:cs="Calibri"/>
                <w:b/>
                <w:bCs/>
                <w:color w:val="FFFFFF"/>
                <w:sz w:val="20"/>
                <w:szCs w:val="20"/>
              </w:rPr>
            </w:pPr>
            <w:r>
              <w:rPr>
                <w:rFonts w:ascii="Calibri" w:eastAsia="Times New Roman" w:hAnsi="Calibri" w:cs="Calibri"/>
                <w:b/>
                <w:bCs/>
                <w:color w:val="FFFFFF"/>
                <w:sz w:val="20"/>
                <w:szCs w:val="20"/>
              </w:rPr>
              <w: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C495696" w14:textId="77777777" w:rsidR="00527253" w:rsidRDefault="00527253">
            <w:pPr>
              <w:spacing w:before="28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Timing</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448B7F39" w14:textId="77777777" w:rsidR="00527253" w:rsidRDefault="00527253">
            <w:pPr>
              <w:spacing w:before="28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Trigger</w:t>
            </w:r>
          </w:p>
        </w:tc>
      </w:tr>
      <w:tr w:rsidR="00000000" w14:paraId="0E6E29FE" w14:textId="77777777">
        <w:trPr>
          <w:divId w:val="1822841310"/>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0BAB87F" w14:textId="77777777" w:rsidR="00527253" w:rsidRDefault="00527253">
            <w:pPr>
              <w:spacing w:before="280" w:after="200"/>
              <w:rPr>
                <w:rFonts w:ascii="Calibri" w:eastAsia="Times New Roman" w:hAnsi="Calibri" w:cs="Calibri"/>
                <w:color w:val="1A1A1A"/>
                <w:sz w:val="20"/>
                <w:szCs w:val="20"/>
              </w:rPr>
            </w:pPr>
            <w:r>
              <w:rPr>
                <w:rStyle w:val="Strong"/>
                <w:rFonts w:ascii="Calibri" w:eastAsia="Times New Roman" w:hAnsi="Calibri" w:cs="Calibri"/>
                <w:sz w:val="20"/>
                <w:szCs w:val="20"/>
              </w:rPr>
              <w:t>M1 — Kickoff</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6449B8F"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Project start</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1107200" w14:textId="77777777" w:rsidR="00527253" w:rsidRDefault="00527253">
            <w:pPr>
              <w:spacing w:before="280" w:after="200"/>
              <w:jc w:val="center"/>
              <w:rPr>
                <w:rFonts w:ascii="Calibri" w:eastAsia="Times New Roman" w:hAnsi="Calibri" w:cs="Calibri"/>
                <w:color w:val="1A1A1A"/>
                <w:sz w:val="20"/>
                <w:szCs w:val="20"/>
              </w:rPr>
            </w:pPr>
            <w:r>
              <w:rPr>
                <w:rStyle w:val="Strong"/>
                <w:rFonts w:ascii="Calibri" w:eastAsia="Times New Roman" w:hAnsi="Calibri" w:cs="Calibri"/>
                <w:sz w:val="20"/>
                <w:szCs w:val="20"/>
              </w:rPr>
              <w:t>40%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EF2348E"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Day 1</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CD6FB28"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Signed agreement + official PO/WO received</w:t>
            </w:r>
          </w:p>
        </w:tc>
      </w:tr>
      <w:tr w:rsidR="00000000" w14:paraId="6AC8BA87" w14:textId="77777777">
        <w:trPr>
          <w:divId w:val="1822841310"/>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34D9D83" w14:textId="77777777" w:rsidR="00527253" w:rsidRDefault="00527253">
            <w:pPr>
              <w:spacing w:before="280" w:after="200"/>
              <w:rPr>
                <w:rFonts w:ascii="Calibri" w:eastAsia="Times New Roman" w:hAnsi="Calibri" w:cs="Calibri"/>
                <w:color w:val="1A1A1A"/>
                <w:sz w:val="20"/>
                <w:szCs w:val="20"/>
              </w:rPr>
            </w:pPr>
            <w:r>
              <w:rPr>
                <w:rStyle w:val="Strong"/>
                <w:rFonts w:ascii="Calibri" w:eastAsia="Times New Roman" w:hAnsi="Calibri" w:cs="Calibri"/>
                <w:sz w:val="20"/>
                <w:szCs w:val="20"/>
              </w:rPr>
              <w:t>M2 — Modelling</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3A072D2"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3D assets complete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7D61C005" w14:textId="77777777" w:rsidR="00527253" w:rsidRDefault="00527253">
            <w:pPr>
              <w:spacing w:before="280" w:after="200"/>
              <w:jc w:val="center"/>
              <w:rPr>
                <w:rFonts w:ascii="Calibri" w:eastAsia="Times New Roman" w:hAnsi="Calibri" w:cs="Calibri"/>
                <w:color w:val="1A1A1A"/>
                <w:sz w:val="20"/>
                <w:szCs w:val="20"/>
              </w:rPr>
            </w:pPr>
            <w:r>
              <w:rPr>
                <w:rStyle w:val="Strong"/>
                <w:rFonts w:ascii="Calibri" w:eastAsia="Times New Roman" w:hAnsi="Calibri" w:cs="Calibri"/>
                <w:sz w:val="20"/>
                <w:szCs w:val="20"/>
              </w:rPr>
              <w:t>20%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A1088F0"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Week 5–6</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762223F"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3D model assets delivered for mid-phase review</w:t>
            </w:r>
          </w:p>
        </w:tc>
      </w:tr>
      <w:tr w:rsidR="00000000" w14:paraId="5B1B82B9" w14:textId="77777777">
        <w:trPr>
          <w:divId w:val="1822841310"/>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1A8BF9C" w14:textId="77777777" w:rsidR="00527253" w:rsidRDefault="00527253">
            <w:pPr>
              <w:spacing w:before="280" w:after="200"/>
              <w:rPr>
                <w:rFonts w:ascii="Calibri" w:eastAsia="Times New Roman" w:hAnsi="Calibri" w:cs="Calibri"/>
                <w:color w:val="1A1A1A"/>
                <w:sz w:val="20"/>
                <w:szCs w:val="20"/>
              </w:rPr>
            </w:pPr>
            <w:r>
              <w:rPr>
                <w:rStyle w:val="Strong"/>
                <w:rFonts w:ascii="Calibri" w:eastAsia="Times New Roman" w:hAnsi="Calibri" w:cs="Calibri"/>
                <w:sz w:val="20"/>
                <w:szCs w:val="20"/>
              </w:rPr>
              <w:t>M3 — Alpha</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31CB932C"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Staging platform live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9D9CE1B" w14:textId="77777777" w:rsidR="00527253" w:rsidRDefault="00527253">
            <w:pPr>
              <w:spacing w:before="280" w:after="200"/>
              <w:jc w:val="center"/>
              <w:rPr>
                <w:rFonts w:ascii="Calibri" w:eastAsia="Times New Roman" w:hAnsi="Calibri" w:cs="Calibri"/>
                <w:color w:val="1A1A1A"/>
                <w:sz w:val="20"/>
                <w:szCs w:val="20"/>
              </w:rPr>
            </w:pPr>
            <w:r>
              <w:rPr>
                <w:rStyle w:val="Strong"/>
                <w:rFonts w:ascii="Calibri" w:eastAsia="Times New Roman" w:hAnsi="Calibri" w:cs="Calibri"/>
                <w:sz w:val="20"/>
                <w:szCs w:val="20"/>
              </w:rPr>
              <w:t>25%</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63C4DAD1"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Week 7</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120B6B2E"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Staging platform link shared with client</w:t>
            </w:r>
          </w:p>
        </w:tc>
      </w:tr>
      <w:tr w:rsidR="00000000" w14:paraId="18C443B9" w14:textId="77777777">
        <w:trPr>
          <w:divId w:val="1822841310"/>
        </w:trPr>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4972EA31" w14:textId="77777777" w:rsidR="00527253" w:rsidRDefault="00527253">
            <w:pPr>
              <w:spacing w:before="280" w:after="200"/>
              <w:rPr>
                <w:rFonts w:ascii="Calibri" w:eastAsia="Times New Roman" w:hAnsi="Calibri" w:cs="Calibri"/>
                <w:color w:val="1A1A1A"/>
                <w:sz w:val="20"/>
                <w:szCs w:val="20"/>
              </w:rPr>
            </w:pPr>
            <w:r>
              <w:rPr>
                <w:rStyle w:val="Strong"/>
                <w:rFonts w:ascii="Calibri" w:eastAsia="Times New Roman" w:hAnsi="Calibri" w:cs="Calibri"/>
                <w:sz w:val="20"/>
                <w:szCs w:val="20"/>
              </w:rPr>
              <w:t>M4 — Final</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588F44B9"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Project close</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B4C4EC4" w14:textId="77777777" w:rsidR="00527253" w:rsidRDefault="00527253">
            <w:pPr>
              <w:spacing w:before="280" w:after="200"/>
              <w:jc w:val="center"/>
              <w:rPr>
                <w:rFonts w:ascii="Calibri" w:eastAsia="Times New Roman" w:hAnsi="Calibri" w:cs="Calibri"/>
                <w:color w:val="1A1A1A"/>
                <w:sz w:val="20"/>
                <w:szCs w:val="20"/>
              </w:rPr>
            </w:pPr>
            <w:r>
              <w:rPr>
                <w:rStyle w:val="Strong"/>
                <w:rFonts w:ascii="Calibri" w:eastAsia="Times New Roman" w:hAnsi="Calibri" w:cs="Calibri"/>
                <w:sz w:val="20"/>
                <w:szCs w:val="20"/>
              </w:rPr>
              <w:t>15%</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09767BB7"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Week 8–10</w:t>
            </w:r>
          </w:p>
        </w:tc>
        <w:tc>
          <w:tcPr>
            <w:tcW w:w="0" w:type="auto"/>
            <w:tcBorders>
              <w:top w:val="single" w:sz="8" w:space="0" w:color="BED0E4"/>
              <w:left w:val="single" w:sz="8" w:space="0" w:color="BED0E4"/>
              <w:bottom w:val="single" w:sz="8" w:space="0" w:color="BED0E4"/>
              <w:right w:val="single" w:sz="8" w:space="0" w:color="BED0E4"/>
            </w:tcBorders>
            <w:tcMar>
              <w:top w:w="110" w:type="dxa"/>
              <w:left w:w="180" w:type="dxa"/>
              <w:bottom w:w="110" w:type="dxa"/>
              <w:right w:w="180" w:type="dxa"/>
            </w:tcMar>
            <w:hideMark/>
          </w:tcPr>
          <w:p w14:paraId="2174CC09" w14:textId="77777777" w:rsidR="00527253" w:rsidRDefault="00527253">
            <w:pPr>
              <w:spacing w:before="280" w:after="200"/>
              <w:rPr>
                <w:rFonts w:ascii="Calibri" w:eastAsia="Times New Roman" w:hAnsi="Calibri" w:cs="Calibri"/>
                <w:color w:val="1A1A1A"/>
                <w:sz w:val="20"/>
                <w:szCs w:val="20"/>
              </w:rPr>
            </w:pPr>
            <w:r>
              <w:rPr>
                <w:rFonts w:ascii="Calibri" w:eastAsia="Times New Roman" w:hAnsi="Calibri" w:cs="Calibri"/>
                <w:color w:val="1A1A1A"/>
                <w:sz w:val="20"/>
                <w:szCs w:val="20"/>
              </w:rPr>
              <w:t>Final delivery accepted + written sign-off</w:t>
            </w:r>
          </w:p>
        </w:tc>
      </w:tr>
      <w:tr w:rsidR="00000000" w14:paraId="766D4878" w14:textId="77777777">
        <w:trPr>
          <w:divId w:val="1822841310"/>
        </w:trPr>
        <w:tc>
          <w:tcPr>
            <w:tcW w:w="0" w:type="auto"/>
            <w:gridSpan w:val="2"/>
            <w:tcBorders>
              <w:top w:val="single" w:sz="8" w:space="0" w:color="1A3A5C"/>
              <w:left w:val="single" w:sz="8" w:space="0" w:color="1A3A5C"/>
              <w:bottom w:val="single" w:sz="8" w:space="0" w:color="1A3A5C"/>
              <w:right w:val="single" w:sz="8" w:space="0" w:color="1A3A5C"/>
            </w:tcBorders>
            <w:shd w:val="clear" w:color="auto" w:fill="1A3A5C"/>
            <w:tcMar>
              <w:top w:w="110" w:type="dxa"/>
              <w:left w:w="180" w:type="dxa"/>
              <w:bottom w:w="110" w:type="dxa"/>
              <w:right w:w="180" w:type="dxa"/>
            </w:tcMar>
            <w:hideMark/>
          </w:tcPr>
          <w:p w14:paraId="3C66CA80" w14:textId="77777777" w:rsidR="00527253" w:rsidRDefault="00527253">
            <w:pPr>
              <w:spacing w:before="280" w:after="200"/>
              <w:rPr>
                <w:rFonts w:ascii="Calibri" w:eastAsia="Times New Roman" w:hAnsi="Calibri" w:cs="Calibri"/>
                <w:b/>
                <w:bCs/>
                <w:color w:val="FFFFFF"/>
                <w:sz w:val="20"/>
                <w:szCs w:val="20"/>
              </w:rPr>
            </w:pPr>
            <w:r>
              <w:rPr>
                <w:rStyle w:val="Strong"/>
                <w:rFonts w:ascii="Calibri" w:eastAsia="Times New Roman" w:hAnsi="Calibri" w:cs="Calibri"/>
                <w:sz w:val="20"/>
                <w:szCs w:val="20"/>
              </w:rPr>
              <w:t>Total</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80" w:type="dxa"/>
              <w:bottom w:w="110" w:type="dxa"/>
              <w:right w:w="180" w:type="dxa"/>
            </w:tcMar>
            <w:hideMark/>
          </w:tcPr>
          <w:p w14:paraId="4E73767A" w14:textId="77777777" w:rsidR="00527253" w:rsidRDefault="00527253">
            <w:pPr>
              <w:spacing w:before="280" w:after="200"/>
              <w:jc w:val="center"/>
              <w:rPr>
                <w:rFonts w:ascii="Calibri" w:eastAsia="Times New Roman" w:hAnsi="Calibri" w:cs="Calibri"/>
                <w:b/>
                <w:bCs/>
                <w:color w:val="FFFFFF"/>
                <w:sz w:val="20"/>
                <w:szCs w:val="20"/>
              </w:rPr>
            </w:pPr>
            <w:r>
              <w:rPr>
                <w:rStyle w:val="Strong"/>
                <w:rFonts w:ascii="Calibri" w:eastAsia="Times New Roman" w:hAnsi="Calibri" w:cs="Calibri"/>
                <w:sz w:val="20"/>
                <w:szCs w:val="20"/>
              </w:rPr>
              <w:t>100%</w:t>
            </w:r>
          </w:p>
        </w:tc>
        <w:tc>
          <w:tcPr>
            <w:tcW w:w="0" w:type="auto"/>
            <w:gridSpan w:val="2"/>
            <w:tcBorders>
              <w:top w:val="single" w:sz="8" w:space="0" w:color="1A3A5C"/>
              <w:left w:val="single" w:sz="8" w:space="0" w:color="1A3A5C"/>
              <w:bottom w:val="single" w:sz="8" w:space="0" w:color="1A3A5C"/>
              <w:right w:val="single" w:sz="8" w:space="0" w:color="1A3A5C"/>
            </w:tcBorders>
            <w:shd w:val="clear" w:color="auto" w:fill="1A3A5C"/>
            <w:tcMar>
              <w:top w:w="110" w:type="dxa"/>
              <w:left w:w="180" w:type="dxa"/>
              <w:bottom w:w="110" w:type="dxa"/>
              <w:right w:w="180" w:type="dxa"/>
            </w:tcMar>
            <w:hideMark/>
          </w:tcPr>
          <w:p w14:paraId="3E950854" w14:textId="77777777" w:rsidR="00527253" w:rsidRDefault="00527253">
            <w:pPr>
              <w:spacing w:before="280" w:after="200"/>
              <w:rPr>
                <w:rFonts w:ascii="Calibri" w:eastAsia="Times New Roman" w:hAnsi="Calibri" w:cs="Calibri"/>
                <w:b/>
                <w:bCs/>
                <w:color w:val="FFFFFF"/>
                <w:sz w:val="20"/>
                <w:szCs w:val="20"/>
              </w:rPr>
            </w:pPr>
            <w:r>
              <w:rPr>
                <w:rStyle w:val="Strong"/>
                <w:rFonts w:ascii="Calibri" w:eastAsia="Times New Roman" w:hAnsi="Calibri" w:cs="Calibri"/>
                <w:sz w:val="20"/>
                <w:szCs w:val="20"/>
              </w:rPr>
              <w:t>8–10 weeks (excl. review periods)</w:t>
            </w:r>
          </w:p>
        </w:tc>
      </w:tr>
    </w:tbl>
    <w:p w14:paraId="59820825" w14:textId="77777777" w:rsidR="00527253" w:rsidRDefault="00527253">
      <w:pPr>
        <w:pageBreakBefore/>
        <w:shd w:val="clear" w:color="auto" w:fill="EEF3F9"/>
        <w:divId w:val="945112228"/>
        <w:rPr>
          <w:rFonts w:ascii="Calibri" w:eastAsia="Times New Roman" w:hAnsi="Calibri" w:cs="Calibri"/>
          <w:color w:val="1A1A1A"/>
          <w:sz w:val="20"/>
          <w:szCs w:val="20"/>
        </w:rPr>
      </w:pPr>
      <w:r>
        <w:rPr>
          <w:rStyle w:val="Strong"/>
          <w:rFonts w:ascii="Calibri" w:eastAsia="Times New Roman" w:hAnsi="Calibri" w:cs="Calibri"/>
          <w:sz w:val="20"/>
          <w:szCs w:val="20"/>
        </w:rPr>
        <w:lastRenderedPageBreak/>
        <w:t>Payment Conditions:</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All payments via bank transfer to Design Zone Engineering Solutions (account details provided upon agreement signing). ZATCA-compliant tax invoices issued for each milestone. Final deliverables — live platform URL, admin credentials, video files, and CAD files — are withheld until M4 payment is confirmed. Add-on services are invoiced separately at delivery. </w:t>
      </w:r>
    </w:p>
    <w:p w14:paraId="6C7F6AA6" w14:textId="77777777" w:rsidR="00527253" w:rsidRDefault="00527253">
      <w:pPr>
        <w:pageBreakBefore/>
        <w:shd w:val="clear" w:color="auto" w:fill="1A3A5C"/>
        <w:divId w:val="1210460024"/>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lastRenderedPageBreak/>
        <w:t>10</w:t>
      </w:r>
    </w:p>
    <w:p w14:paraId="6F2B6221" w14:textId="77777777" w:rsidR="00527253" w:rsidRDefault="00527253">
      <w:pPr>
        <w:pStyle w:val="Heading1"/>
        <w:pageBreakBefore/>
        <w:spacing w:before="120"/>
        <w:divId w:val="1565556392"/>
        <w:rPr>
          <w:rFonts w:ascii="Calibri" w:eastAsia="Times New Roman" w:hAnsi="Calibri" w:cs="Calibri"/>
          <w:kern w:val="36"/>
        </w:rPr>
      </w:pPr>
      <w:r>
        <w:rPr>
          <w:rFonts w:ascii="Calibri" w:eastAsia="Times New Roman" w:hAnsi="Calibri" w:cs="Calibri"/>
          <w:kern w:val="36"/>
        </w:rPr>
        <w:lastRenderedPageBreak/>
        <w:t>Revision Policy</w:t>
      </w:r>
    </w:p>
    <w:p w14:paraId="6E6087B1" w14:textId="77777777" w:rsidR="00527253" w:rsidRDefault="00527253">
      <w:pPr>
        <w:pStyle w:val="NormalWeb"/>
        <w:pageBreakBefore/>
        <w:divId w:val="1565556392"/>
        <w:rPr>
          <w:rFonts w:ascii="Calibri" w:hAnsi="Calibri" w:cs="Calibri"/>
          <w:color w:val="1A1A1A"/>
          <w:sz w:val="21"/>
          <w:szCs w:val="21"/>
        </w:rPr>
      </w:pPr>
      <w:r>
        <w:rPr>
          <w:rFonts w:ascii="Calibri" w:hAnsi="Calibri" w:cs="Calibri"/>
          <w:color w:val="1A1A1A"/>
          <w:sz w:val="21"/>
          <w:szCs w:val="21"/>
        </w:rPr>
        <w:lastRenderedPageBreak/>
        <w:t>Design Zone operates a structured revision policy from the Alpha milestone (M3) onward. This policy protects the quality of the delivered platform, ensures the agreed timeline is respected, and provides clients with clearly defined rights to request changes. Two consolidated revision rounds are included in every project scope at no additional charge.</w:t>
      </w:r>
    </w:p>
    <w:tbl>
      <w:tblPr>
        <w:tblW w:w="5000" w:type="pct"/>
        <w:tblCellSpacing w:w="0" w:type="dxa"/>
        <w:tblCellMar>
          <w:left w:w="0" w:type="dxa"/>
          <w:right w:w="0" w:type="dxa"/>
        </w:tblCellMar>
        <w:tblLook w:val="04A0" w:firstRow="1" w:lastRow="0" w:firstColumn="1" w:lastColumn="0" w:noHBand="0" w:noVBand="1"/>
      </w:tblPr>
      <w:tblGrid>
        <w:gridCol w:w="1259"/>
        <w:gridCol w:w="8134"/>
      </w:tblGrid>
      <w:tr w:rsidR="00000000" w14:paraId="6C5FBE26" w14:textId="77777777">
        <w:trPr>
          <w:divId w:val="1565556392"/>
          <w:tblCellSpacing w:w="0" w:type="dxa"/>
        </w:trPr>
        <w:tc>
          <w:tcPr>
            <w:tcW w:w="880" w:type="dxa"/>
            <w:tcBorders>
              <w:top w:val="single" w:sz="8" w:space="0" w:color="BED0E4"/>
              <w:left w:val="single" w:sz="8" w:space="0" w:color="BED0E4"/>
              <w:bottom w:val="single" w:sz="8" w:space="0" w:color="BED0E4"/>
              <w:right w:val="single" w:sz="8" w:space="0" w:color="BED0E4"/>
            </w:tcBorders>
            <w:shd w:val="clear" w:color="auto" w:fill="1A3A5C"/>
            <w:tcMar>
              <w:top w:w="280" w:type="dxa"/>
              <w:left w:w="160" w:type="dxa"/>
              <w:bottom w:w="280" w:type="dxa"/>
              <w:right w:w="160" w:type="dxa"/>
            </w:tcMar>
            <w:hideMark/>
          </w:tcPr>
          <w:p w14:paraId="08428D50" w14:textId="77777777" w:rsidR="00527253" w:rsidRDefault="00527253">
            <w:pPr>
              <w:spacing w:before="280" w:after="280"/>
              <w:jc w:val="center"/>
              <w:rPr>
                <w:rFonts w:ascii="Calibri" w:eastAsia="Times New Roman" w:hAnsi="Calibri" w:cs="Calibri"/>
                <w:b/>
                <w:bCs/>
                <w:color w:val="FFFFFF"/>
                <w:sz w:val="22"/>
                <w:szCs w:val="22"/>
              </w:rPr>
            </w:pPr>
            <w:r>
              <w:rPr>
                <w:rFonts w:ascii="Calibri" w:eastAsia="Times New Roman" w:hAnsi="Calibri" w:cs="Calibri"/>
                <w:b/>
                <w:bCs/>
                <w:color w:val="FFFFFF"/>
                <w:sz w:val="22"/>
                <w:szCs w:val="22"/>
              </w:rPr>
              <w:t>R1</w:t>
            </w:r>
            <w:r>
              <w:rPr>
                <w:rFonts w:ascii="Calibri" w:eastAsia="Times New Roman" w:hAnsi="Calibri" w:cs="Calibri"/>
                <w:b/>
                <w:bCs/>
                <w:color w:val="FFFFFF"/>
                <w:sz w:val="22"/>
                <w:szCs w:val="22"/>
              </w:rPr>
              <w:br/>
              <w:t>FREE</w:t>
            </w:r>
          </w:p>
        </w:tc>
        <w:tc>
          <w:tcPr>
            <w:tcW w:w="0" w:type="auto"/>
            <w:tcBorders>
              <w:top w:val="single" w:sz="8" w:space="0" w:color="BED0E4"/>
              <w:left w:val="single" w:sz="8" w:space="0" w:color="BED0E4"/>
              <w:bottom w:val="single" w:sz="8" w:space="0" w:color="BED0E4"/>
              <w:right w:val="single" w:sz="8" w:space="0" w:color="BED0E4"/>
            </w:tcBorders>
            <w:tcMar>
              <w:top w:w="200" w:type="dxa"/>
              <w:left w:w="280" w:type="dxa"/>
              <w:bottom w:w="200" w:type="dxa"/>
              <w:right w:w="280" w:type="dxa"/>
            </w:tcMar>
            <w:hideMark/>
          </w:tcPr>
          <w:p w14:paraId="7C33DAD9" w14:textId="77777777" w:rsidR="00527253" w:rsidRDefault="00527253">
            <w:pPr>
              <w:spacing w:before="280" w:after="280"/>
              <w:rPr>
                <w:rFonts w:ascii="Calibri" w:eastAsia="Times New Roman" w:hAnsi="Calibri" w:cs="Calibri"/>
                <w:color w:val="1A1A1A"/>
                <w:sz w:val="21"/>
                <w:szCs w:val="21"/>
              </w:rPr>
            </w:pPr>
            <w:r>
              <w:rPr>
                <w:rStyle w:val="Strong"/>
                <w:rFonts w:ascii="Calibri" w:eastAsia="Times New Roman" w:hAnsi="Calibri" w:cs="Calibri"/>
                <w:color w:val="276827"/>
                <w:sz w:val="22"/>
                <w:szCs w:val="22"/>
              </w:rPr>
              <w:t>First Revision Round — Included at No Charge</w:t>
            </w:r>
            <w:r>
              <w:rPr>
                <w:rFonts w:ascii="Calibri" w:eastAsia="Times New Roman" w:hAnsi="Calibri" w:cs="Calibri"/>
                <w:color w:val="1A1A1A"/>
                <w:sz w:val="21"/>
                <w:szCs w:val="21"/>
              </w:rPr>
              <w:br/>
            </w:r>
            <w:r>
              <w:rPr>
                <w:rFonts w:ascii="Calibri" w:eastAsia="Times New Roman" w:hAnsi="Calibri" w:cs="Calibri"/>
                <w:color w:val="1A1A1A"/>
                <w:sz w:val="21"/>
                <w:szCs w:val="21"/>
              </w:rPr>
              <w:br/>
              <w:t>Following Alpha (M3) delivery, the client may submit one consolidated list of feedback, corrections, or change requests covering all aspects of the platform. All items within this first round are addressed within the agreed scope at no additional cost.</w:t>
            </w:r>
            <w:r>
              <w:rPr>
                <w:rFonts w:ascii="Calibri" w:eastAsia="Times New Roman" w:hAnsi="Calibri" w:cs="Calibri"/>
                <w:color w:val="1A1A1A"/>
                <w:sz w:val="21"/>
                <w:szCs w:val="21"/>
              </w:rPr>
              <w:br/>
            </w:r>
            <w:r>
              <w:rPr>
                <w:rFonts w:ascii="Calibri" w:eastAsia="Times New Roman" w:hAnsi="Calibri" w:cs="Calibri"/>
                <w:color w:val="1A1A1A"/>
                <w:sz w:val="21"/>
                <w:szCs w:val="21"/>
              </w:rPr>
              <w:br/>
            </w:r>
            <w:r>
              <w:rPr>
                <w:rStyle w:val="Strong"/>
                <w:rFonts w:ascii="Calibri" w:eastAsia="Times New Roman" w:hAnsi="Calibri" w:cs="Calibri"/>
                <w:sz w:val="21"/>
                <w:szCs w:val="21"/>
              </w:rPr>
              <w:t>Important:</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xml:space="preserve">R1 must be submitted as a single, comprehensive written document. Multiple separate feedback messages sent over several days do not constitute a single revision round. Clients should gather all internal feedback — from all stakeholders — before submitting R1. </w:t>
            </w:r>
          </w:p>
        </w:tc>
      </w:tr>
      <w:tr w:rsidR="00000000" w14:paraId="3FFAF35F" w14:textId="77777777">
        <w:trPr>
          <w:divId w:val="1565556392"/>
          <w:trHeight w:val="120"/>
          <w:tblCellSpacing w:w="0" w:type="dxa"/>
        </w:trPr>
        <w:tc>
          <w:tcPr>
            <w:tcW w:w="0" w:type="auto"/>
            <w:gridSpan w:val="2"/>
            <w:tcBorders>
              <w:top w:val="nil"/>
              <w:left w:val="nil"/>
              <w:bottom w:val="nil"/>
              <w:right w:val="nil"/>
            </w:tcBorders>
            <w:tcMar>
              <w:top w:w="160" w:type="dxa"/>
              <w:left w:w="200" w:type="dxa"/>
              <w:bottom w:w="160" w:type="dxa"/>
              <w:right w:w="200" w:type="dxa"/>
            </w:tcMar>
            <w:hideMark/>
          </w:tcPr>
          <w:p w14:paraId="300EB9CE" w14:textId="77777777" w:rsidR="00527253" w:rsidRDefault="00527253">
            <w:pPr>
              <w:spacing w:before="280" w:after="280"/>
              <w:rPr>
                <w:rFonts w:ascii="Calibri" w:eastAsia="Times New Roman" w:hAnsi="Calibri" w:cs="Calibri"/>
                <w:color w:val="1A1A1A"/>
                <w:sz w:val="21"/>
                <w:szCs w:val="21"/>
              </w:rPr>
            </w:pPr>
          </w:p>
        </w:tc>
      </w:tr>
      <w:tr w:rsidR="00000000" w14:paraId="1C01D764" w14:textId="77777777">
        <w:trPr>
          <w:divId w:val="1565556392"/>
          <w:tblCellSpacing w:w="0" w:type="dxa"/>
        </w:trPr>
        <w:tc>
          <w:tcPr>
            <w:tcW w:w="720" w:type="dxa"/>
            <w:tcBorders>
              <w:top w:val="single" w:sz="8" w:space="0" w:color="BED0E4"/>
              <w:left w:val="single" w:sz="8" w:space="0" w:color="BED0E4"/>
              <w:bottom w:val="single" w:sz="8" w:space="0" w:color="BED0E4"/>
              <w:right w:val="single" w:sz="8" w:space="0" w:color="BED0E4"/>
            </w:tcBorders>
            <w:shd w:val="clear" w:color="auto" w:fill="1A3A5C"/>
            <w:tcMar>
              <w:top w:w="280" w:type="dxa"/>
              <w:left w:w="160" w:type="dxa"/>
              <w:bottom w:w="280" w:type="dxa"/>
              <w:right w:w="160" w:type="dxa"/>
            </w:tcMar>
            <w:hideMark/>
          </w:tcPr>
          <w:p w14:paraId="19574DB2" w14:textId="77777777" w:rsidR="00527253" w:rsidRDefault="00527253">
            <w:pPr>
              <w:spacing w:before="280" w:after="280"/>
              <w:jc w:val="center"/>
              <w:rPr>
                <w:rFonts w:ascii="Calibri" w:eastAsia="Times New Roman" w:hAnsi="Calibri" w:cs="Calibri"/>
                <w:b/>
                <w:bCs/>
                <w:color w:val="FFFFFF"/>
                <w:sz w:val="22"/>
                <w:szCs w:val="22"/>
              </w:rPr>
            </w:pPr>
            <w:r>
              <w:rPr>
                <w:rFonts w:ascii="Calibri" w:eastAsia="Times New Roman" w:hAnsi="Calibri" w:cs="Calibri"/>
                <w:b/>
                <w:bCs/>
                <w:color w:val="FFFFFF"/>
                <w:sz w:val="22"/>
                <w:szCs w:val="22"/>
              </w:rPr>
              <w:t>R2</w:t>
            </w:r>
            <w:r>
              <w:rPr>
                <w:rFonts w:ascii="Calibri" w:eastAsia="Times New Roman" w:hAnsi="Calibri" w:cs="Calibri"/>
                <w:b/>
                <w:bCs/>
                <w:color w:val="FFFFFF"/>
                <w:sz w:val="22"/>
                <w:szCs w:val="22"/>
              </w:rPr>
              <w:br/>
              <w:t>FREE</w:t>
            </w:r>
          </w:p>
        </w:tc>
        <w:tc>
          <w:tcPr>
            <w:tcW w:w="0" w:type="auto"/>
            <w:tcBorders>
              <w:top w:val="single" w:sz="8" w:space="0" w:color="BED0E4"/>
              <w:left w:val="single" w:sz="8" w:space="0" w:color="BED0E4"/>
              <w:bottom w:val="single" w:sz="8" w:space="0" w:color="BED0E4"/>
              <w:right w:val="single" w:sz="8" w:space="0" w:color="BED0E4"/>
            </w:tcBorders>
            <w:tcMar>
              <w:top w:w="200" w:type="dxa"/>
              <w:left w:w="280" w:type="dxa"/>
              <w:bottom w:w="200" w:type="dxa"/>
              <w:right w:w="280" w:type="dxa"/>
            </w:tcMar>
            <w:hideMark/>
          </w:tcPr>
          <w:p w14:paraId="454C5265" w14:textId="77777777" w:rsidR="00527253" w:rsidRDefault="00527253">
            <w:pPr>
              <w:spacing w:before="280" w:after="280"/>
              <w:rPr>
                <w:rFonts w:ascii="Calibri" w:eastAsia="Times New Roman" w:hAnsi="Calibri" w:cs="Calibri"/>
                <w:color w:val="1A1A1A"/>
                <w:sz w:val="21"/>
                <w:szCs w:val="21"/>
              </w:rPr>
            </w:pPr>
            <w:r>
              <w:rPr>
                <w:rStyle w:val="Strong"/>
                <w:rFonts w:ascii="Calibri" w:eastAsia="Times New Roman" w:hAnsi="Calibri" w:cs="Calibri"/>
                <w:color w:val="276827"/>
                <w:sz w:val="22"/>
                <w:szCs w:val="22"/>
              </w:rPr>
              <w:t>Second Revision Round — Included at No Charge</w:t>
            </w:r>
            <w:r>
              <w:rPr>
                <w:rFonts w:ascii="Calibri" w:eastAsia="Times New Roman" w:hAnsi="Calibri" w:cs="Calibri"/>
                <w:color w:val="1A1A1A"/>
                <w:sz w:val="21"/>
                <w:szCs w:val="21"/>
              </w:rPr>
              <w:br/>
            </w:r>
            <w:r>
              <w:rPr>
                <w:rFonts w:ascii="Calibri" w:eastAsia="Times New Roman" w:hAnsi="Calibri" w:cs="Calibri"/>
                <w:color w:val="1A1A1A"/>
                <w:sz w:val="21"/>
                <w:szCs w:val="21"/>
              </w:rPr>
              <w:br/>
            </w:r>
            <w:r>
              <w:rPr>
                <w:rFonts w:ascii="Calibri" w:eastAsia="Times New Roman" w:hAnsi="Calibri" w:cs="Calibri"/>
                <w:color w:val="1A1A1A"/>
                <w:sz w:val="21"/>
                <w:szCs w:val="21"/>
              </w:rPr>
              <w:t>After R1 revisions are implemented, the client has one final opportunity to submit a second consolidated round of minor corrections or adjustments. This round is also fully covered within the agreed scope at no additional charge.</w:t>
            </w:r>
            <w:r>
              <w:rPr>
                <w:rFonts w:ascii="Calibri" w:eastAsia="Times New Roman" w:hAnsi="Calibri" w:cs="Calibri"/>
                <w:color w:val="1A1A1A"/>
                <w:sz w:val="21"/>
                <w:szCs w:val="21"/>
              </w:rPr>
              <w:br/>
            </w:r>
            <w:r>
              <w:rPr>
                <w:rFonts w:ascii="Calibri" w:eastAsia="Times New Roman" w:hAnsi="Calibri" w:cs="Calibri"/>
                <w:color w:val="1A1A1A"/>
                <w:sz w:val="21"/>
                <w:szCs w:val="21"/>
              </w:rPr>
              <w:br/>
              <w:t xml:space="preserve">R2 should address any remaining refinements from R1 and any additional items identified during the R1 review period. R2 is intended for minor adjustments — not material redesigns or scope additions. </w:t>
            </w:r>
          </w:p>
        </w:tc>
      </w:tr>
      <w:tr w:rsidR="00000000" w14:paraId="5626E70E" w14:textId="77777777">
        <w:trPr>
          <w:divId w:val="1565556392"/>
          <w:trHeight w:val="120"/>
          <w:tblCellSpacing w:w="0" w:type="dxa"/>
        </w:trPr>
        <w:tc>
          <w:tcPr>
            <w:tcW w:w="0" w:type="auto"/>
            <w:gridSpan w:val="2"/>
            <w:tcBorders>
              <w:top w:val="nil"/>
              <w:left w:val="nil"/>
              <w:bottom w:val="nil"/>
              <w:right w:val="nil"/>
            </w:tcBorders>
            <w:tcMar>
              <w:top w:w="160" w:type="dxa"/>
              <w:left w:w="200" w:type="dxa"/>
              <w:bottom w:w="160" w:type="dxa"/>
              <w:right w:w="200" w:type="dxa"/>
            </w:tcMar>
            <w:hideMark/>
          </w:tcPr>
          <w:p w14:paraId="0DB0E3FC" w14:textId="77777777" w:rsidR="00527253" w:rsidRDefault="00527253">
            <w:pPr>
              <w:spacing w:before="280" w:after="280"/>
              <w:rPr>
                <w:rFonts w:ascii="Calibri" w:eastAsia="Times New Roman" w:hAnsi="Calibri" w:cs="Calibri"/>
                <w:color w:val="1A1A1A"/>
                <w:sz w:val="21"/>
                <w:szCs w:val="21"/>
              </w:rPr>
            </w:pPr>
          </w:p>
        </w:tc>
      </w:tr>
      <w:tr w:rsidR="00000000" w14:paraId="331D6EDC" w14:textId="77777777">
        <w:trPr>
          <w:divId w:val="1565556392"/>
          <w:tblCellSpacing w:w="0" w:type="dxa"/>
        </w:trPr>
        <w:tc>
          <w:tcPr>
            <w:tcW w:w="720" w:type="dxa"/>
            <w:tcBorders>
              <w:top w:val="single" w:sz="8" w:space="0" w:color="BED0E4"/>
              <w:left w:val="single" w:sz="8" w:space="0" w:color="BED0E4"/>
              <w:bottom w:val="single" w:sz="8" w:space="0" w:color="BED0E4"/>
              <w:right w:val="single" w:sz="8" w:space="0" w:color="BED0E4"/>
            </w:tcBorders>
            <w:shd w:val="clear" w:color="auto" w:fill="1A3A5C"/>
            <w:tcMar>
              <w:top w:w="280" w:type="dxa"/>
              <w:left w:w="160" w:type="dxa"/>
              <w:bottom w:w="280" w:type="dxa"/>
              <w:right w:w="160" w:type="dxa"/>
            </w:tcMar>
            <w:hideMark/>
          </w:tcPr>
          <w:p w14:paraId="2D7AD9E1" w14:textId="77777777" w:rsidR="00527253" w:rsidRDefault="00527253">
            <w:pPr>
              <w:spacing w:before="280" w:after="280"/>
              <w:jc w:val="center"/>
              <w:rPr>
                <w:rFonts w:ascii="Calibri" w:eastAsia="Times New Roman" w:hAnsi="Calibri" w:cs="Calibri"/>
                <w:b/>
                <w:bCs/>
                <w:color w:val="FFFFFF"/>
                <w:sz w:val="22"/>
                <w:szCs w:val="22"/>
              </w:rPr>
            </w:pPr>
            <w:r>
              <w:rPr>
                <w:rFonts w:ascii="Calibri" w:eastAsia="Times New Roman" w:hAnsi="Calibri" w:cs="Calibri"/>
                <w:b/>
                <w:bCs/>
                <w:color w:val="FFFFFF"/>
                <w:sz w:val="22"/>
                <w:szCs w:val="22"/>
              </w:rPr>
              <w:t>R3+</w:t>
            </w:r>
            <w:r>
              <w:rPr>
                <w:rFonts w:ascii="Calibri" w:eastAsia="Times New Roman" w:hAnsi="Calibri" w:cs="Calibri"/>
                <w:b/>
                <w:bCs/>
                <w:color w:val="FFFFFF"/>
                <w:sz w:val="22"/>
                <w:szCs w:val="22"/>
              </w:rPr>
              <w:br/>
              <w:t>CHARGED</w:t>
            </w:r>
          </w:p>
        </w:tc>
        <w:tc>
          <w:tcPr>
            <w:tcW w:w="0" w:type="auto"/>
            <w:tcBorders>
              <w:top w:val="single" w:sz="8" w:space="0" w:color="BED0E4"/>
              <w:left w:val="single" w:sz="8" w:space="0" w:color="BED0E4"/>
              <w:bottom w:val="single" w:sz="8" w:space="0" w:color="BED0E4"/>
              <w:right w:val="single" w:sz="8" w:space="0" w:color="BED0E4"/>
            </w:tcBorders>
            <w:tcMar>
              <w:top w:w="200" w:type="dxa"/>
              <w:left w:w="280" w:type="dxa"/>
              <w:bottom w:w="200" w:type="dxa"/>
              <w:right w:w="280" w:type="dxa"/>
            </w:tcMar>
            <w:hideMark/>
          </w:tcPr>
          <w:p w14:paraId="5D0565C0" w14:textId="77777777" w:rsidR="00527253" w:rsidRDefault="00527253">
            <w:pPr>
              <w:spacing w:before="280" w:after="280"/>
              <w:rPr>
                <w:rFonts w:ascii="Calibri" w:eastAsia="Times New Roman" w:hAnsi="Calibri" w:cs="Calibri"/>
                <w:color w:val="1A1A1A"/>
                <w:sz w:val="21"/>
                <w:szCs w:val="21"/>
              </w:rPr>
            </w:pPr>
            <w:r>
              <w:rPr>
                <w:rStyle w:val="Strong"/>
                <w:rFonts w:ascii="Calibri" w:eastAsia="Times New Roman" w:hAnsi="Calibri" w:cs="Calibri"/>
                <w:color w:val="C0392B"/>
                <w:sz w:val="22"/>
                <w:szCs w:val="22"/>
              </w:rPr>
              <w:t>Third Revision Onward — Charged as a New Scope Item</w:t>
            </w:r>
            <w:r>
              <w:rPr>
                <w:rFonts w:ascii="Calibri" w:eastAsia="Times New Roman" w:hAnsi="Calibri" w:cs="Calibri"/>
                <w:color w:val="1A1A1A"/>
                <w:sz w:val="21"/>
                <w:szCs w:val="21"/>
              </w:rPr>
              <w:br/>
            </w:r>
            <w:r>
              <w:rPr>
                <w:rFonts w:ascii="Calibri" w:eastAsia="Times New Roman" w:hAnsi="Calibri" w:cs="Calibri"/>
                <w:color w:val="1A1A1A"/>
                <w:sz w:val="21"/>
                <w:szCs w:val="21"/>
              </w:rPr>
              <w:br/>
              <w:t>Any change request submitted after R2 — including material changes, layout revisions, spatial reconfigurations, finish palette changes, new unit types, or lighting modifications — will be treated as a new scope addition and charged at the applicable unit rate.</w:t>
            </w:r>
            <w:r>
              <w:rPr>
                <w:rFonts w:ascii="Calibri" w:eastAsia="Times New Roman" w:hAnsi="Calibri" w:cs="Calibri"/>
                <w:color w:val="1A1A1A"/>
                <w:sz w:val="21"/>
                <w:szCs w:val="21"/>
              </w:rPr>
              <w:br/>
            </w:r>
            <w:r>
              <w:rPr>
                <w:rFonts w:ascii="Calibri" w:eastAsia="Times New Roman" w:hAnsi="Calibri" w:cs="Calibri"/>
                <w:color w:val="1A1A1A"/>
                <w:sz w:val="21"/>
                <w:szCs w:val="21"/>
              </w:rPr>
              <w:br/>
            </w:r>
            <w:r>
              <w:rPr>
                <w:rStyle w:val="Emphasis"/>
                <w:rFonts w:ascii="Calibri" w:eastAsia="Times New Roman" w:hAnsi="Calibri" w:cs="Calibri"/>
                <w:color w:val="1A1A1A"/>
                <w:sz w:val="21"/>
                <w:szCs w:val="21"/>
              </w:rPr>
              <w:t xml:space="preserve">Example: if the agreed unit interior rate is SAR 2,200 per typology, each affected unit type in R3+ will incur an additional charge of SAR 2,200 or the applicable rate for the change requested. Design Zone will issue a written cost estimate before </w:t>
            </w:r>
            <w:r>
              <w:rPr>
                <w:rStyle w:val="Emphasis"/>
                <w:rFonts w:ascii="Calibri" w:eastAsia="Times New Roman" w:hAnsi="Calibri" w:cs="Calibri"/>
                <w:color w:val="1A1A1A"/>
                <w:sz w:val="21"/>
                <w:szCs w:val="21"/>
              </w:rPr>
              <w:t>any R3+ work commences.</w:t>
            </w:r>
            <w:r>
              <w:rPr>
                <w:rFonts w:ascii="Calibri" w:eastAsia="Times New Roman" w:hAnsi="Calibri" w:cs="Calibri"/>
                <w:color w:val="1A1A1A"/>
                <w:sz w:val="21"/>
                <w:szCs w:val="21"/>
              </w:rPr>
              <w:br/>
            </w:r>
            <w:r>
              <w:rPr>
                <w:rFonts w:ascii="Calibri" w:eastAsia="Times New Roman" w:hAnsi="Calibri" w:cs="Calibri"/>
                <w:color w:val="1A1A1A"/>
                <w:sz w:val="21"/>
                <w:szCs w:val="21"/>
              </w:rPr>
              <w:br/>
              <w:t xml:space="preserve">R3+ work is subject to Design Zone's team availability at the time of the request and is not covered by the original project timeline. </w:t>
            </w:r>
          </w:p>
        </w:tc>
      </w:tr>
    </w:tbl>
    <w:p w14:paraId="0B32CE49" w14:textId="77777777" w:rsidR="00527253" w:rsidRDefault="00527253">
      <w:pPr>
        <w:pageBreakBefore/>
        <w:shd w:val="clear" w:color="auto" w:fill="EEF3F9"/>
        <w:divId w:val="528950380"/>
        <w:rPr>
          <w:rFonts w:ascii="Calibri" w:eastAsia="Times New Roman" w:hAnsi="Calibri" w:cs="Calibri"/>
          <w:color w:val="1A1A1A"/>
          <w:sz w:val="20"/>
          <w:szCs w:val="20"/>
        </w:rPr>
      </w:pPr>
      <w:r>
        <w:rPr>
          <w:rStyle w:val="Strong"/>
          <w:rFonts w:ascii="Calibri" w:eastAsia="Times New Roman" w:hAnsi="Calibri" w:cs="Calibri"/>
          <w:sz w:val="20"/>
          <w:szCs w:val="20"/>
        </w:rPr>
        <w:lastRenderedPageBreak/>
        <w:t>Definition of a Revision Round:</w:t>
      </w:r>
      <w:r>
        <w:rPr>
          <w:rFonts w:ascii="Calibri" w:eastAsia="Times New Roman" w:hAnsi="Calibri" w:cs="Calibri"/>
          <w:color w:val="1A1A1A"/>
          <w:sz w:val="20"/>
          <w:szCs w:val="20"/>
        </w:rPr>
        <w:t xml:space="preserve"> A revision round is a </w:t>
      </w:r>
      <w:r>
        <w:rPr>
          <w:rStyle w:val="Emphasis"/>
          <w:rFonts w:ascii="Calibri" w:eastAsia="Times New Roman" w:hAnsi="Calibri" w:cs="Calibri"/>
          <w:color w:val="1A1A1A"/>
          <w:sz w:val="20"/>
          <w:szCs w:val="20"/>
        </w:rPr>
        <w:t>single, consolidated written submission</w:t>
      </w:r>
      <w:r>
        <w:rPr>
          <w:rFonts w:ascii="Calibri" w:eastAsia="Times New Roman" w:hAnsi="Calibri" w:cs="Calibri"/>
          <w:color w:val="1A1A1A"/>
          <w:sz w:val="20"/>
          <w:szCs w:val="20"/>
        </w:rPr>
        <w:t xml:space="preserve">. It must contain all feedback items in one document — not spread across multiple emails, WhatsApp messages, or separate submissions. Clients are strongly encouraged to hold an internal review meeting before each round to ensure all feedback is captured in a single communication. </w:t>
      </w:r>
    </w:p>
    <w:p w14:paraId="37206A43" w14:textId="77777777" w:rsidR="00527253" w:rsidRDefault="00527253">
      <w:pPr>
        <w:pageBreakBefore/>
        <w:shd w:val="clear" w:color="auto" w:fill="1A3A5C"/>
        <w:divId w:val="353043083"/>
        <w:rPr>
          <w:rFonts w:ascii="Calibri" w:eastAsia="Times New Roman" w:hAnsi="Calibri" w:cs="Calibri"/>
          <w:b/>
          <w:bCs/>
          <w:color w:val="FFFFFF"/>
          <w:spacing w:val="20"/>
          <w:sz w:val="22"/>
          <w:szCs w:val="22"/>
        </w:rPr>
      </w:pPr>
      <w:r>
        <w:rPr>
          <w:rFonts w:ascii="Calibri" w:eastAsia="Times New Roman" w:hAnsi="Calibri" w:cs="Calibri"/>
          <w:b/>
          <w:bCs/>
          <w:color w:val="FFFFFF"/>
          <w:spacing w:val="20"/>
          <w:sz w:val="22"/>
          <w:szCs w:val="22"/>
        </w:rPr>
        <w:lastRenderedPageBreak/>
        <w:t>11</w:t>
      </w:r>
    </w:p>
    <w:p w14:paraId="71995877" w14:textId="77777777" w:rsidR="00527253" w:rsidRDefault="00527253">
      <w:pPr>
        <w:pStyle w:val="Heading1"/>
        <w:pageBreakBefore/>
        <w:spacing w:before="120"/>
        <w:divId w:val="1077899258"/>
        <w:rPr>
          <w:rFonts w:ascii="Calibri" w:eastAsia="Times New Roman" w:hAnsi="Calibri" w:cs="Calibri"/>
          <w:kern w:val="36"/>
        </w:rPr>
      </w:pPr>
      <w:r>
        <w:rPr>
          <w:rFonts w:ascii="Calibri" w:eastAsia="Times New Roman" w:hAnsi="Calibri" w:cs="Calibri"/>
          <w:kern w:val="36"/>
        </w:rPr>
        <w:lastRenderedPageBreak/>
        <w:t>Terms &amp; Conditions</w:t>
      </w:r>
    </w:p>
    <w:p w14:paraId="22E3BC0D"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 xml:space="preserve">These terms and conditions govern the commercial engagement between </w:t>
      </w:r>
      <w:r>
        <w:rPr>
          <w:rStyle w:val="Strong"/>
          <w:rFonts w:ascii="Calibri" w:hAnsi="Calibri" w:cs="Calibri"/>
          <w:sz w:val="21"/>
          <w:szCs w:val="21"/>
        </w:rPr>
        <w:t>Design Zone Engineering Solutions</w:t>
      </w:r>
      <w:r>
        <w:rPr>
          <w:rFonts w:ascii="Calibri" w:hAnsi="Calibri" w:cs="Calibri"/>
          <w:color w:val="1A1A1A"/>
          <w:sz w:val="21"/>
          <w:szCs w:val="21"/>
        </w:rPr>
        <w:t xml:space="preserve"> </w:t>
      </w:r>
      <w:r>
        <w:rPr>
          <w:rFonts w:ascii="Calibri" w:hAnsi="Calibri" w:cs="Calibri"/>
          <w:color w:val="1A1A1A"/>
          <w:sz w:val="21"/>
          <w:szCs w:val="21"/>
        </w:rPr>
        <w:t>("the Service Provider") and the client ("the Client") for the delivery of the TwinMaq platform and associated services. By signing the service agreement, issuing a Purchase Order, or making the first payment, the Client confirms acceptance of all terms below.</w:t>
      </w:r>
    </w:p>
    <w:p w14:paraId="15B20B14"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11.1 — Project Commencement</w:t>
      </w:r>
    </w:p>
    <w:p w14:paraId="6A5FB543"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The project commences only upon receipt of: (a) a signed service agreement or official Purchase Order (PO) / Work Order (WO) issued by the Client, and (b) confirmation of the Milestone 1 payment (40% of total project value). No resources will be allocated, no project clock will start, and no files will be processed prior to both conditions being satisfied simultaneously. Any verbal instruction to begin work before these conditions are met will not be honoured.</w:t>
      </w:r>
    </w:p>
    <w:p w14:paraId="74B9B19D"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11.2 — File Submission Deadline</w:t>
      </w:r>
    </w:p>
    <w:p w14:paraId="12DFD1EB"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All source materials, CAD files, 3D models, brand assets, and project documentation must be delivered by the Client within the first week of the project commencement date. No new project files will be accepted more than two weeks after the project start date. Any area, building, or unit typology without compliant files at this deadline will be excluded from the delivery scope — even if originally listed in the agreed scope — and no refund will be applied for excluded items caused by late file delivery. Desi</w:t>
      </w:r>
      <w:r>
        <w:rPr>
          <w:rFonts w:ascii="Calibri" w:hAnsi="Calibri" w:cs="Calibri"/>
          <w:color w:val="1A1A1A"/>
          <w:sz w:val="21"/>
          <w:szCs w:val="21"/>
        </w:rPr>
        <w:t>gn Zone will notify the Client of any file gaps identified during the onboarding review.</w:t>
      </w:r>
    </w:p>
    <w:p w14:paraId="2F84DDD8"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11.3 — Revision Rounds</w:t>
      </w:r>
    </w:p>
    <w:p w14:paraId="173F6729"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Two consolidated revision rounds (R1 and R2) are included in every project scope after Alpha delivery. Each revision round must be submitted as a single, consolidated written document. A third revision request or any change submitted after R2 constitutes a new scope item and will be charged at the applicable unit rate. Design Zone will issue a written estimate and receive written Client approval before commencing any third or subsequent revision.</w:t>
      </w:r>
    </w:p>
    <w:p w14:paraId="76655281"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11.4 — Change Requests &amp; Scope Additions</w:t>
      </w:r>
    </w:p>
    <w:p w14:paraId="281B0B10"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All change requests that introduce new scope, new content, new unit types, or items that were not part of the original agreed brief must be submitted in writing. Design Zone will respond with a written cost estimate and timeline impact within 3 business days. Work on any change begins only upon written approval from the Client. No verbal instructions are accepted as authorisation for scope changes. Change requests that contradict the original approved brief will be treated as new scope at full unit rates.</w:t>
      </w:r>
    </w:p>
    <w:p w14:paraId="30842361"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11.5 — Timeline &amp; Delays</w:t>
      </w:r>
    </w:p>
    <w:p w14:paraId="584E0D6A"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The delivery timeline assumes timely client file delivery within Week 1 and prompt, consolidated feedback submissions at each review milestone. Delays attributable to the client — including late file submission, delayed review feedback, or failure to confirm milestone payments on time — extend the project schedule on a day-for-day basis and do not constitute a breach by Design Zone. If the project is paused for more than 90 calendar days for any reason attributable to the client, the scope, cost, and timeli</w:t>
      </w:r>
      <w:r>
        <w:rPr>
          <w:rFonts w:ascii="Calibri" w:hAnsi="Calibri" w:cs="Calibri"/>
          <w:color w:val="1A1A1A"/>
          <w:sz w:val="21"/>
          <w:szCs w:val="21"/>
        </w:rPr>
        <w:t>ne will be mutually reviewed before work resumes, and Design Zone reserves the right to revise the pricing to reflect any cost changes incurred during the pause.</w:t>
      </w:r>
    </w:p>
    <w:p w14:paraId="456578CB"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11.6 — Payment Terms</w:t>
      </w:r>
    </w:p>
    <w:p w14:paraId="60D7E30E"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All invoices are due within five (5) business days of the invoice date. Late payments may result in the suspension of active project work. Final deliverables — including the live platform URL, admin credentials, video files, and AutoCAD DWG files — are withheld until all outstanding balances are cleared in full. In the event of project cancellation after commencement, all payments received to date are non-refundable, and any work completed to date will be delivered in its current state within 5 business day</w:t>
      </w:r>
      <w:r>
        <w:rPr>
          <w:rFonts w:ascii="Calibri" w:hAnsi="Calibri" w:cs="Calibri"/>
          <w:color w:val="1A1A1A"/>
          <w:sz w:val="21"/>
          <w:szCs w:val="21"/>
        </w:rPr>
        <w:t>s of the cancellation notice.</w:t>
      </w:r>
    </w:p>
    <w:p w14:paraId="552E6BB9"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11.7 — Intellectual Property &amp; Ownership</w:t>
      </w:r>
    </w:p>
    <w:p w14:paraId="70E777AA"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Upon receipt of full and final payment, the Client receives full ownership of all project-specific delivered assets: the configured TwinMaq platform, all 3D renders, panoramic images, walkthrough videos, and AutoCAD DWG files produced for the project. Design Zone retains full ownership of its proprietary platform engine, TwinMaq software framework, development codebase, and rendering pipeline. The Client receives a fully licensed right to use, host, and distribute the delivered platform and assets — but not</w:t>
      </w:r>
      <w:r>
        <w:rPr>
          <w:rFonts w:ascii="Calibri" w:hAnsi="Calibri" w:cs="Calibri"/>
          <w:color w:val="1A1A1A"/>
          <w:sz w:val="21"/>
          <w:szCs w:val="21"/>
        </w:rPr>
        <w:t xml:space="preserve"> to access, copy, or redistribute the underlying platform source code or engine.</w:t>
      </w:r>
    </w:p>
    <w:p w14:paraId="7AE69E54"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11.8 — Portfolio Rights</w:t>
      </w:r>
    </w:p>
    <w:p w14:paraId="7C54FA2B"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Design Zone retains the right to use, display, and publish project imagery, platform screenshots, and video deliverables in its portfolio, on its website, in marketing materials, and at industry events, unless the Client submits a written request for confidentiality within 30 days of the project's final delivery date. Confidentiality requests received after this period cannot be retrospectively applied to materials already published.</w:t>
      </w:r>
    </w:p>
    <w:p w14:paraId="630E34FC"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11.9 — Tax &amp; VAT</w:t>
      </w:r>
    </w:p>
    <w:p w14:paraId="3313A102"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All prices quoted in this proposal are exclusive of Value Added Tax (VAT). VAT at the prevailing rate of 15% will be added to all invoices in full compliance with ZATCA (Zakat, Tax and Customs Authority) regulations. Design Zone issues ZATCA-compliant tax invoices for every payment milestone. The Client is responsible for ensuring their own tax treatment of the payments made is in compliance with applicable Saudi regulations.</w:t>
      </w:r>
    </w:p>
    <w:p w14:paraId="13148E10"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11.10 — Data Privacy &amp; PDPL Compliance</w:t>
      </w:r>
    </w:p>
    <w:p w14:paraId="169AC878"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 xml:space="preserve">The TwinMaq platform collects buyer personal data (name, mobile number, email address) through the lead registration module. Design Zone operates the platform in compliance with the Saudi Personal Data Protection Law (PDPL, 2021 / 1443H). All buyer data collected through the platform is stored securely and belongs to the Client. Design Zone does not share, sell, or transfer buyer data to any third party. The Client is fully responsible for ensuring their own use and processing of buyer data — including CRM </w:t>
      </w:r>
      <w:r>
        <w:rPr>
          <w:rFonts w:ascii="Calibri" w:hAnsi="Calibri" w:cs="Calibri"/>
          <w:color w:val="1A1A1A"/>
          <w:sz w:val="21"/>
          <w:szCs w:val="21"/>
        </w:rPr>
        <w:t>storage, sales follow-up, and WhatsApp communication — complies with applicable Saudi data protection regulations.</w:t>
      </w:r>
    </w:p>
    <w:p w14:paraId="4B09501A"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11.11 — Confidentiality</w:t>
      </w:r>
    </w:p>
    <w:p w14:paraId="3F52CB3D"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Both parties agree to maintain strict confidentiality of all proprietary information shared during the engagement — including pricing, technical specifications, project data, buyer data, business strategies, and platform architecture details. Neither party will disclose the other's confidential information to any third party without prior written consent. This obligation survives the termination or completion of the project engagement.</w:t>
      </w:r>
    </w:p>
    <w:p w14:paraId="664BBC2C"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11.12 — Force Majeure</w:t>
      </w:r>
    </w:p>
    <w:p w14:paraId="027EDC19"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Neither party shall be held liable for delays or non-performance caused by circumstances reasonably beyond their control, including natural disasters, government actions, regulatory changes, power failures, major internet or telecommunications outages, or other events of force majeure. Both parties will make commercially reasonable efforts to resume obligations as quickly as practicable after the event resolves.</w:t>
      </w:r>
    </w:p>
    <w:p w14:paraId="57CE6513" w14:textId="77777777" w:rsidR="00527253" w:rsidRDefault="00527253">
      <w:pPr>
        <w:pStyle w:val="Heading2"/>
        <w:pageBreakBefore/>
        <w:divId w:val="1077899258"/>
        <w:rPr>
          <w:rFonts w:ascii="Calibri" w:eastAsia="Times New Roman" w:hAnsi="Calibri" w:cs="Calibri"/>
        </w:rPr>
      </w:pPr>
      <w:r>
        <w:rPr>
          <w:rFonts w:ascii="Calibri" w:eastAsia="Times New Roman" w:hAnsi="Calibri" w:cs="Calibri"/>
        </w:rPr>
        <w:lastRenderedPageBreak/>
        <w:t>11.13 — Governing Law &amp; Dispute Resolution</w:t>
      </w:r>
    </w:p>
    <w:p w14:paraId="24087A60" w14:textId="77777777" w:rsidR="00527253" w:rsidRDefault="00527253">
      <w:pPr>
        <w:pStyle w:val="NormalWeb"/>
        <w:pageBreakBefore/>
        <w:divId w:val="1077899258"/>
        <w:rPr>
          <w:rFonts w:ascii="Calibri" w:hAnsi="Calibri" w:cs="Calibri"/>
          <w:color w:val="1A1A1A"/>
          <w:sz w:val="21"/>
          <w:szCs w:val="21"/>
        </w:rPr>
      </w:pPr>
      <w:r>
        <w:rPr>
          <w:rFonts w:ascii="Calibri" w:hAnsi="Calibri" w:cs="Calibri"/>
          <w:color w:val="1A1A1A"/>
          <w:sz w:val="21"/>
          <w:szCs w:val="21"/>
        </w:rPr>
        <w:lastRenderedPageBreak/>
        <w:t>This proposal and any resulting service agreement are governed exclusively by the laws of the Kingdom of Saudi Arabia. Any dispute arising from or relating to this engagement that cannot be resolved amicably between both parties within 30 calendar days of a written notice of dispute being issued shall be referred to the competent commercial courts in the Kingdom of Saudi Arabia. Both parties commit to acting in good faith and making reasonable efforts to resolve any differences before resorting to formal le</w:t>
      </w:r>
      <w:r>
        <w:rPr>
          <w:rFonts w:ascii="Calibri" w:hAnsi="Calibri" w:cs="Calibri"/>
          <w:color w:val="1A1A1A"/>
          <w:sz w:val="21"/>
          <w:szCs w:val="21"/>
        </w:rPr>
        <w:t>gal proceedings.</w:t>
      </w:r>
    </w:p>
    <w:p w14:paraId="744B71A4" w14:textId="77777777" w:rsidR="00527253" w:rsidRDefault="00527253">
      <w:pPr>
        <w:pageBreakBefore/>
        <w:jc w:val="center"/>
        <w:divId w:val="248001474"/>
        <w:rPr>
          <w:rFonts w:ascii="Calibri" w:eastAsia="Times New Roman" w:hAnsi="Calibri" w:cs="Calibri"/>
          <w:color w:val="6B8CBA"/>
          <w:sz w:val="18"/>
          <w:szCs w:val="18"/>
        </w:rPr>
      </w:pPr>
      <w:r>
        <w:rPr>
          <w:rStyle w:val="Emphasis"/>
          <w:rFonts w:ascii="Calibri" w:eastAsia="Times New Roman" w:hAnsi="Calibri" w:cs="Calibri"/>
          <w:color w:val="6B8CBA"/>
          <w:sz w:val="18"/>
          <w:szCs w:val="18"/>
        </w:rPr>
        <w:lastRenderedPageBreak/>
        <w:t>"Elevating Real Estate Experiences — TwinMaq powered by Design Zone"</w:t>
      </w:r>
      <w:r>
        <w:rPr>
          <w:rFonts w:ascii="Calibri" w:eastAsia="Times New Roman" w:hAnsi="Calibri" w:cs="Calibri"/>
          <w:color w:val="6B8CBA"/>
          <w:sz w:val="18"/>
          <w:szCs w:val="18"/>
        </w:rPr>
        <w:br/>
      </w:r>
      <w:r>
        <w:rPr>
          <w:rStyle w:val="Strong"/>
          <w:rFonts w:ascii="Calibri" w:eastAsia="Times New Roman" w:hAnsi="Calibri" w:cs="Calibri"/>
          <w:sz w:val="18"/>
          <w:szCs w:val="18"/>
        </w:rPr>
        <w:t>Design Zone Engineering Solutions | TwinMaq Division</w:t>
      </w:r>
      <w:r>
        <w:rPr>
          <w:rFonts w:ascii="Calibri" w:eastAsia="Times New Roman" w:hAnsi="Calibri" w:cs="Calibri"/>
          <w:color w:val="6B8CBA"/>
          <w:sz w:val="18"/>
          <w:szCs w:val="18"/>
        </w:rPr>
        <w:br/>
        <w:t xml:space="preserve">Saudi Arabia · Jordan · Egypt · www.designzone.com.sa · ISO 9001 Certified · Confidential </w:t>
      </w:r>
    </w:p>
    <w:sectPr w:rsidR="00000000">
      <w:pgSz w:w="11907" w:h="16840"/>
      <w:pgMar w:top="1361" w:right="1247" w:bottom="1588" w:left="1247" w:header="45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62445" w14:textId="77777777" w:rsidR="00527253" w:rsidRDefault="00527253">
      <w:r>
        <w:separator/>
      </w:r>
    </w:p>
  </w:endnote>
  <w:endnote w:type="continuationSeparator" w:id="0">
    <w:p w14:paraId="1CA76E1C" w14:textId="77777777" w:rsidR="00527253" w:rsidRDefault="005272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5DBB7" w14:textId="77777777" w:rsidR="00527253" w:rsidRDefault="00527253">
      <w:r>
        <w:separator/>
      </w:r>
    </w:p>
  </w:footnote>
  <w:footnote w:type="continuationSeparator" w:id="0">
    <w:p w14:paraId="660A1AEC" w14:textId="77777777" w:rsidR="00527253" w:rsidRDefault="005272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7175A"/>
    <w:multiLevelType w:val="multilevel"/>
    <w:tmpl w:val="139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167BCD"/>
    <w:multiLevelType w:val="multilevel"/>
    <w:tmpl w:val="52C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5807480">
    <w:abstractNumId w:val="0"/>
  </w:num>
  <w:num w:numId="2" w16cid:durableId="8583555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27253"/>
    <w:rsid w:val="00527253"/>
    <w:rsid w:val="00750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80B44C"/>
  <w15:chartTrackingRefBased/>
  <w15:docId w15:val="{60770E8E-C5CD-463F-9A55-686DD710A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uiPriority w:val="9"/>
    <w:qFormat/>
    <w:pPr>
      <w:keepNext/>
      <w:pBdr>
        <w:bottom w:val="single" w:sz="18" w:space="5" w:color="1A3A5C"/>
      </w:pBdr>
      <w:spacing w:before="560" w:after="220"/>
      <w:outlineLvl w:val="0"/>
    </w:pPr>
    <w:rPr>
      <w:b/>
      <w:bCs/>
      <w:color w:val="1A3A5C"/>
      <w:sz w:val="32"/>
      <w:szCs w:val="32"/>
    </w:rPr>
  </w:style>
  <w:style w:type="paragraph" w:styleId="Heading2">
    <w:name w:val="heading 2"/>
    <w:basedOn w:val="Normal"/>
    <w:uiPriority w:val="9"/>
    <w:qFormat/>
    <w:pPr>
      <w:keepNext/>
      <w:pBdr>
        <w:left w:val="single" w:sz="36" w:space="9" w:color="1A3A5C"/>
      </w:pBdr>
      <w:spacing w:before="360" w:after="140"/>
      <w:outlineLvl w:val="1"/>
    </w:pPr>
    <w:rPr>
      <w:b/>
      <w:bCs/>
      <w:color w:val="1A3A5C"/>
    </w:rPr>
  </w:style>
  <w:style w:type="paragraph" w:styleId="Heading3">
    <w:name w:val="heading 3"/>
    <w:basedOn w:val="Normal"/>
    <w:uiPriority w:val="9"/>
    <w:qFormat/>
    <w:pPr>
      <w:keepNext/>
      <w:spacing w:before="260" w:after="100"/>
      <w:outlineLvl w:val="2"/>
    </w:pPr>
    <w:rPr>
      <w:b/>
      <w:bCs/>
      <w:color w:val="2C5282"/>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rPr>
      <w:rFonts w:asciiTheme="minorHAnsi" w:eastAsiaTheme="majorEastAsia" w:hAnsiTheme="minorHAnsi" w:cstheme="majorBidi"/>
      <w:color w:val="0F4761" w:themeColor="accent1" w:themeShade="BF"/>
      <w:sz w:val="28"/>
      <w:szCs w:val="28"/>
    </w:rPr>
  </w:style>
  <w:style w:type="character" w:styleId="Strong">
    <w:name w:val="Strong"/>
    <w:basedOn w:val="DefaultParagraphFont"/>
    <w:uiPriority w:val="22"/>
    <w:qFormat/>
    <w:rPr>
      <w:b/>
      <w:bCs/>
      <w:color w:val="1A3A5C"/>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box">
    <w:name w:val="box"/>
    <w:basedOn w:val="Normal"/>
    <w:pPr>
      <w:pBdr>
        <w:left w:val="single" w:sz="36" w:space="14" w:color="1A3A5C"/>
      </w:pBdr>
      <w:shd w:val="clear" w:color="auto" w:fill="EEF3F9"/>
      <w:spacing w:before="240" w:after="240"/>
    </w:pPr>
    <w:rPr>
      <w:sz w:val="20"/>
      <w:szCs w:val="20"/>
    </w:rPr>
  </w:style>
  <w:style w:type="paragraph" w:customStyle="1" w:styleId="pb">
    <w:name w:val="pb"/>
    <w:basedOn w:val="Normal"/>
    <w:pPr>
      <w:shd w:val="clear" w:color="auto" w:fill="1A3A5C"/>
      <w:spacing w:before="280" w:after="280"/>
      <w:jc w:val="center"/>
    </w:pPr>
    <w:rPr>
      <w:color w:val="FFFFFF"/>
    </w:rPr>
  </w:style>
  <w:style w:type="paragraph" w:customStyle="1" w:styleId="secnum">
    <w:name w:val="secnum"/>
    <w:basedOn w:val="Normal"/>
    <w:pPr>
      <w:shd w:val="clear" w:color="auto" w:fill="1A3A5C"/>
      <w:spacing w:before="100" w:beforeAutospacing="1" w:after="120"/>
    </w:pPr>
    <w:rPr>
      <w:b/>
      <w:bCs/>
      <w:color w:val="FFFFFF"/>
      <w:spacing w:val="20"/>
      <w:sz w:val="22"/>
      <w:szCs w:val="22"/>
    </w:rPr>
  </w:style>
  <w:style w:type="paragraph" w:customStyle="1" w:styleId="phase">
    <w:name w:val="phase"/>
    <w:basedOn w:val="Normal"/>
    <w:pPr>
      <w:pBdr>
        <w:left w:val="single" w:sz="36" w:space="14" w:color="1A3A5C"/>
      </w:pBdr>
      <w:shd w:val="clear" w:color="auto" w:fill="F7FBFF"/>
      <w:spacing w:before="240" w:after="240"/>
    </w:pPr>
  </w:style>
  <w:style w:type="paragraph" w:customStyle="1" w:styleId="toc-row">
    <w:name w:val="toc-row"/>
    <w:basedOn w:val="Normal"/>
    <w:pPr>
      <w:spacing w:before="60" w:after="60"/>
    </w:pPr>
  </w:style>
  <w:style w:type="paragraph" w:customStyle="1" w:styleId="toc-fill">
    <w:name w:val="toc-fill"/>
    <w:basedOn w:val="Normal"/>
    <w:pPr>
      <w:pBdr>
        <w:bottom w:val="dotted" w:sz="8" w:space="2" w:color="99AABB"/>
      </w:pBdr>
      <w:spacing w:before="100" w:beforeAutospacing="1" w:after="80"/>
      <w:textAlignment w:val="bottom"/>
    </w:pPr>
  </w:style>
  <w:style w:type="paragraph" w:customStyle="1" w:styleId="toc-pg">
    <w:name w:val="toc-pg"/>
    <w:basedOn w:val="Normal"/>
    <w:pPr>
      <w:spacing w:before="100" w:beforeAutospacing="1" w:after="80"/>
      <w:jc w:val="right"/>
    </w:pPr>
  </w:style>
  <w:style w:type="paragraph" w:customStyle="1" w:styleId="fn">
    <w:name w:val="fn"/>
    <w:basedOn w:val="Normal"/>
    <w:pPr>
      <w:pBdr>
        <w:top w:val="single" w:sz="8" w:space="9" w:color="C5D8EC"/>
      </w:pBdr>
      <w:spacing w:before="520" w:after="80"/>
      <w:jc w:val="center"/>
    </w:pPr>
    <w:rPr>
      <w:color w:val="6B8CBA"/>
      <w:sz w:val="18"/>
      <w:szCs w:val="18"/>
    </w:rPr>
  </w:style>
  <w:style w:type="paragraph" w:customStyle="1" w:styleId="pl">
    <w:name w:val="pl"/>
    <w:basedOn w:val="Normal"/>
    <w:pPr>
      <w:spacing w:before="100" w:beforeAutospacing="1" w:after="80"/>
    </w:pPr>
  </w:style>
  <w:style w:type="paragraph" w:customStyle="1" w:styleId="pa">
    <w:name w:val="pa"/>
    <w:basedOn w:val="Normal"/>
    <w:pPr>
      <w:spacing w:before="100" w:beforeAutospacing="1" w:after="80"/>
    </w:pPr>
  </w:style>
  <w:style w:type="paragraph" w:customStyle="1" w:styleId="ps">
    <w:name w:val="ps"/>
    <w:basedOn w:val="Normal"/>
    <w:pPr>
      <w:spacing w:before="100" w:beforeAutospacing="1" w:after="80"/>
    </w:pPr>
  </w:style>
  <w:style w:type="paragraph" w:customStyle="1" w:styleId="ph">
    <w:name w:val="ph"/>
    <w:basedOn w:val="Normal"/>
    <w:pPr>
      <w:spacing w:before="100" w:beforeAutospacing="1" w:after="80"/>
    </w:pPr>
  </w:style>
  <w:style w:type="paragraph" w:customStyle="1" w:styleId="pw">
    <w:name w:val="pw"/>
    <w:basedOn w:val="Normal"/>
    <w:pPr>
      <w:spacing w:before="100" w:beforeAutospacing="1" w:after="80"/>
    </w:pPr>
  </w:style>
  <w:style w:type="paragraph" w:customStyle="1" w:styleId="toc-title">
    <w:name w:val="toc-title"/>
    <w:basedOn w:val="Normal"/>
    <w:pPr>
      <w:spacing w:before="100" w:beforeAutospacing="1" w:after="80"/>
    </w:pPr>
  </w:style>
  <w:style w:type="paragraph" w:customStyle="1" w:styleId="sv">
    <w:name w:val="sv"/>
    <w:basedOn w:val="Normal"/>
    <w:pPr>
      <w:spacing w:before="100" w:beforeAutospacing="1" w:after="80"/>
    </w:pPr>
  </w:style>
  <w:style w:type="paragraph" w:customStyle="1" w:styleId="sl">
    <w:name w:val="sl"/>
    <w:basedOn w:val="Normal"/>
    <w:pPr>
      <w:spacing w:before="100" w:beforeAutospacing="1" w:after="80"/>
    </w:pPr>
  </w:style>
  <w:style w:type="paragraph" w:customStyle="1" w:styleId="mn">
    <w:name w:val="mn"/>
    <w:basedOn w:val="Normal"/>
    <w:pPr>
      <w:spacing w:before="100" w:beforeAutospacing="1" w:after="80"/>
    </w:pPr>
  </w:style>
  <w:style w:type="paragraph" w:customStyle="1" w:styleId="mp">
    <w:name w:val="mp"/>
    <w:basedOn w:val="Normal"/>
    <w:pPr>
      <w:spacing w:before="100" w:beforeAutospacing="1" w:after="80"/>
    </w:pPr>
  </w:style>
  <w:style w:type="paragraph" w:customStyle="1" w:styleId="rb">
    <w:name w:val="rb"/>
    <w:basedOn w:val="Normal"/>
    <w:pPr>
      <w:spacing w:before="100" w:beforeAutospacing="1" w:after="80"/>
    </w:pPr>
  </w:style>
  <w:style w:type="paragraph" w:customStyle="1" w:styleId="pl1">
    <w:name w:val="pl1"/>
    <w:basedOn w:val="Normal"/>
    <w:pPr>
      <w:spacing w:after="140"/>
      <w:jc w:val="both"/>
    </w:pPr>
    <w:rPr>
      <w:spacing w:val="50"/>
      <w:sz w:val="18"/>
      <w:szCs w:val="18"/>
    </w:rPr>
  </w:style>
  <w:style w:type="paragraph" w:customStyle="1" w:styleId="pa1">
    <w:name w:val="pa1"/>
    <w:basedOn w:val="Normal"/>
    <w:pPr>
      <w:spacing w:before="120" w:after="120"/>
      <w:jc w:val="both"/>
    </w:pPr>
    <w:rPr>
      <w:b/>
      <w:bCs/>
      <w:sz w:val="56"/>
      <w:szCs w:val="56"/>
    </w:rPr>
  </w:style>
  <w:style w:type="paragraph" w:customStyle="1" w:styleId="ps1">
    <w:name w:val="ps1"/>
    <w:basedOn w:val="Normal"/>
    <w:pPr>
      <w:spacing w:after="140"/>
      <w:jc w:val="both"/>
    </w:pPr>
    <w:rPr>
      <w:sz w:val="18"/>
      <w:szCs w:val="18"/>
    </w:rPr>
  </w:style>
  <w:style w:type="paragraph" w:customStyle="1" w:styleId="sv1">
    <w:name w:val="sv1"/>
    <w:basedOn w:val="Normal"/>
    <w:pPr>
      <w:spacing w:after="140"/>
      <w:jc w:val="both"/>
    </w:pPr>
    <w:rPr>
      <w:b/>
      <w:bCs/>
      <w:sz w:val="40"/>
      <w:szCs w:val="40"/>
    </w:rPr>
  </w:style>
  <w:style w:type="paragraph" w:customStyle="1" w:styleId="sl1">
    <w:name w:val="sl1"/>
    <w:basedOn w:val="Normal"/>
    <w:pPr>
      <w:spacing w:before="60" w:after="140"/>
      <w:jc w:val="both"/>
    </w:pPr>
    <w:rPr>
      <w:spacing w:val="10"/>
      <w:sz w:val="16"/>
      <w:szCs w:val="16"/>
    </w:rPr>
  </w:style>
  <w:style w:type="paragraph" w:customStyle="1" w:styleId="ph1">
    <w:name w:val="ph1"/>
    <w:basedOn w:val="Normal"/>
    <w:pPr>
      <w:spacing w:after="140"/>
      <w:jc w:val="both"/>
    </w:pPr>
    <w:rPr>
      <w:b/>
      <w:bCs/>
      <w:color w:val="1A3A5C"/>
      <w:sz w:val="22"/>
      <w:szCs w:val="22"/>
    </w:rPr>
  </w:style>
  <w:style w:type="paragraph" w:customStyle="1" w:styleId="pw1">
    <w:name w:val="pw1"/>
    <w:basedOn w:val="Normal"/>
    <w:pPr>
      <w:spacing w:after="120"/>
      <w:jc w:val="both"/>
    </w:pPr>
    <w:rPr>
      <w:color w:val="6B8CBA"/>
      <w:sz w:val="18"/>
      <w:szCs w:val="18"/>
    </w:rPr>
  </w:style>
  <w:style w:type="paragraph" w:customStyle="1" w:styleId="mn1">
    <w:name w:val="mn1"/>
    <w:basedOn w:val="Normal"/>
    <w:pPr>
      <w:shd w:val="clear" w:color="auto" w:fill="1A3A5C"/>
      <w:spacing w:after="140"/>
      <w:jc w:val="center"/>
    </w:pPr>
    <w:rPr>
      <w:b/>
      <w:bCs/>
      <w:color w:val="FFFFFF"/>
      <w:sz w:val="26"/>
      <w:szCs w:val="26"/>
    </w:rPr>
  </w:style>
  <w:style w:type="paragraph" w:customStyle="1" w:styleId="mp1">
    <w:name w:val="mp1"/>
    <w:basedOn w:val="Normal"/>
    <w:pPr>
      <w:shd w:val="clear" w:color="auto" w:fill="2C5282"/>
      <w:spacing w:after="140"/>
      <w:jc w:val="center"/>
    </w:pPr>
    <w:rPr>
      <w:b/>
      <w:bCs/>
      <w:color w:val="FFFFFF"/>
      <w:sz w:val="32"/>
      <w:szCs w:val="32"/>
    </w:rPr>
  </w:style>
  <w:style w:type="paragraph" w:customStyle="1" w:styleId="rb1">
    <w:name w:val="rb1"/>
    <w:basedOn w:val="Normal"/>
    <w:pPr>
      <w:shd w:val="clear" w:color="auto" w:fill="1A3A5C"/>
      <w:spacing w:after="140"/>
      <w:jc w:val="center"/>
    </w:pPr>
    <w:rPr>
      <w:b/>
      <w:bCs/>
      <w:color w:val="FFFFFF"/>
      <w:sz w:val="22"/>
      <w:szCs w:val="22"/>
    </w:rPr>
  </w:style>
  <w:style w:type="paragraph" w:customStyle="1" w:styleId="toc-title1">
    <w:name w:val="toc-title1"/>
    <w:basedOn w:val="Normal"/>
    <w:pPr>
      <w:spacing w:after="140"/>
      <w:jc w:val="both"/>
    </w:pPr>
    <w:rPr>
      <w:b/>
      <w:bCs/>
      <w:color w:val="1A3A5C"/>
      <w:sz w:val="22"/>
      <w:szCs w:val="22"/>
    </w:rPr>
  </w:style>
  <w:style w:type="paragraph" w:customStyle="1" w:styleId="toc-pg1">
    <w:name w:val="toc-pg1"/>
    <w:basedOn w:val="Normal"/>
    <w:pPr>
      <w:spacing w:after="140"/>
      <w:jc w:val="right"/>
    </w:pPr>
    <w:rPr>
      <w:b/>
      <w:bCs/>
      <w:color w:val="1A3A5C"/>
      <w:sz w:val="22"/>
      <w:szCs w:val="22"/>
    </w:rPr>
  </w:style>
  <w:style w:type="paragraph" w:customStyle="1" w:styleId="toc-title2">
    <w:name w:val="toc-title2"/>
    <w:basedOn w:val="Normal"/>
    <w:pPr>
      <w:spacing w:after="140"/>
      <w:jc w:val="both"/>
    </w:pPr>
    <w:rPr>
      <w:color w:val="2D3748"/>
      <w:sz w:val="21"/>
      <w:szCs w:val="21"/>
    </w:rPr>
  </w:style>
  <w:style w:type="paragraph" w:customStyle="1" w:styleId="toc-pg2">
    <w:name w:val="toc-pg2"/>
    <w:basedOn w:val="Normal"/>
    <w:pPr>
      <w:spacing w:after="140"/>
      <w:jc w:val="right"/>
    </w:pPr>
    <w:rPr>
      <w:color w:val="2D3748"/>
      <w:sz w:val="21"/>
      <w:szCs w:val="21"/>
    </w:rPr>
  </w:style>
  <w:style w:type="character" w:customStyle="1" w:styleId="sv2">
    <w:name w:val="sv2"/>
    <w:basedOn w:val="DefaultParagraphFont"/>
    <w:rPr>
      <w:b/>
      <w:bCs/>
      <w:vanish w:val="0"/>
      <w:webHidden w:val="0"/>
      <w:sz w:val="40"/>
      <w:szCs w:val="40"/>
      <w:specVanish w:val="0"/>
    </w:rPr>
  </w:style>
  <w:style w:type="character" w:customStyle="1" w:styleId="sl2">
    <w:name w:val="sl2"/>
    <w:basedOn w:val="DefaultParagraphFont"/>
    <w:rPr>
      <w:vanish w:val="0"/>
      <w:webHidden w:val="0"/>
      <w:spacing w:val="10"/>
      <w:sz w:val="16"/>
      <w:szCs w:val="16"/>
      <w:specVanish w:val="0"/>
    </w:rPr>
  </w:style>
  <w:style w:type="character" w:customStyle="1" w:styleId="toc-title3">
    <w:name w:val="toc-title3"/>
    <w:basedOn w:val="DefaultParagraphFont"/>
  </w:style>
  <w:style w:type="character" w:customStyle="1" w:styleId="toc-fill1">
    <w:name w:val="toc-fill1"/>
    <w:basedOn w:val="DefaultParagraphFont"/>
  </w:style>
  <w:style w:type="character" w:customStyle="1" w:styleId="toc-pg3">
    <w:name w:val="toc-pg3"/>
    <w:basedOn w:val="DefaultParagraphFont"/>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340534">
      <w:marLeft w:val="0"/>
      <w:marRight w:val="0"/>
      <w:marTop w:val="0"/>
      <w:marBottom w:val="0"/>
      <w:divBdr>
        <w:top w:val="none" w:sz="0" w:space="0" w:color="auto"/>
        <w:left w:val="none" w:sz="0" w:space="0" w:color="auto"/>
        <w:bottom w:val="none" w:sz="0" w:space="0" w:color="auto"/>
        <w:right w:val="none" w:sz="0" w:space="0" w:color="auto"/>
      </w:divBdr>
      <w:divsChild>
        <w:div w:id="433524054">
          <w:marLeft w:val="0"/>
          <w:marRight w:val="0"/>
          <w:marTop w:val="0"/>
          <w:marBottom w:val="120"/>
          <w:divBdr>
            <w:top w:val="none" w:sz="0" w:space="0" w:color="auto"/>
            <w:left w:val="none" w:sz="0" w:space="0" w:color="auto"/>
            <w:bottom w:val="none" w:sz="0" w:space="0" w:color="auto"/>
            <w:right w:val="none" w:sz="0" w:space="0" w:color="auto"/>
          </w:divBdr>
        </w:div>
        <w:div w:id="669065374">
          <w:marLeft w:val="0"/>
          <w:marRight w:val="0"/>
          <w:marTop w:val="240"/>
          <w:marBottom w:val="240"/>
          <w:divBdr>
            <w:top w:val="none" w:sz="0" w:space="0" w:color="auto"/>
            <w:left w:val="single" w:sz="36" w:space="14" w:color="1A3A5C"/>
            <w:bottom w:val="none" w:sz="0" w:space="0" w:color="auto"/>
            <w:right w:val="none" w:sz="0" w:space="0" w:color="auto"/>
          </w:divBdr>
        </w:div>
      </w:divsChild>
    </w:div>
    <w:div w:id="195316262">
      <w:marLeft w:val="0"/>
      <w:marRight w:val="0"/>
      <w:marTop w:val="0"/>
      <w:marBottom w:val="0"/>
      <w:divBdr>
        <w:top w:val="none" w:sz="0" w:space="0" w:color="auto"/>
        <w:left w:val="none" w:sz="0" w:space="0" w:color="auto"/>
        <w:bottom w:val="none" w:sz="0" w:space="0" w:color="auto"/>
        <w:right w:val="none" w:sz="0" w:space="0" w:color="auto"/>
      </w:divBdr>
      <w:divsChild>
        <w:div w:id="873494076">
          <w:marLeft w:val="0"/>
          <w:marRight w:val="0"/>
          <w:marTop w:val="0"/>
          <w:marBottom w:val="120"/>
          <w:divBdr>
            <w:top w:val="none" w:sz="0" w:space="0" w:color="auto"/>
            <w:left w:val="none" w:sz="0" w:space="0" w:color="auto"/>
            <w:bottom w:val="none" w:sz="0" w:space="0" w:color="auto"/>
            <w:right w:val="none" w:sz="0" w:space="0" w:color="auto"/>
          </w:divBdr>
        </w:div>
      </w:divsChild>
    </w:div>
    <w:div w:id="316807441">
      <w:marLeft w:val="0"/>
      <w:marRight w:val="0"/>
      <w:marTop w:val="0"/>
      <w:marBottom w:val="0"/>
      <w:divBdr>
        <w:top w:val="none" w:sz="0" w:space="0" w:color="auto"/>
        <w:left w:val="none" w:sz="0" w:space="0" w:color="auto"/>
        <w:bottom w:val="none" w:sz="0" w:space="0" w:color="auto"/>
        <w:right w:val="none" w:sz="0" w:space="0" w:color="auto"/>
      </w:divBdr>
      <w:divsChild>
        <w:div w:id="135033865">
          <w:marLeft w:val="0"/>
          <w:marRight w:val="0"/>
          <w:marTop w:val="0"/>
          <w:marBottom w:val="120"/>
          <w:divBdr>
            <w:top w:val="none" w:sz="0" w:space="0" w:color="auto"/>
            <w:left w:val="none" w:sz="0" w:space="0" w:color="auto"/>
            <w:bottom w:val="none" w:sz="0" w:space="0" w:color="auto"/>
            <w:right w:val="none" w:sz="0" w:space="0" w:color="auto"/>
          </w:divBdr>
        </w:div>
      </w:divsChild>
    </w:div>
    <w:div w:id="465975874">
      <w:marLeft w:val="0"/>
      <w:marRight w:val="0"/>
      <w:marTop w:val="0"/>
      <w:marBottom w:val="0"/>
      <w:divBdr>
        <w:top w:val="none" w:sz="0" w:space="0" w:color="auto"/>
        <w:left w:val="none" w:sz="0" w:space="0" w:color="auto"/>
        <w:bottom w:val="none" w:sz="0" w:space="0" w:color="auto"/>
        <w:right w:val="none" w:sz="0" w:space="0" w:color="auto"/>
      </w:divBdr>
      <w:divsChild>
        <w:div w:id="673263083">
          <w:marLeft w:val="0"/>
          <w:marRight w:val="0"/>
          <w:marTop w:val="0"/>
          <w:marBottom w:val="120"/>
          <w:divBdr>
            <w:top w:val="none" w:sz="0" w:space="0" w:color="auto"/>
            <w:left w:val="none" w:sz="0" w:space="0" w:color="auto"/>
            <w:bottom w:val="none" w:sz="0" w:space="0" w:color="auto"/>
            <w:right w:val="none" w:sz="0" w:space="0" w:color="auto"/>
          </w:divBdr>
        </w:div>
      </w:divsChild>
    </w:div>
    <w:div w:id="1003776793">
      <w:marLeft w:val="0"/>
      <w:marRight w:val="0"/>
      <w:marTop w:val="0"/>
      <w:marBottom w:val="0"/>
      <w:divBdr>
        <w:top w:val="none" w:sz="0" w:space="0" w:color="auto"/>
        <w:left w:val="none" w:sz="0" w:space="0" w:color="auto"/>
        <w:bottom w:val="none" w:sz="0" w:space="0" w:color="auto"/>
        <w:right w:val="none" w:sz="0" w:space="0" w:color="auto"/>
      </w:divBdr>
      <w:divsChild>
        <w:div w:id="371420523">
          <w:marLeft w:val="0"/>
          <w:marRight w:val="0"/>
          <w:marTop w:val="0"/>
          <w:marBottom w:val="120"/>
          <w:divBdr>
            <w:top w:val="none" w:sz="0" w:space="0" w:color="auto"/>
            <w:left w:val="none" w:sz="0" w:space="0" w:color="auto"/>
            <w:bottom w:val="none" w:sz="0" w:space="0" w:color="auto"/>
            <w:right w:val="none" w:sz="0" w:space="0" w:color="auto"/>
          </w:divBdr>
        </w:div>
      </w:divsChild>
    </w:div>
    <w:div w:id="1047147874">
      <w:marLeft w:val="0"/>
      <w:marRight w:val="0"/>
      <w:marTop w:val="0"/>
      <w:marBottom w:val="0"/>
      <w:divBdr>
        <w:top w:val="none" w:sz="0" w:space="0" w:color="auto"/>
        <w:left w:val="none" w:sz="0" w:space="0" w:color="auto"/>
        <w:bottom w:val="none" w:sz="0" w:space="0" w:color="auto"/>
        <w:right w:val="none" w:sz="0" w:space="0" w:color="auto"/>
      </w:divBdr>
      <w:divsChild>
        <w:div w:id="433597693">
          <w:marLeft w:val="0"/>
          <w:marRight w:val="0"/>
          <w:marTop w:val="0"/>
          <w:marBottom w:val="120"/>
          <w:divBdr>
            <w:top w:val="none" w:sz="0" w:space="0" w:color="auto"/>
            <w:left w:val="none" w:sz="0" w:space="0" w:color="auto"/>
            <w:bottom w:val="none" w:sz="0" w:space="0" w:color="auto"/>
            <w:right w:val="none" w:sz="0" w:space="0" w:color="auto"/>
          </w:divBdr>
        </w:div>
      </w:divsChild>
    </w:div>
    <w:div w:id="1077899258">
      <w:marLeft w:val="0"/>
      <w:marRight w:val="0"/>
      <w:marTop w:val="0"/>
      <w:marBottom w:val="0"/>
      <w:divBdr>
        <w:top w:val="none" w:sz="0" w:space="0" w:color="auto"/>
        <w:left w:val="none" w:sz="0" w:space="0" w:color="auto"/>
        <w:bottom w:val="none" w:sz="0" w:space="0" w:color="auto"/>
        <w:right w:val="none" w:sz="0" w:space="0" w:color="auto"/>
      </w:divBdr>
      <w:divsChild>
        <w:div w:id="353043083">
          <w:marLeft w:val="0"/>
          <w:marRight w:val="0"/>
          <w:marTop w:val="0"/>
          <w:marBottom w:val="120"/>
          <w:divBdr>
            <w:top w:val="none" w:sz="0" w:space="0" w:color="auto"/>
            <w:left w:val="none" w:sz="0" w:space="0" w:color="auto"/>
            <w:bottom w:val="none" w:sz="0" w:space="0" w:color="auto"/>
            <w:right w:val="none" w:sz="0" w:space="0" w:color="auto"/>
          </w:divBdr>
        </w:div>
        <w:div w:id="248001474">
          <w:marLeft w:val="0"/>
          <w:marRight w:val="0"/>
          <w:marTop w:val="560"/>
          <w:marBottom w:val="0"/>
          <w:divBdr>
            <w:top w:val="single" w:sz="8" w:space="9" w:color="C5D8EC"/>
            <w:left w:val="none" w:sz="0" w:space="0" w:color="auto"/>
            <w:bottom w:val="none" w:sz="0" w:space="0" w:color="auto"/>
            <w:right w:val="none" w:sz="0" w:space="0" w:color="auto"/>
          </w:divBdr>
        </w:div>
      </w:divsChild>
    </w:div>
    <w:div w:id="1538353872">
      <w:marLeft w:val="0"/>
      <w:marRight w:val="0"/>
      <w:marTop w:val="920"/>
      <w:marBottom w:val="0"/>
      <w:divBdr>
        <w:top w:val="none" w:sz="0" w:space="0" w:color="auto"/>
        <w:left w:val="none" w:sz="0" w:space="0" w:color="auto"/>
        <w:bottom w:val="none" w:sz="0" w:space="0" w:color="auto"/>
        <w:right w:val="none" w:sz="0" w:space="0" w:color="auto"/>
      </w:divBdr>
    </w:div>
    <w:div w:id="1565556392">
      <w:marLeft w:val="0"/>
      <w:marRight w:val="0"/>
      <w:marTop w:val="0"/>
      <w:marBottom w:val="0"/>
      <w:divBdr>
        <w:top w:val="none" w:sz="0" w:space="0" w:color="auto"/>
        <w:left w:val="none" w:sz="0" w:space="0" w:color="auto"/>
        <w:bottom w:val="none" w:sz="0" w:space="0" w:color="auto"/>
        <w:right w:val="none" w:sz="0" w:space="0" w:color="auto"/>
      </w:divBdr>
      <w:divsChild>
        <w:div w:id="1210460024">
          <w:marLeft w:val="0"/>
          <w:marRight w:val="0"/>
          <w:marTop w:val="0"/>
          <w:marBottom w:val="120"/>
          <w:divBdr>
            <w:top w:val="none" w:sz="0" w:space="0" w:color="auto"/>
            <w:left w:val="none" w:sz="0" w:space="0" w:color="auto"/>
            <w:bottom w:val="none" w:sz="0" w:space="0" w:color="auto"/>
            <w:right w:val="none" w:sz="0" w:space="0" w:color="auto"/>
          </w:divBdr>
        </w:div>
        <w:div w:id="528950380">
          <w:marLeft w:val="0"/>
          <w:marRight w:val="0"/>
          <w:marTop w:val="240"/>
          <w:marBottom w:val="240"/>
          <w:divBdr>
            <w:top w:val="none" w:sz="0" w:space="0" w:color="auto"/>
            <w:left w:val="single" w:sz="36" w:space="14" w:color="1A3A5C"/>
            <w:bottom w:val="none" w:sz="0" w:space="0" w:color="auto"/>
            <w:right w:val="none" w:sz="0" w:space="0" w:color="auto"/>
          </w:divBdr>
        </w:div>
      </w:divsChild>
    </w:div>
    <w:div w:id="1601985514">
      <w:marLeft w:val="0"/>
      <w:marRight w:val="0"/>
      <w:marTop w:val="1040"/>
      <w:marBottom w:val="160"/>
      <w:divBdr>
        <w:top w:val="none" w:sz="0" w:space="0" w:color="auto"/>
        <w:left w:val="none" w:sz="0" w:space="0" w:color="auto"/>
        <w:bottom w:val="none" w:sz="0" w:space="0" w:color="auto"/>
        <w:right w:val="none" w:sz="0" w:space="0" w:color="auto"/>
      </w:divBdr>
    </w:div>
    <w:div w:id="1680082161">
      <w:marLeft w:val="0"/>
      <w:marRight w:val="0"/>
      <w:marTop w:val="0"/>
      <w:marBottom w:val="0"/>
      <w:divBdr>
        <w:top w:val="none" w:sz="0" w:space="0" w:color="auto"/>
        <w:left w:val="none" w:sz="0" w:space="0" w:color="auto"/>
        <w:bottom w:val="none" w:sz="0" w:space="0" w:color="auto"/>
        <w:right w:val="none" w:sz="0" w:space="0" w:color="auto"/>
      </w:divBdr>
      <w:divsChild>
        <w:div w:id="605692331">
          <w:marLeft w:val="0"/>
          <w:marRight w:val="0"/>
          <w:marTop w:val="0"/>
          <w:marBottom w:val="120"/>
          <w:divBdr>
            <w:top w:val="none" w:sz="0" w:space="0" w:color="auto"/>
            <w:left w:val="none" w:sz="0" w:space="0" w:color="auto"/>
            <w:bottom w:val="none" w:sz="0" w:space="0" w:color="auto"/>
            <w:right w:val="none" w:sz="0" w:space="0" w:color="auto"/>
          </w:divBdr>
        </w:div>
        <w:div w:id="865681515">
          <w:marLeft w:val="0"/>
          <w:marRight w:val="0"/>
          <w:marTop w:val="240"/>
          <w:marBottom w:val="240"/>
          <w:divBdr>
            <w:top w:val="none" w:sz="0" w:space="0" w:color="auto"/>
            <w:left w:val="single" w:sz="36" w:space="14" w:color="1A3A5C"/>
            <w:bottom w:val="none" w:sz="0" w:space="0" w:color="auto"/>
            <w:right w:val="none" w:sz="0" w:space="0" w:color="auto"/>
          </w:divBdr>
        </w:div>
      </w:divsChild>
    </w:div>
    <w:div w:id="1822841310">
      <w:marLeft w:val="0"/>
      <w:marRight w:val="0"/>
      <w:marTop w:val="0"/>
      <w:marBottom w:val="0"/>
      <w:divBdr>
        <w:top w:val="none" w:sz="0" w:space="0" w:color="auto"/>
        <w:left w:val="none" w:sz="0" w:space="0" w:color="auto"/>
        <w:bottom w:val="none" w:sz="0" w:space="0" w:color="auto"/>
        <w:right w:val="none" w:sz="0" w:space="0" w:color="auto"/>
      </w:divBdr>
      <w:divsChild>
        <w:div w:id="1391271004">
          <w:marLeft w:val="0"/>
          <w:marRight w:val="0"/>
          <w:marTop w:val="0"/>
          <w:marBottom w:val="120"/>
          <w:divBdr>
            <w:top w:val="none" w:sz="0" w:space="0" w:color="auto"/>
            <w:left w:val="none" w:sz="0" w:space="0" w:color="auto"/>
            <w:bottom w:val="none" w:sz="0" w:space="0" w:color="auto"/>
            <w:right w:val="none" w:sz="0" w:space="0" w:color="auto"/>
          </w:divBdr>
        </w:div>
        <w:div w:id="945112228">
          <w:marLeft w:val="0"/>
          <w:marRight w:val="0"/>
          <w:marTop w:val="240"/>
          <w:marBottom w:val="240"/>
          <w:divBdr>
            <w:top w:val="none" w:sz="0" w:space="0" w:color="auto"/>
            <w:left w:val="single" w:sz="36" w:space="14" w:color="1A3A5C"/>
            <w:bottom w:val="none" w:sz="0" w:space="0" w:color="auto"/>
            <w:right w:val="none" w:sz="0" w:space="0" w:color="auto"/>
          </w:divBdr>
        </w:div>
      </w:divsChild>
    </w:div>
    <w:div w:id="1830100337">
      <w:marLeft w:val="0"/>
      <w:marRight w:val="0"/>
      <w:marTop w:val="0"/>
      <w:marBottom w:val="0"/>
      <w:divBdr>
        <w:top w:val="none" w:sz="0" w:space="0" w:color="auto"/>
        <w:left w:val="none" w:sz="0" w:space="0" w:color="auto"/>
        <w:bottom w:val="none" w:sz="0" w:space="0" w:color="auto"/>
        <w:right w:val="none" w:sz="0" w:space="0" w:color="auto"/>
      </w:divBdr>
      <w:divsChild>
        <w:div w:id="620574777">
          <w:marLeft w:val="0"/>
          <w:marRight w:val="0"/>
          <w:marTop w:val="60"/>
          <w:marBottom w:val="60"/>
          <w:divBdr>
            <w:top w:val="none" w:sz="0" w:space="0" w:color="auto"/>
            <w:left w:val="none" w:sz="0" w:space="0" w:color="auto"/>
            <w:bottom w:val="none" w:sz="0" w:space="0" w:color="auto"/>
            <w:right w:val="none" w:sz="0" w:space="0" w:color="auto"/>
          </w:divBdr>
        </w:div>
        <w:div w:id="2074771429">
          <w:marLeft w:val="0"/>
          <w:marRight w:val="0"/>
          <w:marTop w:val="60"/>
          <w:marBottom w:val="60"/>
          <w:divBdr>
            <w:top w:val="none" w:sz="0" w:space="0" w:color="auto"/>
            <w:left w:val="none" w:sz="0" w:space="0" w:color="auto"/>
            <w:bottom w:val="none" w:sz="0" w:space="0" w:color="auto"/>
            <w:right w:val="none" w:sz="0" w:space="0" w:color="auto"/>
          </w:divBdr>
        </w:div>
        <w:div w:id="685598155">
          <w:marLeft w:val="0"/>
          <w:marRight w:val="0"/>
          <w:marTop w:val="60"/>
          <w:marBottom w:val="60"/>
          <w:divBdr>
            <w:top w:val="none" w:sz="0" w:space="0" w:color="auto"/>
            <w:left w:val="none" w:sz="0" w:space="0" w:color="auto"/>
            <w:bottom w:val="none" w:sz="0" w:space="0" w:color="auto"/>
            <w:right w:val="none" w:sz="0" w:space="0" w:color="auto"/>
          </w:divBdr>
        </w:div>
        <w:div w:id="1206137943">
          <w:marLeft w:val="0"/>
          <w:marRight w:val="0"/>
          <w:marTop w:val="60"/>
          <w:marBottom w:val="60"/>
          <w:divBdr>
            <w:top w:val="none" w:sz="0" w:space="0" w:color="auto"/>
            <w:left w:val="none" w:sz="0" w:space="0" w:color="auto"/>
            <w:bottom w:val="none" w:sz="0" w:space="0" w:color="auto"/>
            <w:right w:val="none" w:sz="0" w:space="0" w:color="auto"/>
          </w:divBdr>
        </w:div>
        <w:div w:id="332924877">
          <w:marLeft w:val="0"/>
          <w:marRight w:val="0"/>
          <w:marTop w:val="60"/>
          <w:marBottom w:val="60"/>
          <w:divBdr>
            <w:top w:val="none" w:sz="0" w:space="0" w:color="auto"/>
            <w:left w:val="none" w:sz="0" w:space="0" w:color="auto"/>
            <w:bottom w:val="none" w:sz="0" w:space="0" w:color="auto"/>
            <w:right w:val="none" w:sz="0" w:space="0" w:color="auto"/>
          </w:divBdr>
        </w:div>
        <w:div w:id="1405638397">
          <w:marLeft w:val="0"/>
          <w:marRight w:val="0"/>
          <w:marTop w:val="60"/>
          <w:marBottom w:val="60"/>
          <w:divBdr>
            <w:top w:val="none" w:sz="0" w:space="0" w:color="auto"/>
            <w:left w:val="none" w:sz="0" w:space="0" w:color="auto"/>
            <w:bottom w:val="none" w:sz="0" w:space="0" w:color="auto"/>
            <w:right w:val="none" w:sz="0" w:space="0" w:color="auto"/>
          </w:divBdr>
        </w:div>
        <w:div w:id="932010641">
          <w:marLeft w:val="0"/>
          <w:marRight w:val="0"/>
          <w:marTop w:val="60"/>
          <w:marBottom w:val="60"/>
          <w:divBdr>
            <w:top w:val="none" w:sz="0" w:space="0" w:color="auto"/>
            <w:left w:val="none" w:sz="0" w:space="0" w:color="auto"/>
            <w:bottom w:val="none" w:sz="0" w:space="0" w:color="auto"/>
            <w:right w:val="none" w:sz="0" w:space="0" w:color="auto"/>
          </w:divBdr>
        </w:div>
        <w:div w:id="311296032">
          <w:marLeft w:val="0"/>
          <w:marRight w:val="0"/>
          <w:marTop w:val="60"/>
          <w:marBottom w:val="60"/>
          <w:divBdr>
            <w:top w:val="none" w:sz="0" w:space="0" w:color="auto"/>
            <w:left w:val="none" w:sz="0" w:space="0" w:color="auto"/>
            <w:bottom w:val="none" w:sz="0" w:space="0" w:color="auto"/>
            <w:right w:val="none" w:sz="0" w:space="0" w:color="auto"/>
          </w:divBdr>
        </w:div>
        <w:div w:id="1498686026">
          <w:marLeft w:val="0"/>
          <w:marRight w:val="0"/>
          <w:marTop w:val="60"/>
          <w:marBottom w:val="60"/>
          <w:divBdr>
            <w:top w:val="none" w:sz="0" w:space="0" w:color="auto"/>
            <w:left w:val="none" w:sz="0" w:space="0" w:color="auto"/>
            <w:bottom w:val="none" w:sz="0" w:space="0" w:color="auto"/>
            <w:right w:val="none" w:sz="0" w:space="0" w:color="auto"/>
          </w:divBdr>
        </w:div>
        <w:div w:id="339554196">
          <w:marLeft w:val="0"/>
          <w:marRight w:val="0"/>
          <w:marTop w:val="60"/>
          <w:marBottom w:val="60"/>
          <w:divBdr>
            <w:top w:val="none" w:sz="0" w:space="0" w:color="auto"/>
            <w:left w:val="none" w:sz="0" w:space="0" w:color="auto"/>
            <w:bottom w:val="none" w:sz="0" w:space="0" w:color="auto"/>
            <w:right w:val="none" w:sz="0" w:space="0" w:color="auto"/>
          </w:divBdr>
        </w:div>
        <w:div w:id="1556896487">
          <w:marLeft w:val="0"/>
          <w:marRight w:val="0"/>
          <w:marTop w:val="60"/>
          <w:marBottom w:val="60"/>
          <w:divBdr>
            <w:top w:val="none" w:sz="0" w:space="0" w:color="auto"/>
            <w:left w:val="none" w:sz="0" w:space="0" w:color="auto"/>
            <w:bottom w:val="none" w:sz="0" w:space="0" w:color="auto"/>
            <w:right w:val="none" w:sz="0" w:space="0" w:color="auto"/>
          </w:divBdr>
        </w:div>
      </w:divsChild>
    </w:div>
    <w:div w:id="1947884945">
      <w:marLeft w:val="0"/>
      <w:marRight w:val="0"/>
      <w:marTop w:val="0"/>
      <w:marBottom w:val="0"/>
      <w:divBdr>
        <w:top w:val="none" w:sz="0" w:space="0" w:color="auto"/>
        <w:left w:val="none" w:sz="0" w:space="0" w:color="auto"/>
        <w:bottom w:val="none" w:sz="0" w:space="0" w:color="auto"/>
        <w:right w:val="none" w:sz="0" w:space="0" w:color="auto"/>
      </w:divBdr>
      <w:divsChild>
        <w:div w:id="804398348">
          <w:marLeft w:val="0"/>
          <w:marRight w:val="0"/>
          <w:marTop w:val="0"/>
          <w:marBottom w:val="120"/>
          <w:divBdr>
            <w:top w:val="none" w:sz="0" w:space="0" w:color="auto"/>
            <w:left w:val="none" w:sz="0" w:space="0" w:color="auto"/>
            <w:bottom w:val="none" w:sz="0" w:space="0" w:color="auto"/>
            <w:right w:val="none" w:sz="0" w:space="0" w:color="auto"/>
          </w:divBdr>
        </w:div>
        <w:div w:id="326058839">
          <w:marLeft w:val="0"/>
          <w:marRight w:val="0"/>
          <w:marTop w:val="240"/>
          <w:marBottom w:val="240"/>
          <w:divBdr>
            <w:top w:val="none" w:sz="0" w:space="0" w:color="auto"/>
            <w:left w:val="single" w:sz="36" w:space="14" w:color="1A3A5C"/>
            <w:bottom w:val="none" w:sz="0" w:space="0" w:color="auto"/>
            <w:right w:val="none" w:sz="0" w:space="0" w:color="auto"/>
          </w:divBdr>
        </w:div>
      </w:divsChild>
    </w:div>
    <w:div w:id="2041468683">
      <w:marLeft w:val="0"/>
      <w:marRight w:val="0"/>
      <w:marTop w:val="0"/>
      <w:marBottom w:val="0"/>
      <w:divBdr>
        <w:top w:val="none" w:sz="0" w:space="0" w:color="auto"/>
        <w:left w:val="none" w:sz="0" w:space="0" w:color="auto"/>
        <w:bottom w:val="none" w:sz="0" w:space="0" w:color="auto"/>
        <w:right w:val="none" w:sz="0" w:space="0" w:color="auto"/>
      </w:divBdr>
    </w:div>
  </w:divs>
  <w:encoding w:val="unicod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84</Pages>
  <Words>5183</Words>
  <Characters>29547</Characters>
  <Application>Microsoft Office Word</Application>
  <DocSecurity>0</DocSecurity>
  <Lines>246</Lines>
  <Paragraphs>69</Paragraphs>
  <ScaleCrop>false</ScaleCrop>
  <Company/>
  <LinksUpToDate>false</LinksUpToDate>
  <CharactersWithSpaces>34661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Financial Proposal — Design Zone</dc:title>
  <dc:subject/>
  <dc:creator>Sundos Sroor</dc:creator>
  <cp:keywords/>
  <dc:description/>
  <cp:lastModifiedBy>Sundos Sroor</cp:lastModifiedBy>
  <cp:revision>2</cp:revision>
  <dcterms:created xsi:type="dcterms:W3CDTF">2026-05-10T11:03:00Z</dcterms:created>
  <dcterms:modified xsi:type="dcterms:W3CDTF">2026-05-10T11:03:00Z</dcterms:modified>
</cp:coreProperties>
</file>