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Times New Roman" w:hAnsi="Times New Roman"/>
          <w:b w:val="0"/>
          <w:sz w:val="36"/>
        </w:rPr>
        <w:t>Federated Fraud Detection with Scalable Aggregation, Vietnam-Oriented Data Extension, and Fault-Tolerant Recovery</w:t>
      </w:r>
    </w:p>
    <w:p>
      <w:pPr>
        <w:spacing w:after="20"/>
        <w:jc w:val="center"/>
      </w:pPr>
      <w:r>
        <w:rPr>
          <w:rFonts w:ascii="Times New Roman" w:hAnsi="Times New Roman"/>
          <w:sz w:val="22"/>
        </w:rPr>
        <w:t>Ngoc Bui</w:t>
      </w:r>
    </w:p>
    <w:p>
      <w:pPr>
        <w:spacing w:after="240"/>
        <w:jc w:val="center"/>
      </w:pPr>
      <w:r>
        <w:rPr>
          <w:rFonts w:ascii="Times New Roman" w:hAnsi="Times New Roman"/>
          <w:i/>
          <w:sz w:val="20"/>
        </w:rPr>
        <w:t>Federated Learning Fraud Detection Project</w:t>
      </w:r>
    </w:p>
    <w:p>
      <w:pPr>
        <w:spacing w:after="100" w:line="240" w:lineRule="auto"/>
      </w:pPr>
      <w:r>
        <w:rPr>
          <w:rFonts w:ascii="Times New Roman" w:hAnsi="Times New Roman"/>
          <w:b/>
          <w:i/>
          <w:sz w:val="18"/>
        </w:rPr>
        <w:t>Abstract--</w:t>
      </w:r>
      <w:r>
        <w:rPr>
          <w:rFonts w:ascii="Times New Roman" w:hAnsi="Times New Roman"/>
          <w:i/>
          <w:sz w:val="18"/>
        </w:rPr>
        <w:t xml:space="preserve"> Financial fraud detection is difficult to centralize because transaction data is sensitive, institution-specific, and legally constrained. This project builds a federated learning system for fraud detection in which clients train locally and only model updates are sent to the server. The baseline dataset is IEEE-CIS Fraud Detection, and the system is extended with a custom transaction adapter and a Vietnam-style synthetic payment dataset to prepare for future Vietnamese banking or wallet data. The proposed system uses a residual multilayer perceptron, a 328-feature transaction schema, target-aware robust federated averaging, adaptive training schedules, per-round checkpoint recovery, and a Phi Accrual failure detector utility. Experimental artifacts show that the 10-client run reached the deployment target with AUPRC 0.7106, AUROC 0.9431, and F1 0.7025 at round 100. A previous 100-client comparison reached the target at its best round but regressed by the final round, showing why large client counts require coverage-aware sampling, robust aggregation, update stabilization, and more total data rather than only splitting one dataset into more clients.</w:t>
      </w:r>
    </w:p>
    <w:p>
      <w:pPr>
        <w:spacing w:after="160"/>
      </w:pPr>
      <w:r>
        <w:rPr>
          <w:rFonts w:ascii="Times New Roman" w:hAnsi="Times New Roman"/>
          <w:b/>
          <w:i/>
          <w:sz w:val="18"/>
        </w:rPr>
        <w:t>Index Terms--</w:t>
      </w:r>
      <w:r>
        <w:rPr>
          <w:rFonts w:ascii="Times New Roman" w:hAnsi="Times New Roman"/>
          <w:i/>
          <w:sz w:val="18"/>
        </w:rPr>
        <w:t xml:space="preserve"> federated learning, fraud detection, financial technology, fault tolerance, scalability, Phi Accrual, Vietnam payments, IEEE-CIS.</w:t>
      </w:r>
    </w:p>
    <w:p>
      <w:pPr>
        <w:sectPr>
          <w:footerReference w:type="default" r:id="rId9"/>
          <w:pgSz w:w="11906" w:h="16838"/>
          <w:pgMar w:top="1077" w:right="935" w:bottom="1077" w:left="935" w:header="567" w:footer="567" w:gutter="0"/>
          <w:cols w:space="720"/>
          <w:docGrid w:linePitch="360"/>
        </w:sectPr>
      </w:pPr>
    </w:p>
    <w:p>
      <w:pPr>
        <w:spacing w:before="160" w:after="80"/>
        <w:jc w:val="center"/>
      </w:pPr>
      <w:r>
        <w:rPr>
          <w:rFonts w:ascii="Times New Roman" w:hAnsi="Times New Roman"/>
          <w:b/>
          <w:sz w:val="20"/>
        </w:rPr>
        <w:t>I. INTRODUCTION</w:t>
      </w:r>
    </w:p>
    <w:p>
      <w:pPr>
        <w:spacing w:before="0" w:after="60" w:line="240" w:lineRule="auto"/>
      </w:pPr>
      <w:r>
        <w:rPr>
          <w:rFonts w:ascii="Times New Roman" w:hAnsi="Times New Roman"/>
          <w:b w:val="0"/>
          <w:i w:val="0"/>
          <w:sz w:val="18"/>
        </w:rPr>
        <w:t>Digital payments create large volumes of transactional data, but fraud labels are rare and the most useful signals are often distributed across separate organizations. A bank may know account history, a payment gateway may know merchant behavior, a wallet may know device and channel behavior, and an e-commerce platform may know order context. Centralizing all of this data is usually unrealistic because of privacy, regulation, business confidentiality, and operational risk.</w:t>
      </w:r>
    </w:p>
    <w:p>
      <w:pPr>
        <w:spacing w:before="0" w:after="60" w:line="240" w:lineRule="auto"/>
      </w:pPr>
      <w:r>
        <w:rPr>
          <w:rFonts w:ascii="Times New Roman" w:hAnsi="Times New Roman"/>
          <w:b w:val="0"/>
          <w:i w:val="0"/>
          <w:sz w:val="18"/>
        </w:rPr>
        <w:t>Federated learning is therefore a suitable architecture: each organization keeps its data local, trains a local model, and sends only model updates to a central server. The initial version of this project trained on IEEE-CIS Fraud Detection using three temporal clients. The current version expands the prototype toward Vietnam-oriented datasets, 10-client and 100-client scalability, explicit server aggregation, and fault-tolerant recovery.</w:t>
      </w:r>
    </w:p>
    <w:p>
      <w:pPr>
        <w:spacing w:before="0" w:after="60" w:line="240" w:lineRule="auto"/>
      </w:pPr>
      <w:r>
        <w:rPr>
          <w:rFonts w:ascii="Times New Roman" w:hAnsi="Times New Roman"/>
          <w:b w:val="0"/>
          <w:i w:val="0"/>
          <w:sz w:val="18"/>
        </w:rPr>
        <w:t>The project is not presented as a finished banking product. It is a working research prototype that demonstrates the core distributed-system ideas, the fraud-modeling pipeline, the operator-facing prediction app, and the limitations that must be solved before production use.</w:t>
      </w:r>
    </w:p>
    <w:p>
      <w:pPr>
        <w:spacing w:before="160" w:after="80"/>
        <w:jc w:val="center"/>
      </w:pPr>
      <w:r>
        <w:rPr>
          <w:rFonts w:ascii="Times New Roman" w:hAnsi="Times New Roman"/>
          <w:b/>
          <w:sz w:val="20"/>
        </w:rPr>
        <w:t>II. PROBLEM STATEMENT</w:t>
      </w:r>
    </w:p>
    <w:p>
      <w:pPr>
        <w:spacing w:before="0" w:after="60" w:line="240" w:lineRule="auto"/>
      </w:pPr>
      <w:r>
        <w:rPr>
          <w:rFonts w:ascii="Times New Roman" w:hAnsi="Times New Roman"/>
          <w:b w:val="0"/>
          <w:i w:val="0"/>
          <w:sz w:val="18"/>
        </w:rPr>
        <w:t>The technical problem is to train and serve a fraud detection model under four constraints: privacy, class imbalance, non-IID client data, and distributed-system failure.</w:t>
      </w:r>
    </w:p>
    <w:p>
      <w:pPr>
        <w:spacing w:before="0" w:after="60" w:line="240" w:lineRule="auto"/>
      </w:pPr>
      <w:r>
        <w:rPr>
          <w:rFonts w:ascii="Times New Roman" w:hAnsi="Times New Roman"/>
          <w:b w:val="0"/>
          <w:i w:val="0"/>
          <w:sz w:val="18"/>
        </w:rPr>
        <w:t>Privacy and data locality: raw transaction records should remain on each client. The server should not require direct access to private transaction records, device identifiers, email domains, or fraud labels.</w:t>
      </w:r>
    </w:p>
    <w:p>
      <w:pPr>
        <w:spacing w:before="0" w:after="60" w:line="240" w:lineRule="auto"/>
      </w:pPr>
      <w:r>
        <w:rPr>
          <w:rFonts w:ascii="Times New Roman" w:hAnsi="Times New Roman"/>
          <w:b w:val="0"/>
          <w:i w:val="0"/>
          <w:sz w:val="18"/>
        </w:rPr>
        <w:t>Class imbalance: fraud is rare. In the IEEE-CIS baseline, about 3.5 percent of transactions are fraud. Accuracy is therefore misleading, so the system uses AUPRC, AUROC, and F1 instead of accuracy.</w:t>
      </w:r>
    </w:p>
    <w:p>
      <w:pPr>
        <w:spacing w:before="0" w:after="60" w:line="240" w:lineRule="auto"/>
      </w:pPr>
      <w:r>
        <w:rPr>
          <w:rFonts w:ascii="Times New Roman" w:hAnsi="Times New Roman"/>
          <w:b w:val="0"/>
          <w:i w:val="0"/>
          <w:sz w:val="18"/>
        </w:rPr>
        <w:t>Non-IID client data: client distributions differ by time period, institution, product, device, and customer behavior. Temporal partitioning intentionally creates this harder setting.</w:t>
      </w:r>
    </w:p>
    <w:p>
      <w:pPr>
        <w:spacing w:before="0" w:after="60" w:line="240" w:lineRule="auto"/>
      </w:pPr>
      <w:r>
        <w:rPr>
          <w:rFonts w:ascii="Times New Roman" w:hAnsi="Times New Roman"/>
          <w:b w:val="0"/>
          <w:i w:val="0"/>
          <w:sz w:val="18"/>
        </w:rPr>
        <w:t>Scalability and failure: the system must continue operating when clients fail and when the number of clients increases. A three-client demonstration is not enough to prove a distributed system, so the project adds 10-client and 100-client run paths, checkpoint recovery, and a Phi Accrual failure detector utility.</w:t>
      </w:r>
    </w:p>
    <w:p>
      <w:pPr>
        <w:spacing w:before="160" w:after="80"/>
        <w:jc w:val="center"/>
      </w:pPr>
      <w:r>
        <w:rPr>
          <w:rFonts w:ascii="Times New Roman" w:hAnsi="Times New Roman"/>
          <w:b/>
          <w:sz w:val="20"/>
        </w:rPr>
        <w:t>III. RELATED WORK</w:t>
      </w:r>
    </w:p>
    <w:p>
      <w:pPr>
        <w:spacing w:before="0" w:after="60" w:line="240" w:lineRule="auto"/>
      </w:pPr>
      <w:r>
        <w:rPr>
          <w:rFonts w:ascii="Times New Roman" w:hAnsi="Times New Roman"/>
          <w:b w:val="0"/>
          <w:i w:val="0"/>
          <w:sz w:val="18"/>
        </w:rPr>
        <w:t>Federated Averaging (FedAvg) is the standard baseline for federated neural network training. In FedAvg, selected clients train locally and the server averages client parameters weighted by sample count. Flower provides the practical federated runtime used by this project.</w:t>
      </w:r>
    </w:p>
    <w:p>
      <w:pPr>
        <w:spacing w:before="0" w:after="60" w:line="240" w:lineRule="auto"/>
      </w:pPr>
      <w:r>
        <w:rPr>
          <w:rFonts w:ascii="Times New Roman" w:hAnsi="Times New Roman"/>
          <w:b w:val="0"/>
          <w:i w:val="0"/>
          <w:sz w:val="18"/>
        </w:rPr>
        <w:t>Fraud detection is a class-imbalanced ranking task. Precision-recall analysis is more informative than accuracy or ROC alone when the positive class is rare, which motivates AUPRC as the primary model-selection metric.</w:t>
      </w:r>
    </w:p>
    <w:p>
      <w:pPr>
        <w:spacing w:before="0" w:after="60" w:line="240" w:lineRule="auto"/>
      </w:pPr>
      <w:r>
        <w:rPr>
          <w:rFonts w:ascii="Times New Roman" w:hAnsi="Times New Roman"/>
          <w:b w:val="0"/>
          <w:i w:val="0"/>
          <w:sz w:val="18"/>
        </w:rPr>
        <w:t>The model architecture uses residual connections and LayerNorm. Residual connections help train deeper neural networks by learning corrections to hidden representations. LayerNorm is preferred over BatchNorm because federated clients have different local distributions; averaged BatchNorm running statistics may not represent any real client.</w:t>
      </w:r>
    </w:p>
    <w:p>
      <w:pPr>
        <w:spacing w:before="0" w:after="60" w:line="240" w:lineRule="auto"/>
      </w:pPr>
      <w:r>
        <w:rPr>
          <w:rFonts w:ascii="Times New Roman" w:hAnsi="Times New Roman"/>
          <w:b w:val="0"/>
          <w:i w:val="0"/>
          <w:sz w:val="18"/>
        </w:rPr>
        <w:t>Fault detection in distributed systems often uses adaptive detectors rather than fixed timeouts. Phi Accrual converts heartbeat silence into a suspicion score, while SWIM provides a scalable membership protocol. This project implements Phi Accrual as a tested utility and keeps live membership integration as future work.</w:t>
      </w:r>
    </w:p>
    <w:p>
      <w:pPr>
        <w:spacing w:before="0" w:after="60" w:line="240" w:lineRule="auto"/>
      </w:pPr>
      <w:r>
        <w:rPr>
          <w:rFonts w:ascii="Times New Roman" w:hAnsi="Times New Roman"/>
          <w:b w:val="0"/>
          <w:i w:val="0"/>
          <w:sz w:val="18"/>
        </w:rPr>
        <w:t>Robust aggregation is related to Byzantine-resilient learning. Krum, coordinate median, and trimmed mean reduce the effect of outlier or malicious updates. This project does not claim complete Byzantine security, but it uses robust blending to reduce large-client instability.</w:t>
      </w:r>
    </w:p>
    <w:p>
      <w:pPr>
        <w:spacing w:before="160" w:after="80"/>
        <w:jc w:val="center"/>
      </w:pPr>
      <w:r>
        <w:rPr>
          <w:rFonts w:ascii="Times New Roman" w:hAnsi="Times New Roman"/>
          <w:b/>
          <w:sz w:val="20"/>
        </w:rPr>
        <w:t>IV. PROPOSED APPROACH</w:t>
      </w:r>
    </w:p>
    <w:p>
      <w:pPr>
        <w:spacing w:before="40" w:after="80"/>
        <w:jc w:val="center"/>
      </w:pPr>
      <w:r>
        <w:rPr>
          <w:rFonts w:ascii="Cambria Math" w:hAnsi="Cambria Math"/>
          <w:i/>
          <w:sz w:val="17"/>
        </w:rPr>
        <w:t>D_k = {x_i | floor(kN/K) &lt;= i &lt; floor((k+1)N/K)}</w:t>
      </w:r>
    </w:p>
    <w:p>
      <w:pPr>
        <w:spacing w:before="0" w:after="60" w:line="240" w:lineRule="auto"/>
      </w:pPr>
      <w:r>
        <w:rPr>
          <w:rFonts w:ascii="Times New Roman" w:hAnsi="Times New Roman"/>
          <w:b w:val="0"/>
          <w:i w:val="0"/>
          <w:sz w:val="18"/>
        </w:rPr>
        <w:t>The proposed system has five layers: data ingestion and feature engineering, local client training, server aggregation and checkpointing, evaluation, and API/GUI inference. The architecture is designed so that raw transaction data stays local while the global fraud model improves through aggregated updates.</w:t>
      </w:r>
    </w:p>
    <w:p>
      <w:pPr>
        <w:spacing w:before="0" w:after="60" w:line="240" w:lineRule="auto"/>
      </w:pPr>
      <w:r>
        <w:rPr>
          <w:rFonts w:ascii="Times New Roman" w:hAnsi="Times New Roman"/>
          <w:b w:val="0"/>
          <w:i w:val="0"/>
          <w:sz w:val="18"/>
        </w:rPr>
        <w:t>IEEE-CIS is used as the reproducible public baseline. The dataset is sorted by transaction time, then split into K temporal client partitions. Temporal splitting is intentionally harder than random splitting because it reduces future leakage and creates realistic distribution shift.</w:t>
      </w:r>
    </w:p>
    <w:p>
      <w:pPr>
        <w:spacing w:before="0" w:after="60" w:line="240" w:lineRule="auto"/>
      </w:pPr>
      <w:r>
        <w:rPr>
          <w:rFonts w:ascii="Times New Roman" w:hAnsi="Times New Roman"/>
          <w:b w:val="0"/>
          <w:i w:val="0"/>
          <w:sz w:val="18"/>
        </w:rPr>
        <w:t>Vietnam-oriented expansion is handled with a custom transaction adapter and a synthetic generator. The adapter maps partner columns to the active schema. The generator creates wallet, QR, gateway, and bank-transfer-like records with VND amount, provider, channel, customer, merchant, device, province, velocity, distance, and chargeback fields. This synthetic dataset is for system testing, not a claim of real Vietnam fraud accuracy.</w:t>
      </w:r>
    </w:p>
    <w:p>
      <w:pPr>
        <w:spacing w:before="80" w:after="40" w:line="240" w:lineRule="auto"/>
        <w:jc w:val="center"/>
      </w:pPr>
      <w:r>
        <w:rPr>
          <w:rFonts w:ascii="Times New Roman" w:hAnsi="Times New Roman"/>
          <w:b/>
          <w:i w:val="0"/>
          <w:sz w:val="17"/>
        </w:rPr>
        <w:t>TABLE I. Main Implementation Modules</w:t>
      </w:r>
    </w:p>
    <w:tbl>
      <w:tblPr>
        <w:tblStyle w:val="TableGrid"/>
        <w:tblW w:type="auto" w:w="0"/>
        <w:jc w:val="center"/>
        <w:tblLayout w:type="fixed"/>
        <w:tblLook w:firstColumn="1" w:firstRow="1" w:lastColumn="0" w:lastRow="0" w:noHBand="0" w:noVBand="1" w:val="04A0"/>
      </w:tblPr>
      <w:tblGrid>
        <w:gridCol w:w="5018"/>
        <w:gridCol w:w="5018"/>
      </w:tblGrid>
      <w:tr>
        <w:tc>
          <w:tcPr>
            <w:tcW w:type="dxa" w:w="1699"/>
            <w:vAlign w:val="center"/>
            <w:shd w:fill="EDEDED"/>
          </w:tcPr>
          <w:p>
            <w:pPr>
              <w:spacing w:after="0" w:line="240" w:lineRule="auto"/>
              <w:jc w:val="center"/>
            </w:pPr>
            <w:r/>
            <w:r>
              <w:rPr>
                <w:rFonts w:ascii="Times New Roman" w:hAnsi="Times New Roman"/>
                <w:b/>
                <w:sz w:val="14"/>
              </w:rPr>
              <w:t>Module</w:t>
            </w:r>
          </w:p>
        </w:tc>
        <w:tc>
          <w:tcPr>
            <w:tcW w:type="dxa" w:w="2909"/>
            <w:vAlign w:val="center"/>
            <w:shd w:fill="EDEDED"/>
          </w:tcPr>
          <w:p>
            <w:pPr>
              <w:spacing w:after="0" w:line="240" w:lineRule="auto"/>
              <w:jc w:val="center"/>
            </w:pPr>
            <w:r/>
            <w:r>
              <w:rPr>
                <w:rFonts w:ascii="Times New Roman" w:hAnsi="Times New Roman"/>
                <w:b/>
                <w:sz w:val="14"/>
              </w:rPr>
              <w:t>Responsibility</w:t>
            </w:r>
          </w:p>
        </w:tc>
      </w:tr>
      <w:tr>
        <w:tc>
          <w:tcPr>
            <w:tcW w:type="dxa" w:w="5018"/>
            <w:vAlign w:val="center"/>
          </w:tcPr>
          <w:p>
            <w:pPr>
              <w:spacing w:after="0" w:line="240" w:lineRule="auto"/>
              <w:jc w:val="left"/>
            </w:pPr>
            <w:r/>
            <w:r>
              <w:rPr>
                <w:rFonts w:ascii="Times New Roman" w:hAnsi="Times New Roman"/>
                <w:b w:val="0"/>
                <w:sz w:val="14"/>
              </w:rPr>
              <w:t>dataset/load_ieee_cis.py</w:t>
            </w:r>
          </w:p>
        </w:tc>
        <w:tc>
          <w:tcPr>
            <w:tcW w:type="dxa" w:w="5018"/>
            <w:vAlign w:val="center"/>
          </w:tcPr>
          <w:p>
            <w:pPr>
              <w:spacing w:after="0" w:line="240" w:lineRule="auto"/>
              <w:jc w:val="center"/>
            </w:pPr>
            <w:r/>
            <w:r>
              <w:rPr>
                <w:rFonts w:ascii="Times New Roman" w:hAnsi="Times New Roman"/>
                <w:b w:val="0"/>
                <w:sz w:val="14"/>
              </w:rPr>
              <w:t>IEEE-CIS loading, merging, feature engineering, normalization, client splits.</w:t>
            </w:r>
          </w:p>
        </w:tc>
      </w:tr>
      <w:tr>
        <w:tc>
          <w:tcPr>
            <w:tcW w:type="dxa" w:w="5018"/>
            <w:vAlign w:val="center"/>
          </w:tcPr>
          <w:p>
            <w:pPr>
              <w:spacing w:after="0" w:line="240" w:lineRule="auto"/>
              <w:jc w:val="left"/>
            </w:pPr>
            <w:r/>
            <w:r>
              <w:rPr>
                <w:rFonts w:ascii="Times New Roman" w:hAnsi="Times New Roman"/>
                <w:b w:val="0"/>
                <w:sz w:val="14"/>
              </w:rPr>
              <w:t>dataset/custom_transaction_adapter.py</w:t>
            </w:r>
          </w:p>
        </w:tc>
        <w:tc>
          <w:tcPr>
            <w:tcW w:type="dxa" w:w="5018"/>
            <w:vAlign w:val="center"/>
          </w:tcPr>
          <w:p>
            <w:pPr>
              <w:spacing w:after="0" w:line="240" w:lineRule="auto"/>
              <w:jc w:val="center"/>
            </w:pPr>
            <w:r/>
            <w:r>
              <w:rPr>
                <w:rFonts w:ascii="Times New Roman" w:hAnsi="Times New Roman"/>
                <w:b w:val="0"/>
                <w:sz w:val="14"/>
              </w:rPr>
              <w:t>Maps partner or synthetic columns into the active schema.</w:t>
            </w:r>
          </w:p>
        </w:tc>
      </w:tr>
      <w:tr>
        <w:tc>
          <w:tcPr>
            <w:tcW w:type="dxa" w:w="5018"/>
            <w:vAlign w:val="center"/>
          </w:tcPr>
          <w:p>
            <w:pPr>
              <w:spacing w:after="0" w:line="240" w:lineRule="auto"/>
              <w:jc w:val="left"/>
            </w:pPr>
            <w:r/>
            <w:r>
              <w:rPr>
                <w:rFonts w:ascii="Times New Roman" w:hAnsi="Times New Roman"/>
                <w:b w:val="0"/>
                <w:sz w:val="14"/>
              </w:rPr>
              <w:t>dataset/generate_vietnam_synthetic.py</w:t>
            </w:r>
          </w:p>
        </w:tc>
        <w:tc>
          <w:tcPr>
            <w:tcW w:type="dxa" w:w="5018"/>
            <w:vAlign w:val="center"/>
          </w:tcPr>
          <w:p>
            <w:pPr>
              <w:spacing w:after="0" w:line="240" w:lineRule="auto"/>
              <w:jc w:val="center"/>
            </w:pPr>
            <w:r/>
            <w:r>
              <w:rPr>
                <w:rFonts w:ascii="Times New Roman" w:hAnsi="Times New Roman"/>
                <w:b w:val="0"/>
                <w:sz w:val="14"/>
              </w:rPr>
              <w:t>Generates Vietnam-style payment data for integration testing.</w:t>
            </w:r>
          </w:p>
        </w:tc>
      </w:tr>
      <w:tr>
        <w:tc>
          <w:tcPr>
            <w:tcW w:type="dxa" w:w="5018"/>
            <w:vAlign w:val="center"/>
          </w:tcPr>
          <w:p>
            <w:pPr>
              <w:spacing w:after="0" w:line="240" w:lineRule="auto"/>
              <w:jc w:val="left"/>
            </w:pPr>
            <w:r/>
            <w:r>
              <w:rPr>
                <w:rFonts w:ascii="Times New Roman" w:hAnsi="Times New Roman"/>
                <w:b w:val="0"/>
                <w:sz w:val="14"/>
              </w:rPr>
              <w:t>src/data/feature_registry.py</w:t>
            </w:r>
          </w:p>
        </w:tc>
        <w:tc>
          <w:tcPr>
            <w:tcW w:type="dxa" w:w="5018"/>
            <w:vAlign w:val="center"/>
          </w:tcPr>
          <w:p>
            <w:pPr>
              <w:spacing w:after="0" w:line="240" w:lineRule="auto"/>
              <w:jc w:val="center"/>
            </w:pPr>
            <w:r/>
            <w:r>
              <w:rPr>
                <w:rFonts w:ascii="Times New Roman" w:hAnsi="Times New Roman"/>
                <w:b w:val="0"/>
                <w:sz w:val="14"/>
              </w:rPr>
              <w:t>Defines the 328-feature schema and label contract.</w:t>
            </w:r>
          </w:p>
        </w:tc>
      </w:tr>
      <w:tr>
        <w:tc>
          <w:tcPr>
            <w:tcW w:type="dxa" w:w="5018"/>
            <w:vAlign w:val="center"/>
          </w:tcPr>
          <w:p>
            <w:pPr>
              <w:spacing w:after="0" w:line="240" w:lineRule="auto"/>
              <w:jc w:val="left"/>
            </w:pPr>
            <w:r/>
            <w:r>
              <w:rPr>
                <w:rFonts w:ascii="Times New Roman" w:hAnsi="Times New Roman"/>
                <w:b w:val="0"/>
                <w:sz w:val="14"/>
              </w:rPr>
              <w:t>src/model/fraud_mlp.py</w:t>
            </w:r>
          </w:p>
        </w:tc>
        <w:tc>
          <w:tcPr>
            <w:tcW w:type="dxa" w:w="5018"/>
            <w:vAlign w:val="center"/>
          </w:tcPr>
          <w:p>
            <w:pPr>
              <w:spacing w:after="0" w:line="240" w:lineRule="auto"/>
              <w:jc w:val="center"/>
            </w:pPr>
            <w:r/>
            <w:r>
              <w:rPr>
                <w:rFonts w:ascii="Times New Roman" w:hAnsi="Times New Roman"/>
                <w:b w:val="0"/>
                <w:sz w:val="14"/>
              </w:rPr>
              <w:t>Implements the residual MLP classifier.</w:t>
            </w:r>
          </w:p>
        </w:tc>
      </w:tr>
      <w:tr>
        <w:tc>
          <w:tcPr>
            <w:tcW w:type="dxa" w:w="5018"/>
            <w:vAlign w:val="center"/>
          </w:tcPr>
          <w:p>
            <w:pPr>
              <w:spacing w:after="0" w:line="240" w:lineRule="auto"/>
              <w:jc w:val="left"/>
            </w:pPr>
            <w:r/>
            <w:r>
              <w:rPr>
                <w:rFonts w:ascii="Times New Roman" w:hAnsi="Times New Roman"/>
                <w:b w:val="0"/>
                <w:sz w:val="14"/>
              </w:rPr>
              <w:t>src/client/client.py</w:t>
            </w:r>
          </w:p>
        </w:tc>
        <w:tc>
          <w:tcPr>
            <w:tcW w:type="dxa" w:w="5018"/>
            <w:vAlign w:val="center"/>
          </w:tcPr>
          <w:p>
            <w:pPr>
              <w:spacing w:after="0" w:line="240" w:lineRule="auto"/>
              <w:jc w:val="center"/>
            </w:pPr>
            <w:r/>
            <w:r>
              <w:rPr>
                <w:rFonts w:ascii="Times New Roman" w:hAnsi="Times New Roman"/>
                <w:b w:val="0"/>
                <w:sz w:val="14"/>
              </w:rPr>
              <w:t>Implements client training, sampling, losses, and metrics.</w:t>
            </w:r>
          </w:p>
        </w:tc>
      </w:tr>
      <w:tr>
        <w:tc>
          <w:tcPr>
            <w:tcW w:type="dxa" w:w="5018"/>
            <w:vAlign w:val="center"/>
          </w:tcPr>
          <w:p>
            <w:pPr>
              <w:spacing w:after="0" w:line="240" w:lineRule="auto"/>
              <w:jc w:val="left"/>
            </w:pPr>
            <w:r/>
            <w:r>
              <w:rPr>
                <w:rFonts w:ascii="Times New Roman" w:hAnsi="Times New Roman"/>
                <w:b w:val="0"/>
                <w:sz w:val="14"/>
              </w:rPr>
              <w:t>src/server/aggregation.py</w:t>
            </w:r>
          </w:p>
        </w:tc>
        <w:tc>
          <w:tcPr>
            <w:tcW w:type="dxa" w:w="5018"/>
            <w:vAlign w:val="center"/>
          </w:tcPr>
          <w:p>
            <w:pPr>
              <w:spacing w:after="0" w:line="240" w:lineRule="auto"/>
              <w:jc w:val="center"/>
            </w:pPr>
            <w:r/>
            <w:r>
              <w:rPr>
                <w:rFonts w:ascii="Times New Roman" w:hAnsi="Times New Roman"/>
                <w:b w:val="0"/>
                <w:sz w:val="14"/>
              </w:rPr>
              <w:t>Implements target-aware weights, robust blending, and stabilization.</w:t>
            </w:r>
          </w:p>
        </w:tc>
      </w:tr>
      <w:tr>
        <w:tc>
          <w:tcPr>
            <w:tcW w:type="dxa" w:w="5018"/>
            <w:vAlign w:val="center"/>
          </w:tcPr>
          <w:p>
            <w:pPr>
              <w:spacing w:after="0" w:line="240" w:lineRule="auto"/>
              <w:jc w:val="left"/>
            </w:pPr>
            <w:r/>
            <w:r>
              <w:rPr>
                <w:rFonts w:ascii="Times New Roman" w:hAnsi="Times New Roman"/>
                <w:b w:val="0"/>
                <w:sz w:val="14"/>
              </w:rPr>
              <w:t>src/server/strategy.py</w:t>
            </w:r>
          </w:p>
        </w:tc>
        <w:tc>
          <w:tcPr>
            <w:tcW w:type="dxa" w:w="5018"/>
            <w:vAlign w:val="center"/>
          </w:tcPr>
          <w:p>
            <w:pPr>
              <w:spacing w:after="0" w:line="240" w:lineRule="auto"/>
              <w:jc w:val="center"/>
            </w:pPr>
            <w:r/>
            <w:r>
              <w:rPr>
                <w:rFonts w:ascii="Times New Roman" w:hAnsi="Times New Roman"/>
                <w:b w:val="0"/>
                <w:sz w:val="14"/>
              </w:rPr>
              <w:t>Implements Flower strategy, sampling, summaries, and checkpointing.</w:t>
            </w:r>
          </w:p>
        </w:tc>
      </w:tr>
      <w:tr>
        <w:tc>
          <w:tcPr>
            <w:tcW w:type="dxa" w:w="5018"/>
            <w:vAlign w:val="center"/>
          </w:tcPr>
          <w:p>
            <w:pPr>
              <w:spacing w:after="0" w:line="240" w:lineRule="auto"/>
              <w:jc w:val="left"/>
            </w:pPr>
            <w:r/>
            <w:r>
              <w:rPr>
                <w:rFonts w:ascii="Times New Roman" w:hAnsi="Times New Roman"/>
                <w:b w:val="0"/>
                <w:sz w:val="14"/>
              </w:rPr>
              <w:t>src/server/failure_detector.py</w:t>
            </w:r>
          </w:p>
        </w:tc>
        <w:tc>
          <w:tcPr>
            <w:tcW w:type="dxa" w:w="5018"/>
            <w:vAlign w:val="center"/>
          </w:tcPr>
          <w:p>
            <w:pPr>
              <w:spacing w:after="0" w:line="240" w:lineRule="auto"/>
              <w:jc w:val="center"/>
            </w:pPr>
            <w:r/>
            <w:r>
              <w:rPr>
                <w:rFonts w:ascii="Times New Roman" w:hAnsi="Times New Roman"/>
                <w:b w:val="0"/>
                <w:sz w:val="14"/>
              </w:rPr>
              <w:t>Implements Phi Accrual suspicion scoring.</w:t>
            </w:r>
          </w:p>
        </w:tc>
      </w:tr>
      <w:tr>
        <w:tc>
          <w:tcPr>
            <w:tcW w:type="dxa" w:w="5018"/>
            <w:vAlign w:val="center"/>
          </w:tcPr>
          <w:p>
            <w:pPr>
              <w:spacing w:after="0" w:line="240" w:lineRule="auto"/>
              <w:jc w:val="left"/>
            </w:pPr>
            <w:r/>
            <w:r>
              <w:rPr>
                <w:rFonts w:ascii="Times New Roman" w:hAnsi="Times New Roman"/>
                <w:b w:val="0"/>
                <w:sz w:val="14"/>
              </w:rPr>
              <w:t>api/main.py and app/</w:t>
            </w:r>
          </w:p>
        </w:tc>
        <w:tc>
          <w:tcPr>
            <w:tcW w:type="dxa" w:w="5018"/>
            <w:vAlign w:val="center"/>
          </w:tcPr>
          <w:p>
            <w:pPr>
              <w:spacing w:after="0" w:line="240" w:lineRule="auto"/>
              <w:jc w:val="center"/>
            </w:pPr>
            <w:r/>
            <w:r>
              <w:rPr>
                <w:rFonts w:ascii="Times New Roman" w:hAnsi="Times New Roman"/>
                <w:b w:val="0"/>
                <w:sz w:val="14"/>
              </w:rPr>
              <w:t>Serve the checkpoint and provide the transaction-screening GUI.</w:t>
            </w:r>
          </w:p>
        </w:tc>
      </w:tr>
    </w:tbl>
    <w:p>
      <w:pPr>
        <w:spacing w:before="0" w:after="20" w:line="240" w:lineRule="auto"/>
      </w:pPr>
      <w:r>
        <w:rPr>
          <w:rFonts w:ascii="Times New Roman" w:hAnsi="Times New Roman"/>
          <w:b w:val="0"/>
          <w:i w:val="0"/>
          <w:sz w:val="8"/>
        </w:rPr>
      </w:r>
    </w:p>
    <w:p>
      <w:pPr>
        <w:spacing w:before="160" w:after="80"/>
        <w:jc w:val="center"/>
      </w:pPr>
      <w:r>
        <w:rPr>
          <w:rFonts w:ascii="Times New Roman" w:hAnsi="Times New Roman"/>
          <w:b/>
          <w:sz w:val="20"/>
        </w:rPr>
        <w:t>V. FEATURE ENGINEERING</w:t>
      </w:r>
    </w:p>
    <w:p>
      <w:pPr>
        <w:spacing w:before="40" w:after="80"/>
        <w:jc w:val="center"/>
      </w:pPr>
      <w:r>
        <w:rPr>
          <w:rFonts w:ascii="Cambria Math" w:hAnsi="Cambria Math"/>
          <w:i/>
          <w:sz w:val="17"/>
        </w:rPr>
        <w:t>z_j = (x_j - mu_j) / max(sigma_j, 1e-8)</w:t>
      </w:r>
    </w:p>
    <w:p>
      <w:pPr>
        <w:spacing w:before="0" w:after="60" w:line="240" w:lineRule="auto"/>
      </w:pPr>
      <w:r>
        <w:rPr>
          <w:rFonts w:ascii="Times New Roman" w:hAnsi="Times New Roman"/>
          <w:b w:val="0"/>
          <w:i w:val="0"/>
          <w:sz w:val="18"/>
        </w:rPr>
        <w:t>The active schema is named fraud-history-scalable and contains 328 features. The ordered feature contract is implemented in src/data/feature_registry.py and is shared by training, evaluation, and inference.</w:t>
      </w:r>
    </w:p>
    <w:p>
      <w:pPr>
        <w:spacing w:before="0" w:after="60" w:line="240" w:lineRule="auto"/>
      </w:pPr>
      <w:r>
        <w:rPr>
          <w:rFonts w:ascii="Times New Roman" w:hAnsi="Times New Roman"/>
          <w:b w:val="0"/>
          <w:i w:val="0"/>
          <w:sz w:val="18"/>
        </w:rPr>
        <w:t>Key feature groups include amount and log amount, recent transaction count and volume, cyclic hour/day features, risky-hour flags, card/product/email/device signals, frequency encodings, backward-looking fraud history, and risk-shape features such as amount deviation, velocity pressure, rare identity score, and rule-stack risk score.</w:t>
      </w:r>
    </w:p>
    <w:p>
      <w:pPr>
        <w:spacing w:before="0" w:after="60" w:line="240" w:lineRule="auto"/>
      </w:pPr>
      <w:r>
        <w:rPr>
          <w:rFonts w:ascii="Times New Roman" w:hAnsi="Times New Roman"/>
          <w:b w:val="0"/>
          <w:i w:val="0"/>
          <w:sz w:val="18"/>
        </w:rPr>
        <w:t>Numeric features are normalized with saved training statistics. External datasets and partner datasets must reuse the IEEE-CIS scaler during zero-shot evaluation. Re-fitting the scaler on a new dataset would hide domain shift and turn the test into a different experiment.</w:t>
      </w:r>
    </w:p>
    <w:p>
      <w:pPr>
        <w:spacing w:before="80" w:after="40" w:line="240" w:lineRule="auto"/>
        <w:jc w:val="center"/>
      </w:pPr>
      <w:r>
        <w:rPr>
          <w:rFonts w:ascii="Times New Roman" w:hAnsi="Times New Roman"/>
          <w:b/>
          <w:i w:val="0"/>
          <w:sz w:val="17"/>
        </w:rPr>
        <w:t>TABLE II. Feature Groups</w:t>
      </w:r>
    </w:p>
    <w:tbl>
      <w:tblPr>
        <w:tblStyle w:val="TableGrid"/>
        <w:tblW w:type="auto" w:w="0"/>
        <w:jc w:val="center"/>
        <w:tblLayout w:type="fixed"/>
        <w:tblLook w:firstColumn="1" w:firstRow="1" w:lastColumn="0" w:lastRow="0" w:noHBand="0" w:noVBand="1" w:val="04A0"/>
      </w:tblPr>
      <w:tblGrid>
        <w:gridCol w:w="5018"/>
        <w:gridCol w:w="5018"/>
      </w:tblGrid>
      <w:tr>
        <w:tc>
          <w:tcPr>
            <w:tcW w:type="dxa" w:w="1699"/>
            <w:vAlign w:val="center"/>
            <w:shd w:fill="EDEDED"/>
          </w:tcPr>
          <w:p>
            <w:pPr>
              <w:spacing w:after="0" w:line="240" w:lineRule="auto"/>
              <w:jc w:val="center"/>
            </w:pPr>
            <w:r/>
            <w:r>
              <w:rPr>
                <w:rFonts w:ascii="Times New Roman" w:hAnsi="Times New Roman"/>
                <w:b/>
                <w:sz w:val="14"/>
              </w:rPr>
              <w:t>Group</w:t>
            </w:r>
          </w:p>
        </w:tc>
        <w:tc>
          <w:tcPr>
            <w:tcW w:type="dxa" w:w="2909"/>
            <w:vAlign w:val="center"/>
            <w:shd w:fill="EDEDED"/>
          </w:tcPr>
          <w:p>
            <w:pPr>
              <w:spacing w:after="0" w:line="240" w:lineRule="auto"/>
              <w:jc w:val="center"/>
            </w:pPr>
            <w:r/>
            <w:r>
              <w:rPr>
                <w:rFonts w:ascii="Times New Roman" w:hAnsi="Times New Roman"/>
                <w:b/>
                <w:sz w:val="14"/>
              </w:rPr>
              <w:t>Purpose</w:t>
            </w:r>
          </w:p>
        </w:tc>
      </w:tr>
      <w:tr>
        <w:tc>
          <w:tcPr>
            <w:tcW w:type="dxa" w:w="5018"/>
            <w:vAlign w:val="center"/>
          </w:tcPr>
          <w:p>
            <w:pPr>
              <w:spacing w:after="0" w:line="240" w:lineRule="auto"/>
              <w:jc w:val="left"/>
            </w:pPr>
            <w:r/>
            <w:r>
              <w:rPr>
                <w:rFonts w:ascii="Times New Roman" w:hAnsi="Times New Roman"/>
                <w:b w:val="0"/>
                <w:sz w:val="14"/>
              </w:rPr>
              <w:t>Amount and volume</w:t>
            </w:r>
          </w:p>
        </w:tc>
        <w:tc>
          <w:tcPr>
            <w:tcW w:type="dxa" w:w="5018"/>
            <w:vAlign w:val="center"/>
          </w:tcPr>
          <w:p>
            <w:pPr>
              <w:spacing w:after="0" w:line="240" w:lineRule="auto"/>
              <w:jc w:val="center"/>
            </w:pPr>
            <w:r/>
            <w:r>
              <w:rPr>
                <w:rFonts w:ascii="Times New Roman" w:hAnsi="Times New Roman"/>
                <w:b w:val="0"/>
                <w:sz w:val="14"/>
              </w:rPr>
              <w:t>Transaction size, recent spending, amount pressure.</w:t>
            </w:r>
          </w:p>
        </w:tc>
      </w:tr>
      <w:tr>
        <w:tc>
          <w:tcPr>
            <w:tcW w:type="dxa" w:w="5018"/>
            <w:vAlign w:val="center"/>
          </w:tcPr>
          <w:p>
            <w:pPr>
              <w:spacing w:after="0" w:line="240" w:lineRule="auto"/>
              <w:jc w:val="left"/>
            </w:pPr>
            <w:r/>
            <w:r>
              <w:rPr>
                <w:rFonts w:ascii="Times New Roman" w:hAnsi="Times New Roman"/>
                <w:b w:val="0"/>
                <w:sz w:val="14"/>
              </w:rPr>
              <w:t>Time features</w:t>
            </w:r>
          </w:p>
        </w:tc>
        <w:tc>
          <w:tcPr>
            <w:tcW w:type="dxa" w:w="5018"/>
            <w:vAlign w:val="center"/>
          </w:tcPr>
          <w:p>
            <w:pPr>
              <w:spacing w:after="0" w:line="240" w:lineRule="auto"/>
              <w:jc w:val="center"/>
            </w:pPr>
            <w:r/>
            <w:r>
              <w:rPr>
                <w:rFonts w:ascii="Times New Roman" w:hAnsi="Times New Roman"/>
                <w:b w:val="0"/>
                <w:sz w:val="14"/>
              </w:rPr>
              <w:t>Hour, day, risky-hour flag, cyclic time behavior.</w:t>
            </w:r>
          </w:p>
        </w:tc>
      </w:tr>
      <w:tr>
        <w:tc>
          <w:tcPr>
            <w:tcW w:type="dxa" w:w="5018"/>
            <w:vAlign w:val="center"/>
          </w:tcPr>
          <w:p>
            <w:pPr>
              <w:spacing w:after="0" w:line="240" w:lineRule="auto"/>
              <w:jc w:val="left"/>
            </w:pPr>
            <w:r/>
            <w:r>
              <w:rPr>
                <w:rFonts w:ascii="Times New Roman" w:hAnsi="Times New Roman"/>
                <w:b w:val="0"/>
                <w:sz w:val="14"/>
              </w:rPr>
              <w:t>Identity and device</w:t>
            </w:r>
          </w:p>
        </w:tc>
        <w:tc>
          <w:tcPr>
            <w:tcW w:type="dxa" w:w="5018"/>
            <w:vAlign w:val="center"/>
          </w:tcPr>
          <w:p>
            <w:pPr>
              <w:spacing w:after="0" w:line="240" w:lineRule="auto"/>
              <w:jc w:val="center"/>
            </w:pPr>
            <w:r/>
            <w:r>
              <w:rPr>
                <w:rFonts w:ascii="Times New Roman" w:hAnsi="Times New Roman"/>
                <w:b w:val="0"/>
                <w:sz w:val="14"/>
              </w:rPr>
              <w:t>Card, email, address, device, and product signals.</w:t>
            </w:r>
          </w:p>
        </w:tc>
      </w:tr>
      <w:tr>
        <w:tc>
          <w:tcPr>
            <w:tcW w:type="dxa" w:w="5018"/>
            <w:vAlign w:val="center"/>
          </w:tcPr>
          <w:p>
            <w:pPr>
              <w:spacing w:after="0" w:line="240" w:lineRule="auto"/>
              <w:jc w:val="left"/>
            </w:pPr>
            <w:r/>
            <w:r>
              <w:rPr>
                <w:rFonts w:ascii="Times New Roman" w:hAnsi="Times New Roman"/>
                <w:b w:val="0"/>
                <w:sz w:val="14"/>
              </w:rPr>
              <w:t>Frequency encoding</w:t>
            </w:r>
          </w:p>
        </w:tc>
        <w:tc>
          <w:tcPr>
            <w:tcW w:type="dxa" w:w="5018"/>
            <w:vAlign w:val="center"/>
          </w:tcPr>
          <w:p>
            <w:pPr>
              <w:spacing w:after="0" w:line="240" w:lineRule="auto"/>
              <w:jc w:val="center"/>
            </w:pPr>
            <w:r/>
            <w:r>
              <w:rPr>
                <w:rFonts w:ascii="Times New Roman" w:hAnsi="Times New Roman"/>
                <w:b w:val="0"/>
                <w:sz w:val="14"/>
              </w:rPr>
              <w:t>Repeated identifiers without exposing raw strings.</w:t>
            </w:r>
          </w:p>
        </w:tc>
      </w:tr>
      <w:tr>
        <w:tc>
          <w:tcPr>
            <w:tcW w:type="dxa" w:w="5018"/>
            <w:vAlign w:val="center"/>
          </w:tcPr>
          <w:p>
            <w:pPr>
              <w:spacing w:after="0" w:line="240" w:lineRule="auto"/>
              <w:jc w:val="left"/>
            </w:pPr>
            <w:r/>
            <w:r>
              <w:rPr>
                <w:rFonts w:ascii="Times New Roman" w:hAnsi="Times New Roman"/>
                <w:b w:val="0"/>
                <w:sz w:val="14"/>
              </w:rPr>
              <w:t>Historical behavior</w:t>
            </w:r>
          </w:p>
        </w:tc>
        <w:tc>
          <w:tcPr>
            <w:tcW w:type="dxa" w:w="5018"/>
            <w:vAlign w:val="center"/>
          </w:tcPr>
          <w:p>
            <w:pPr>
              <w:spacing w:after="0" w:line="240" w:lineRule="auto"/>
              <w:jc w:val="center"/>
            </w:pPr>
            <w:r/>
            <w:r>
              <w:rPr>
                <w:rFonts w:ascii="Times New Roman" w:hAnsi="Times New Roman"/>
                <w:b w:val="0"/>
                <w:sz w:val="14"/>
              </w:rPr>
              <w:t>Backward-looking count, amount, fraud rate, and time-since-previous features.</w:t>
            </w:r>
          </w:p>
        </w:tc>
      </w:tr>
      <w:tr>
        <w:tc>
          <w:tcPr>
            <w:tcW w:type="dxa" w:w="5018"/>
            <w:vAlign w:val="center"/>
          </w:tcPr>
          <w:p>
            <w:pPr>
              <w:spacing w:after="0" w:line="240" w:lineRule="auto"/>
              <w:jc w:val="left"/>
            </w:pPr>
            <w:r/>
            <w:r>
              <w:rPr>
                <w:rFonts w:ascii="Times New Roman" w:hAnsi="Times New Roman"/>
                <w:b w:val="0"/>
                <w:sz w:val="14"/>
              </w:rPr>
              <w:t>Risk-shape features</w:t>
            </w:r>
          </w:p>
        </w:tc>
        <w:tc>
          <w:tcPr>
            <w:tcW w:type="dxa" w:w="5018"/>
            <w:vAlign w:val="center"/>
          </w:tcPr>
          <w:p>
            <w:pPr>
              <w:spacing w:after="0" w:line="240" w:lineRule="auto"/>
              <w:jc w:val="center"/>
            </w:pPr>
            <w:r/>
            <w:r>
              <w:rPr>
                <w:rFonts w:ascii="Times New Roman" w:hAnsi="Times New Roman"/>
                <w:b w:val="0"/>
                <w:sz w:val="14"/>
              </w:rPr>
              <w:t>Velocity, amount deviation, rare identity, and rule-stack behavior.</w:t>
            </w:r>
          </w:p>
        </w:tc>
      </w:tr>
    </w:tbl>
    <w:p>
      <w:pPr>
        <w:spacing w:before="0" w:after="20" w:line="240" w:lineRule="auto"/>
      </w:pPr>
      <w:r>
        <w:rPr>
          <w:rFonts w:ascii="Times New Roman" w:hAnsi="Times New Roman"/>
          <w:b w:val="0"/>
          <w:i w:val="0"/>
          <w:sz w:val="8"/>
        </w:rPr>
      </w:r>
    </w:p>
    <w:p>
      <w:pPr>
        <w:spacing w:before="160" w:after="80"/>
        <w:jc w:val="center"/>
      </w:pPr>
      <w:r>
        <w:rPr>
          <w:rFonts w:ascii="Times New Roman" w:hAnsi="Times New Roman"/>
          <w:b/>
          <w:sz w:val="20"/>
        </w:rPr>
        <w:t>VI. MODEL ARCHITECTURE</w:t>
      </w:r>
    </w:p>
    <w:p>
      <w:pPr>
        <w:spacing w:before="40" w:after="80"/>
        <w:jc w:val="center"/>
      </w:pPr>
      <w:r>
        <w:rPr>
          <w:rFonts w:ascii="Cambria Math" w:hAnsi="Cambria Math"/>
          <w:i/>
          <w:sz w:val="17"/>
        </w:rPr>
        <w:t>h_0 = W_0 x + b_0</w:t>
      </w:r>
    </w:p>
    <w:p>
      <w:pPr>
        <w:spacing w:before="40" w:after="80"/>
        <w:jc w:val="center"/>
      </w:pPr>
      <w:r>
        <w:rPr>
          <w:rFonts w:ascii="Cambria Math" w:hAnsi="Cambria Math"/>
          <w:i/>
          <w:sz w:val="17"/>
        </w:rPr>
        <w:t>h_{l+1} = h_l + f_l(LayerNorm(h_l))</w:t>
      </w:r>
    </w:p>
    <w:p>
      <w:pPr>
        <w:spacing w:before="40" w:after="80"/>
        <w:jc w:val="center"/>
      </w:pPr>
      <w:r>
        <w:rPr>
          <w:rFonts w:ascii="Cambria Math" w:hAnsi="Cambria Math"/>
          <w:i/>
          <w:sz w:val="17"/>
        </w:rPr>
        <w:t>p(y=1|x) = sigmoid(g(h_L))</w:t>
      </w:r>
    </w:p>
    <w:p>
      <w:pPr>
        <w:spacing w:before="0" w:after="60" w:line="240" w:lineRule="auto"/>
      </w:pPr>
      <w:r>
        <w:rPr>
          <w:rFonts w:ascii="Times New Roman" w:hAnsi="Times New Roman"/>
          <w:b w:val="0"/>
          <w:i w:val="0"/>
          <w:sz w:val="18"/>
        </w:rPr>
        <w:t>The model is a residual multilayer perceptron implemented in src/model/fraud_mlp.py. It uses 328 input features, hidden dimension 256, three residual blocks, and a LayerNorm/ReLU classification head.</w:t>
      </w:r>
    </w:p>
    <w:p>
      <w:pPr>
        <w:spacing w:before="0" w:after="60" w:line="240" w:lineRule="auto"/>
      </w:pPr>
      <w:r>
        <w:rPr>
          <w:rFonts w:ascii="Times New Roman" w:hAnsi="Times New Roman"/>
          <w:b w:val="0"/>
          <w:i w:val="0"/>
          <w:sz w:val="18"/>
        </w:rPr>
        <w:t>The 256-dimensional hidden layer is a practical compromise. It is wide enough to represent interactions between amount, time, identity, and history features, but small enough for repeated client-side training rounds on a local machine. Three residual blocks provide nonlinear depth without making federated updates unnecessarily large or unstable.</w:t>
      </w:r>
    </w:p>
    <w:p>
      <w:pPr>
        <w:spacing w:before="0" w:after="60" w:line="240" w:lineRule="auto"/>
      </w:pPr>
      <w:r>
        <w:rPr>
          <w:rFonts w:ascii="Times New Roman" w:hAnsi="Times New Roman"/>
          <w:b w:val="0"/>
          <w:i w:val="0"/>
          <w:sz w:val="18"/>
        </w:rPr>
        <w:t>LayerNorm is used instead of BatchNorm because client distributions are non-IID. BatchNorm running statistics averaged across clients can represent no real client and can make deployment behavior inconsistent.</w:t>
      </w:r>
    </w:p>
    <w:p>
      <w:pPr>
        <w:spacing w:before="160" w:after="80"/>
        <w:jc w:val="center"/>
      </w:pPr>
      <w:r>
        <w:rPr>
          <w:rFonts w:ascii="Times New Roman" w:hAnsi="Times New Roman"/>
          <w:b/>
          <w:sz w:val="20"/>
        </w:rPr>
        <w:t>VII. FEDERATED OPTIMIZATION ALGORITHM</w:t>
      </w:r>
    </w:p>
    <w:p>
      <w:pPr>
        <w:spacing w:before="100" w:after="40"/>
      </w:pPr>
      <w:r>
        <w:rPr>
          <w:rFonts w:ascii="Times New Roman" w:hAnsi="Times New Roman"/>
          <w:b/>
          <w:i/>
          <w:sz w:val="20"/>
        </w:rPr>
        <w:t>Client-side objective</w:t>
      </w:r>
    </w:p>
    <w:p>
      <w:pPr>
        <w:spacing w:before="40" w:after="80"/>
        <w:jc w:val="center"/>
      </w:pPr>
      <w:r>
        <w:rPr>
          <w:rFonts w:ascii="Cambria Math" w:hAnsi="Cambria Math"/>
          <w:i/>
          <w:sz w:val="17"/>
        </w:rPr>
        <w:t>L_focal = - alpha_t (1 - p_t)^gamma log(p_t)</w:t>
      </w:r>
    </w:p>
    <w:p>
      <w:pPr>
        <w:spacing w:before="40" w:after="80"/>
        <w:jc w:val="center"/>
      </w:pPr>
      <w:r>
        <w:rPr>
          <w:rFonts w:ascii="Cambria Math" w:hAnsi="Cambria Math"/>
          <w:i/>
          <w:sz w:val="17"/>
        </w:rPr>
        <w:t>L = (1 - lambda) L_focal + lambda L_bce + (mu/2)||theta - theta_r||_2^2</w:t>
      </w:r>
    </w:p>
    <w:p>
      <w:pPr>
        <w:spacing w:before="100" w:after="40"/>
      </w:pPr>
      <w:r>
        <w:rPr>
          <w:rFonts w:ascii="Times New Roman" w:hAnsi="Times New Roman"/>
          <w:b/>
          <w:i/>
          <w:sz w:val="20"/>
        </w:rPr>
        <w:t>Target-aware server aggregation</w:t>
      </w:r>
    </w:p>
    <w:p>
      <w:pPr>
        <w:spacing w:before="40" w:after="80"/>
        <w:jc w:val="center"/>
      </w:pPr>
      <w:r>
        <w:rPr>
          <w:rFonts w:ascii="Cambria Math" w:hAnsi="Cambria Math"/>
          <w:i/>
          <w:sz w:val="17"/>
        </w:rPr>
        <w:t>Target: AUPRC &gt;= 0.70, AUROC &gt;= 0.90, F1 &gt;= 0.70</w:t>
      </w:r>
    </w:p>
    <w:p>
      <w:pPr>
        <w:spacing w:before="40" w:after="80"/>
        <w:jc w:val="center"/>
      </w:pPr>
      <w:r>
        <w:rPr>
          <w:rFonts w:ascii="Cambria Math" w:hAnsi="Cambria Math"/>
          <w:i/>
          <w:sz w:val="17"/>
        </w:rPr>
        <w:t>s_i = 0.35 min(AUPRC_i/T_A,1) + 0.20 min(AUROC_i/T_R,1) + 0.45 min(F1_i/T_F,1)</w:t>
      </w:r>
    </w:p>
    <w:p>
      <w:pPr>
        <w:spacing w:before="40" w:after="80"/>
        <w:jc w:val="center"/>
      </w:pPr>
      <w:r>
        <w:rPr>
          <w:rFonts w:ascii="Cambria Math" w:hAnsi="Cambria Math"/>
          <w:i/>
          <w:sz w:val="17"/>
        </w:rPr>
        <w:t>alpha_i = q_i sqrt(n_i),    w_i = alpha_i / sum_j alpha_j</w:t>
      </w:r>
    </w:p>
    <w:p>
      <w:pPr>
        <w:spacing w:before="40" w:after="80"/>
        <w:jc w:val="center"/>
      </w:pPr>
      <w:r>
        <w:rPr>
          <w:rFonts w:ascii="Cambria Math" w:hAnsi="Cambria Math"/>
          <w:i/>
          <w:sz w:val="17"/>
        </w:rPr>
        <w:t>theta_weighted = sum_i w_i theta_i</w:t>
      </w:r>
    </w:p>
    <w:p>
      <w:pPr>
        <w:spacing w:before="40" w:after="80"/>
        <w:jc w:val="center"/>
      </w:pPr>
      <w:r>
        <w:rPr>
          <w:rFonts w:ascii="Cambria Math" w:hAnsi="Cambria Math"/>
          <w:i/>
          <w:sz w:val="17"/>
        </w:rPr>
        <w:t>theta_proposed = (1 - beta) theta_weighted + beta theta_robust</w:t>
      </w:r>
    </w:p>
    <w:p>
      <w:pPr>
        <w:spacing w:before="100" w:after="40"/>
      </w:pPr>
      <w:r>
        <w:rPr>
          <w:rFonts w:ascii="Times New Roman" w:hAnsi="Times New Roman"/>
          <w:b/>
          <w:i/>
          <w:sz w:val="20"/>
        </w:rPr>
        <w:t>Update stabilization</w:t>
      </w:r>
    </w:p>
    <w:p>
      <w:pPr>
        <w:spacing w:before="40" w:after="80"/>
        <w:jc w:val="center"/>
      </w:pPr>
      <w:r>
        <w:rPr>
          <w:rFonts w:ascii="Cambria Math" w:hAnsi="Cambria Math"/>
          <w:i/>
          <w:sz w:val="17"/>
        </w:rPr>
        <w:t>Delta'_r = Delta_r min(1, rho ||theta_r||_2 / (||Delta_r||_2 + epsilon))</w:t>
      </w:r>
    </w:p>
    <w:p>
      <w:pPr>
        <w:spacing w:before="40" w:after="80"/>
        <w:jc w:val="center"/>
      </w:pPr>
      <w:r>
        <w:rPr>
          <w:rFonts w:ascii="Cambria Math" w:hAnsi="Cambria Math"/>
          <w:i/>
          <w:sz w:val="17"/>
        </w:rPr>
        <w:t>theta_{r+1} = theta_r + eta_s Delta'_r</w:t>
      </w:r>
    </w:p>
    <w:p>
      <w:pPr>
        <w:spacing w:before="0" w:after="60" w:line="240" w:lineRule="auto"/>
      </w:pPr>
      <w:r>
        <w:rPr>
          <w:rFonts w:ascii="Times New Roman" w:hAnsi="Times New Roman"/>
          <w:b w:val="0"/>
          <w:i w:val="0"/>
          <w:sz w:val="18"/>
        </w:rPr>
        <w:t>Each selected client trains locally and returns model parameters plus validation metrics. The server computes a target progress score from AUPRC, AUROC, and F1, then uses the score and sample count to determine aggregation weights.</w:t>
      </w:r>
    </w:p>
    <w:p>
      <w:pPr>
        <w:spacing w:before="0" w:after="60" w:line="240" w:lineRule="auto"/>
      </w:pPr>
      <w:r>
        <w:rPr>
          <w:rFonts w:ascii="Times New Roman" w:hAnsi="Times New Roman"/>
          <w:b w:val="0"/>
          <w:i w:val="0"/>
          <w:sz w:val="18"/>
        </w:rPr>
        <w:t>For large client counts, the server blends weighted FedAvg with a robust coordinate statistic such as trimmed mean or coordinate median. It then stabilizes the aggregate update by clipping the update norm and applying a server learning rate. This is implemented in src/server/aggregation.py and used by src/server/strategy.py and scripts/run_virtual_federated.py.</w:t>
      </w:r>
    </w:p>
    <w:p>
      <w:pPr>
        <w:spacing w:before="0" w:after="60" w:line="240" w:lineRule="auto"/>
      </w:pPr>
      <w:r>
        <w:rPr>
          <w:rFonts w:ascii="Times New Roman" w:hAnsi="Times New Roman"/>
          <w:b w:val="0"/>
          <w:i w:val="0"/>
          <w:sz w:val="18"/>
        </w:rPr>
        <w:t>The adaptive schedule in src/server/training_schedule.py observes validation loss, AUPRC slope, F1 slope, and target score. It switches between warmup, learning, plateau, recovery, and refine phases. Recovery lowers learning rates, increases BCE stability, and increases FedProx strength when validation regresses.</w:t>
      </w:r>
    </w:p>
    <w:p>
      <w:pPr>
        <w:spacing w:before="160" w:after="80"/>
        <w:jc w:val="center"/>
      </w:pPr>
      <w:r>
        <w:rPr>
          <w:rFonts w:ascii="Times New Roman" w:hAnsi="Times New Roman"/>
          <w:b/>
          <w:sz w:val="20"/>
        </w:rPr>
        <w:t>VIII. FAULT TOLERANCE AND RECOVERY</w:t>
      </w:r>
    </w:p>
    <w:p>
      <w:pPr>
        <w:spacing w:before="40" w:after="80"/>
        <w:jc w:val="center"/>
      </w:pPr>
      <w:r>
        <w:rPr>
          <w:rFonts w:ascii="Cambria Math" w:hAnsi="Cambria Math"/>
          <w:i/>
          <w:sz w:val="17"/>
        </w:rPr>
        <w:t>r* = max { r | C_r exists and schema(C_r) = active schema }</w:t>
      </w:r>
    </w:p>
    <w:p>
      <w:pPr>
        <w:spacing w:before="40" w:after="80"/>
        <w:jc w:val="center"/>
      </w:pPr>
      <w:r>
        <w:rPr>
          <w:rFonts w:ascii="Cambria Math" w:hAnsi="Cambria Math"/>
          <w:i/>
          <w:sz w:val="17"/>
        </w:rPr>
        <w:t>phi(t) = -log10(1 - F(t - t_last))</w:t>
      </w:r>
    </w:p>
    <w:p>
      <w:pPr>
        <w:spacing w:before="0" w:after="60" w:line="240" w:lineRule="auto"/>
      </w:pPr>
      <w:r>
        <w:rPr>
          <w:rFonts w:ascii="Times New Roman" w:hAnsi="Times New Roman"/>
          <w:b w:val="0"/>
          <w:i w:val="0"/>
          <w:sz w:val="18"/>
        </w:rPr>
        <w:t>Fault tolerance is implemented through Flower round-level failure handling, aggregation over successful clients, per-round checkpointing, compatible-checkpoint resume, drift rollback utilities, and run-specific output folders.</w:t>
      </w:r>
    </w:p>
    <w:p>
      <w:pPr>
        <w:spacing w:before="0" w:after="60" w:line="240" w:lineRule="auto"/>
      </w:pPr>
      <w:r>
        <w:rPr>
          <w:rFonts w:ascii="Times New Roman" w:hAnsi="Times New Roman"/>
          <w:b w:val="0"/>
          <w:i w:val="0"/>
          <w:sz w:val="18"/>
        </w:rPr>
        <w:t>At each round, the server saves the round number, model parameters, and metadata. After a crash, it loads the latest checkpoint that matches the active schema. This prevents completed global state from being lost.</w:t>
      </w:r>
    </w:p>
    <w:p>
      <w:pPr>
        <w:spacing w:before="0" w:after="60" w:line="240" w:lineRule="auto"/>
      </w:pPr>
      <w:r>
        <w:rPr>
          <w:rFonts w:ascii="Times New Roman" w:hAnsi="Times New Roman"/>
          <w:b w:val="0"/>
          <w:i w:val="0"/>
          <w:sz w:val="18"/>
        </w:rPr>
        <w:t>The project includes a Phi Accrual failure detector utility in src/server/failure_detector.py. The detector does not return only alive or failed; it returns a suspicion score that grows when silence becomes unusual compared with recent heartbeat intervals. The current Flower runtime does not yet include live heartbeat membership, so this is a production extension point rather than a fully integrated membership service.</w:t>
      </w:r>
    </w:p>
    <w:p>
      <w:pPr>
        <w:spacing w:before="160" w:after="80"/>
        <w:jc w:val="center"/>
      </w:pPr>
      <w:r>
        <w:rPr>
          <w:rFonts w:ascii="Times New Roman" w:hAnsi="Times New Roman"/>
          <w:b/>
          <w:sz w:val="20"/>
        </w:rPr>
        <w:t>IX. IMPLEMENTATION DETAILS</w:t>
      </w:r>
    </w:p>
    <w:p>
      <w:pPr>
        <w:spacing w:before="0" w:after="60" w:line="240" w:lineRule="auto"/>
      </w:pPr>
      <w:r>
        <w:rPr>
          <w:rFonts w:ascii="Times New Roman" w:hAnsi="Times New Roman"/>
          <w:b w:val="0"/>
          <w:i w:val="0"/>
          <w:sz w:val="18"/>
        </w:rPr>
        <w:t>The implementation uses Python, PyTorch, Flower, NumPy, Pandas, FastAPI, and React. The latest local training path uses Flower SuperLink/SuperNode style runtime for process-based experiments. Local SuperLink defaults to in-memory runtime state to avoid repeated SQLite lock failures during rapid experiments.</w:t>
      </w:r>
    </w:p>
    <w:p>
      <w:pPr>
        <w:spacing w:before="0" w:after="60" w:line="240" w:lineRule="auto"/>
      </w:pPr>
      <w:r>
        <w:rPr>
          <w:rFonts w:ascii="Times New Roman" w:hAnsi="Times New Roman"/>
          <w:b w:val="0"/>
          <w:i w:val="0"/>
          <w:sz w:val="18"/>
        </w:rPr>
        <w:t>The project supports three training modes. The 3-client mode is the smallest reproducible baseline. The 10-client mode is the stronger local demonstration because it increases client count while preserving enough samples per client. The 100-client virtual mode keeps 100 client partitions but runs them inside one Python process, avoiding Windows page-file and DLL loading limits from launching 100 PyTorch processes.</w:t>
      </w:r>
    </w:p>
    <w:p>
      <w:pPr>
        <w:spacing w:before="0" w:after="60" w:line="240" w:lineRule="auto"/>
      </w:pPr>
      <w:r>
        <w:rPr>
          <w:rFonts w:ascii="Times New Roman" w:hAnsi="Times New Roman"/>
          <w:b w:val="0"/>
          <w:i w:val="0"/>
          <w:sz w:val="18"/>
        </w:rPr>
        <w:t>The FastAPI service selects the best compatible checkpoint for the configured run. The React GUI lets an operator score a transaction, compare reliable and suspicious examples, and inspect the decision threshold, selected model, USD amount, and currency conversion status. Currency conversion happens in the backend so the model input matches the training schema.</w:t>
      </w:r>
    </w:p>
    <w:p>
      <w:pPr>
        <w:spacing w:before="160" w:after="80"/>
        <w:jc w:val="center"/>
      </w:pPr>
      <w:r>
        <w:rPr>
          <w:rFonts w:ascii="Times New Roman" w:hAnsi="Times New Roman"/>
          <w:b/>
          <w:sz w:val="20"/>
        </w:rPr>
        <w:t>X. EVALUATION AND EXPERIMENTAL RESULTS</w:t>
      </w:r>
    </w:p>
    <w:p>
      <w:pPr>
        <w:spacing w:before="40" w:after="80"/>
        <w:jc w:val="center"/>
      </w:pPr>
      <w:r>
        <w:rPr>
          <w:rFonts w:ascii="Cambria Math" w:hAnsi="Cambria Math"/>
          <w:i/>
          <w:sz w:val="17"/>
        </w:rPr>
        <w:t>F1 = 2PR / (P + R)</w:t>
      </w:r>
    </w:p>
    <w:p>
      <w:pPr>
        <w:spacing w:before="40" w:after="80"/>
        <w:jc w:val="center"/>
      </w:pPr>
      <w:r>
        <w:rPr>
          <w:rFonts w:ascii="Cambria Math" w:hAnsi="Cambria Math"/>
          <w:i/>
          <w:sz w:val="17"/>
        </w:rPr>
        <w:t>AUPRC = sum_k (R_k - R_{k-1}) P_k</w:t>
      </w:r>
    </w:p>
    <w:p>
      <w:pPr>
        <w:spacing w:before="40" w:after="80"/>
        <w:jc w:val="center"/>
      </w:pPr>
      <w:r>
        <w:rPr>
          <w:rFonts w:ascii="Cambria Math" w:hAnsi="Cambria Math"/>
          <w:i/>
          <w:sz w:val="17"/>
        </w:rPr>
        <w:t>Target: AUPRC &gt;= 0.70, AUROC &gt;= 0.90, F1 &gt;= 0.70</w:t>
      </w:r>
    </w:p>
    <w:p>
      <w:pPr>
        <w:spacing w:before="0" w:after="60" w:line="240" w:lineRule="auto"/>
      </w:pPr>
      <w:r>
        <w:rPr>
          <w:rFonts w:ascii="Times New Roman" w:hAnsi="Times New Roman"/>
          <w:b w:val="0"/>
          <w:i w:val="0"/>
          <w:sz w:val="18"/>
        </w:rPr>
        <w:t>The primary metrics are AUPRC, AUROC, and F1. The deployment target is AUPRC &gt;= 0.70, AUROC &gt;= 0.90, and F1 &gt;= 0.70. AUPRC is emphasized because fraud is rare and the ranking quality of suspicious transactions matters more than raw accuracy.</w:t>
      </w:r>
    </w:p>
    <w:p>
      <w:pPr>
        <w:spacing w:before="0" w:after="60" w:line="240" w:lineRule="auto"/>
      </w:pPr>
      <w:r>
        <w:rPr>
          <w:rFonts w:ascii="Times New Roman" w:hAnsi="Times New Roman"/>
          <w:b w:val="0"/>
          <w:i w:val="0"/>
          <w:sz w:val="18"/>
        </w:rPr>
        <w:t>The IEEE-CIS baseline contains 590,540 transactions with an approximate fraud rate of 3.5 percent. A recent 10-client processed split contains 59,054 transactions per client, with fraud rates ranging from about 2.02 percent to 4.32 percent. This confirms that the temporal split is non-IID.</w:t>
      </w:r>
    </w:p>
    <w:p>
      <w:pPr>
        <w:spacing w:before="0" w:after="60" w:line="240" w:lineRule="auto"/>
      </w:pPr>
      <w:r>
        <w:rPr>
          <w:rFonts w:ascii="Times New Roman" w:hAnsi="Times New Roman"/>
          <w:b w:val="0"/>
          <w:i w:val="0"/>
          <w:sz w:val="18"/>
        </w:rPr>
        <w:t>The available 10-client training artifact reached the target at round 100 with AUPRC 0.7106, AUROC 0.9431, and F1 0.7025. A previous 100-client comparison reached target at the best round with AUPRC 0.7068, AUROC 0.9373, and F1 0.7248, but the latest round regressed to AUPRC 0.6688 and F1 0.6903. This shows why best-checkpoint selection, adaptive recovery, robust aggregation, and update stabilization are necessary.</w:t>
      </w:r>
    </w:p>
    <w:p>
      <w:pPr>
        <w:spacing w:before="0" w:after="60" w:line="240" w:lineRule="auto"/>
      </w:pPr>
      <w:r>
        <w:rPr>
          <w:rFonts w:ascii="Times New Roman" w:hAnsi="Times New Roman"/>
          <w:b w:val="0"/>
          <w:i w:val="0"/>
          <w:sz w:val="18"/>
        </w:rPr>
        <w:t>Scalability should be interpreted carefully. Splitting the same fixed dataset into more clients does not create more fraud behavior. Each client receives fewer fraud examples, so local validation becomes noisier. Operational scalability means stable rounds, broad client coverage, bounded regressions, and recoverable failures. Linear metric improvement requires more total data, preferably from real Vietnam banks, wallets, gateways, or merchants.</w:t>
      </w:r>
    </w:p>
    <w:p>
      <w:pPr>
        <w:spacing w:before="80" w:after="40" w:line="240" w:lineRule="auto"/>
        <w:jc w:val="center"/>
      </w:pPr>
      <w:r>
        <w:rPr>
          <w:rFonts w:ascii="Times New Roman" w:hAnsi="Times New Roman"/>
          <w:b/>
          <w:i w:val="0"/>
          <w:sz w:val="17"/>
        </w:rPr>
        <w:t>TABLE III. Available Training Artifacts</w:t>
      </w:r>
    </w:p>
    <w:tbl>
      <w:tblPr>
        <w:tblStyle w:val="TableGrid"/>
        <w:tblW w:type="auto" w:w="0"/>
        <w:jc w:val="center"/>
        <w:tblLayout w:type="fixed"/>
        <w:tblLook w:firstColumn="1" w:firstRow="1" w:lastColumn="0" w:lastRow="0" w:noHBand="0" w:noVBand="1" w:val="04A0"/>
      </w:tblPr>
      <w:tblGrid>
        <w:gridCol w:w="1673"/>
        <w:gridCol w:w="1673"/>
        <w:gridCol w:w="1673"/>
        <w:gridCol w:w="1673"/>
        <w:gridCol w:w="1673"/>
        <w:gridCol w:w="1673"/>
      </w:tblGrid>
      <w:tr>
        <w:tc>
          <w:tcPr>
            <w:tcW w:type="dxa" w:w="1325"/>
            <w:vAlign w:val="center"/>
            <w:shd w:fill="EDEDED"/>
          </w:tcPr>
          <w:p>
            <w:pPr>
              <w:spacing w:after="0" w:line="240" w:lineRule="auto"/>
              <w:jc w:val="center"/>
            </w:pPr>
            <w:r/>
            <w:r>
              <w:rPr>
                <w:rFonts w:ascii="Times New Roman" w:hAnsi="Times New Roman"/>
                <w:b/>
                <w:sz w:val="14"/>
              </w:rPr>
              <w:t>Run</w:t>
            </w:r>
          </w:p>
        </w:tc>
        <w:tc>
          <w:tcPr>
            <w:tcW w:type="dxa" w:w="547"/>
            <w:vAlign w:val="center"/>
            <w:shd w:fill="EDEDED"/>
          </w:tcPr>
          <w:p>
            <w:pPr>
              <w:spacing w:after="0" w:line="240" w:lineRule="auto"/>
              <w:jc w:val="center"/>
            </w:pPr>
            <w:r/>
            <w:r>
              <w:rPr>
                <w:rFonts w:ascii="Times New Roman" w:hAnsi="Times New Roman"/>
                <w:b/>
                <w:sz w:val="14"/>
              </w:rPr>
              <w:t>Round</w:t>
            </w:r>
          </w:p>
        </w:tc>
        <w:tc>
          <w:tcPr>
            <w:tcW w:type="dxa" w:w="662"/>
            <w:vAlign w:val="center"/>
            <w:shd w:fill="EDEDED"/>
          </w:tcPr>
          <w:p>
            <w:pPr>
              <w:spacing w:after="0" w:line="240" w:lineRule="auto"/>
              <w:jc w:val="center"/>
            </w:pPr>
            <w:r/>
            <w:r>
              <w:rPr>
                <w:rFonts w:ascii="Times New Roman" w:hAnsi="Times New Roman"/>
                <w:b/>
                <w:sz w:val="14"/>
              </w:rPr>
              <w:t>AUPRC</w:t>
            </w:r>
          </w:p>
        </w:tc>
        <w:tc>
          <w:tcPr>
            <w:tcW w:type="dxa" w:w="662"/>
            <w:vAlign w:val="center"/>
            <w:shd w:fill="EDEDED"/>
          </w:tcPr>
          <w:p>
            <w:pPr>
              <w:spacing w:after="0" w:line="240" w:lineRule="auto"/>
              <w:jc w:val="center"/>
            </w:pPr>
            <w:r/>
            <w:r>
              <w:rPr>
                <w:rFonts w:ascii="Times New Roman" w:hAnsi="Times New Roman"/>
                <w:b/>
                <w:sz w:val="14"/>
              </w:rPr>
              <w:t>AUROC</w:t>
            </w:r>
          </w:p>
        </w:tc>
        <w:tc>
          <w:tcPr>
            <w:tcW w:type="dxa" w:w="605"/>
            <w:vAlign w:val="center"/>
            <w:shd w:fill="EDEDED"/>
          </w:tcPr>
          <w:p>
            <w:pPr>
              <w:spacing w:after="0" w:line="240" w:lineRule="auto"/>
              <w:jc w:val="center"/>
            </w:pPr>
            <w:r/>
            <w:r>
              <w:rPr>
                <w:rFonts w:ascii="Times New Roman" w:hAnsi="Times New Roman"/>
                <w:b/>
                <w:sz w:val="14"/>
              </w:rPr>
              <w:t>F1</w:t>
            </w:r>
          </w:p>
        </w:tc>
        <w:tc>
          <w:tcPr>
            <w:tcW w:type="dxa" w:w="806"/>
            <w:vAlign w:val="center"/>
            <w:shd w:fill="EDEDED"/>
          </w:tcPr>
          <w:p>
            <w:pPr>
              <w:spacing w:after="0" w:line="240" w:lineRule="auto"/>
              <w:jc w:val="center"/>
            </w:pPr>
            <w:r/>
            <w:r>
              <w:rPr>
                <w:rFonts w:ascii="Times New Roman" w:hAnsi="Times New Roman"/>
                <w:b/>
                <w:sz w:val="14"/>
              </w:rPr>
              <w:t>Status</w:t>
            </w:r>
          </w:p>
        </w:tc>
      </w:tr>
      <w:tr>
        <w:tc>
          <w:tcPr>
            <w:tcW w:type="dxa" w:w="1673"/>
            <w:vAlign w:val="center"/>
          </w:tcPr>
          <w:p>
            <w:pPr>
              <w:spacing w:after="0" w:line="240" w:lineRule="auto"/>
              <w:jc w:val="left"/>
            </w:pPr>
            <w:r/>
            <w:r>
              <w:rPr>
                <w:rFonts w:ascii="Times New Roman" w:hAnsi="Times New Roman"/>
                <w:b w:val="0"/>
                <w:sz w:val="14"/>
              </w:rPr>
              <w:t>10 clients latest/best</w:t>
            </w:r>
          </w:p>
        </w:tc>
        <w:tc>
          <w:tcPr>
            <w:tcW w:type="dxa" w:w="1673"/>
            <w:vAlign w:val="center"/>
          </w:tcPr>
          <w:p>
            <w:pPr>
              <w:spacing w:after="0" w:line="240" w:lineRule="auto"/>
              <w:jc w:val="center"/>
            </w:pPr>
            <w:r/>
            <w:r>
              <w:rPr>
                <w:rFonts w:ascii="Times New Roman" w:hAnsi="Times New Roman"/>
                <w:b w:val="0"/>
                <w:sz w:val="14"/>
              </w:rPr>
              <w:t>100</w:t>
            </w:r>
          </w:p>
        </w:tc>
        <w:tc>
          <w:tcPr>
            <w:tcW w:type="dxa" w:w="1673"/>
            <w:vAlign w:val="center"/>
          </w:tcPr>
          <w:p>
            <w:pPr>
              <w:spacing w:after="0" w:line="240" w:lineRule="auto"/>
              <w:jc w:val="center"/>
            </w:pPr>
            <w:r/>
            <w:r>
              <w:rPr>
                <w:rFonts w:ascii="Times New Roman" w:hAnsi="Times New Roman"/>
                <w:b w:val="0"/>
                <w:sz w:val="14"/>
              </w:rPr>
              <w:t>0.7106</w:t>
            </w:r>
          </w:p>
        </w:tc>
        <w:tc>
          <w:tcPr>
            <w:tcW w:type="dxa" w:w="1673"/>
            <w:vAlign w:val="center"/>
          </w:tcPr>
          <w:p>
            <w:pPr>
              <w:spacing w:after="0" w:line="240" w:lineRule="auto"/>
              <w:jc w:val="center"/>
            </w:pPr>
            <w:r/>
            <w:r>
              <w:rPr>
                <w:rFonts w:ascii="Times New Roman" w:hAnsi="Times New Roman"/>
                <w:b w:val="0"/>
                <w:sz w:val="14"/>
              </w:rPr>
              <w:t>0.9431</w:t>
            </w:r>
          </w:p>
        </w:tc>
        <w:tc>
          <w:tcPr>
            <w:tcW w:type="dxa" w:w="1673"/>
            <w:vAlign w:val="center"/>
          </w:tcPr>
          <w:p>
            <w:pPr>
              <w:spacing w:after="0" w:line="240" w:lineRule="auto"/>
              <w:jc w:val="center"/>
            </w:pPr>
            <w:r/>
            <w:r>
              <w:rPr>
                <w:rFonts w:ascii="Times New Roman" w:hAnsi="Times New Roman"/>
                <w:b w:val="0"/>
                <w:sz w:val="14"/>
              </w:rPr>
              <w:t>0.7025</w:t>
            </w:r>
          </w:p>
        </w:tc>
        <w:tc>
          <w:tcPr>
            <w:tcW w:type="dxa" w:w="1673"/>
            <w:vAlign w:val="center"/>
          </w:tcPr>
          <w:p>
            <w:pPr>
              <w:spacing w:after="0" w:line="240" w:lineRule="auto"/>
              <w:jc w:val="center"/>
            </w:pPr>
            <w:r/>
            <w:r>
              <w:rPr>
                <w:rFonts w:ascii="Times New Roman" w:hAnsi="Times New Roman"/>
                <w:b w:val="0"/>
                <w:sz w:val="14"/>
              </w:rPr>
              <w:t>Meets target</w:t>
            </w:r>
          </w:p>
        </w:tc>
      </w:tr>
      <w:tr>
        <w:tc>
          <w:tcPr>
            <w:tcW w:type="dxa" w:w="1673"/>
            <w:vAlign w:val="center"/>
          </w:tcPr>
          <w:p>
            <w:pPr>
              <w:spacing w:after="0" w:line="240" w:lineRule="auto"/>
              <w:jc w:val="left"/>
            </w:pPr>
            <w:r/>
            <w:r>
              <w:rPr>
                <w:rFonts w:ascii="Times New Roman" w:hAnsi="Times New Roman"/>
                <w:b w:val="0"/>
                <w:sz w:val="14"/>
              </w:rPr>
              <w:t>100 clients best</w:t>
            </w:r>
          </w:p>
        </w:tc>
        <w:tc>
          <w:tcPr>
            <w:tcW w:type="dxa" w:w="1673"/>
            <w:vAlign w:val="center"/>
          </w:tcPr>
          <w:p>
            <w:pPr>
              <w:spacing w:after="0" w:line="240" w:lineRule="auto"/>
              <w:jc w:val="center"/>
            </w:pPr>
            <w:r/>
            <w:r>
              <w:rPr>
                <w:rFonts w:ascii="Times New Roman" w:hAnsi="Times New Roman"/>
                <w:b w:val="0"/>
                <w:sz w:val="14"/>
              </w:rPr>
              <w:t>44</w:t>
            </w:r>
          </w:p>
        </w:tc>
        <w:tc>
          <w:tcPr>
            <w:tcW w:type="dxa" w:w="1673"/>
            <w:vAlign w:val="center"/>
          </w:tcPr>
          <w:p>
            <w:pPr>
              <w:spacing w:after="0" w:line="240" w:lineRule="auto"/>
              <w:jc w:val="center"/>
            </w:pPr>
            <w:r/>
            <w:r>
              <w:rPr>
                <w:rFonts w:ascii="Times New Roman" w:hAnsi="Times New Roman"/>
                <w:b w:val="0"/>
                <w:sz w:val="14"/>
              </w:rPr>
              <w:t>0.7068</w:t>
            </w:r>
          </w:p>
        </w:tc>
        <w:tc>
          <w:tcPr>
            <w:tcW w:type="dxa" w:w="1673"/>
            <w:vAlign w:val="center"/>
          </w:tcPr>
          <w:p>
            <w:pPr>
              <w:spacing w:after="0" w:line="240" w:lineRule="auto"/>
              <w:jc w:val="center"/>
            </w:pPr>
            <w:r/>
            <w:r>
              <w:rPr>
                <w:rFonts w:ascii="Times New Roman" w:hAnsi="Times New Roman"/>
                <w:b w:val="0"/>
                <w:sz w:val="14"/>
              </w:rPr>
              <w:t>0.9373</w:t>
            </w:r>
          </w:p>
        </w:tc>
        <w:tc>
          <w:tcPr>
            <w:tcW w:type="dxa" w:w="1673"/>
            <w:vAlign w:val="center"/>
          </w:tcPr>
          <w:p>
            <w:pPr>
              <w:spacing w:after="0" w:line="240" w:lineRule="auto"/>
              <w:jc w:val="center"/>
            </w:pPr>
            <w:r/>
            <w:r>
              <w:rPr>
                <w:rFonts w:ascii="Times New Roman" w:hAnsi="Times New Roman"/>
                <w:b w:val="0"/>
                <w:sz w:val="14"/>
              </w:rPr>
              <w:t>0.7248</w:t>
            </w:r>
          </w:p>
        </w:tc>
        <w:tc>
          <w:tcPr>
            <w:tcW w:type="dxa" w:w="1673"/>
            <w:vAlign w:val="center"/>
          </w:tcPr>
          <w:p>
            <w:pPr>
              <w:spacing w:after="0" w:line="240" w:lineRule="auto"/>
              <w:jc w:val="center"/>
            </w:pPr>
            <w:r/>
            <w:r>
              <w:rPr>
                <w:rFonts w:ascii="Times New Roman" w:hAnsi="Times New Roman"/>
                <w:b w:val="0"/>
                <w:sz w:val="14"/>
              </w:rPr>
              <w:t>Meets target</w:t>
            </w:r>
          </w:p>
        </w:tc>
      </w:tr>
      <w:tr>
        <w:tc>
          <w:tcPr>
            <w:tcW w:type="dxa" w:w="1673"/>
            <w:vAlign w:val="center"/>
          </w:tcPr>
          <w:p>
            <w:pPr>
              <w:spacing w:after="0" w:line="240" w:lineRule="auto"/>
              <w:jc w:val="left"/>
            </w:pPr>
            <w:r/>
            <w:r>
              <w:rPr>
                <w:rFonts w:ascii="Times New Roman" w:hAnsi="Times New Roman"/>
                <w:b w:val="0"/>
                <w:sz w:val="14"/>
              </w:rPr>
              <w:t>100 clients latest</w:t>
            </w:r>
          </w:p>
        </w:tc>
        <w:tc>
          <w:tcPr>
            <w:tcW w:type="dxa" w:w="1673"/>
            <w:vAlign w:val="center"/>
          </w:tcPr>
          <w:p>
            <w:pPr>
              <w:spacing w:after="0" w:line="240" w:lineRule="auto"/>
              <w:jc w:val="center"/>
            </w:pPr>
            <w:r/>
            <w:r>
              <w:rPr>
                <w:rFonts w:ascii="Times New Roman" w:hAnsi="Times New Roman"/>
                <w:b w:val="0"/>
                <w:sz w:val="14"/>
              </w:rPr>
              <w:t>100</w:t>
            </w:r>
          </w:p>
        </w:tc>
        <w:tc>
          <w:tcPr>
            <w:tcW w:type="dxa" w:w="1673"/>
            <w:vAlign w:val="center"/>
          </w:tcPr>
          <w:p>
            <w:pPr>
              <w:spacing w:after="0" w:line="240" w:lineRule="auto"/>
              <w:jc w:val="center"/>
            </w:pPr>
            <w:r/>
            <w:r>
              <w:rPr>
                <w:rFonts w:ascii="Times New Roman" w:hAnsi="Times New Roman"/>
                <w:b w:val="0"/>
                <w:sz w:val="14"/>
              </w:rPr>
              <w:t>0.6688</w:t>
            </w:r>
          </w:p>
        </w:tc>
        <w:tc>
          <w:tcPr>
            <w:tcW w:type="dxa" w:w="1673"/>
            <w:vAlign w:val="center"/>
          </w:tcPr>
          <w:p>
            <w:pPr>
              <w:spacing w:after="0" w:line="240" w:lineRule="auto"/>
              <w:jc w:val="center"/>
            </w:pPr>
            <w:r/>
            <w:r>
              <w:rPr>
                <w:rFonts w:ascii="Times New Roman" w:hAnsi="Times New Roman"/>
                <w:b w:val="0"/>
                <w:sz w:val="14"/>
              </w:rPr>
              <w:t>n/a</w:t>
            </w:r>
          </w:p>
        </w:tc>
        <w:tc>
          <w:tcPr>
            <w:tcW w:type="dxa" w:w="1673"/>
            <w:vAlign w:val="center"/>
          </w:tcPr>
          <w:p>
            <w:pPr>
              <w:spacing w:after="0" w:line="240" w:lineRule="auto"/>
              <w:jc w:val="center"/>
            </w:pPr>
            <w:r/>
            <w:r>
              <w:rPr>
                <w:rFonts w:ascii="Times New Roman" w:hAnsi="Times New Roman"/>
                <w:b w:val="0"/>
                <w:sz w:val="14"/>
              </w:rPr>
              <w:t>0.6903</w:t>
            </w:r>
          </w:p>
        </w:tc>
        <w:tc>
          <w:tcPr>
            <w:tcW w:type="dxa" w:w="1673"/>
            <w:vAlign w:val="center"/>
          </w:tcPr>
          <w:p>
            <w:pPr>
              <w:spacing w:after="0" w:line="240" w:lineRule="auto"/>
              <w:jc w:val="center"/>
            </w:pPr>
            <w:r/>
            <w:r>
              <w:rPr>
                <w:rFonts w:ascii="Times New Roman" w:hAnsi="Times New Roman"/>
                <w:b w:val="0"/>
                <w:sz w:val="14"/>
              </w:rPr>
              <w:t>Regressed</w:t>
            </w:r>
          </w:p>
        </w:tc>
      </w:tr>
      <w:tr>
        <w:tc>
          <w:tcPr>
            <w:tcW w:type="dxa" w:w="1673"/>
            <w:vAlign w:val="center"/>
          </w:tcPr>
          <w:p>
            <w:pPr>
              <w:spacing w:after="0" w:line="240" w:lineRule="auto"/>
              <w:jc w:val="left"/>
            </w:pPr>
            <w:r/>
            <w:r>
              <w:rPr>
                <w:rFonts w:ascii="Times New Roman" w:hAnsi="Times New Roman"/>
                <w:b w:val="0"/>
                <w:sz w:val="14"/>
              </w:rPr>
              <w:t>Virtual smoke</w:t>
            </w:r>
          </w:p>
        </w:tc>
        <w:tc>
          <w:tcPr>
            <w:tcW w:type="dxa" w:w="1673"/>
            <w:vAlign w:val="center"/>
          </w:tcPr>
          <w:p>
            <w:pPr>
              <w:spacing w:after="0" w:line="240" w:lineRule="auto"/>
              <w:jc w:val="center"/>
            </w:pPr>
            <w:r/>
            <w:r>
              <w:rPr>
                <w:rFonts w:ascii="Times New Roman" w:hAnsi="Times New Roman"/>
                <w:b w:val="0"/>
                <w:sz w:val="14"/>
              </w:rPr>
              <w:t>1</w:t>
            </w:r>
          </w:p>
        </w:tc>
        <w:tc>
          <w:tcPr>
            <w:tcW w:type="dxa" w:w="1673"/>
            <w:vAlign w:val="center"/>
          </w:tcPr>
          <w:p>
            <w:pPr>
              <w:spacing w:after="0" w:line="240" w:lineRule="auto"/>
              <w:jc w:val="left"/>
            </w:pPr>
            <w:r/>
            <w:r>
              <w:rPr>
                <w:rFonts w:ascii="Times New Roman" w:hAnsi="Times New Roman"/>
                <w:b w:val="0"/>
                <w:sz w:val="14"/>
              </w:rPr>
              <w:t>0.4179</w:t>
            </w:r>
          </w:p>
        </w:tc>
        <w:tc>
          <w:tcPr>
            <w:tcW w:type="dxa" w:w="1673"/>
            <w:vAlign w:val="center"/>
          </w:tcPr>
          <w:p>
            <w:pPr>
              <w:spacing w:after="0" w:line="240" w:lineRule="auto"/>
              <w:jc w:val="left"/>
            </w:pPr>
            <w:r/>
            <w:r>
              <w:rPr>
                <w:rFonts w:ascii="Times New Roman" w:hAnsi="Times New Roman"/>
                <w:b w:val="0"/>
                <w:sz w:val="14"/>
              </w:rPr>
              <w:t>0.8954</w:t>
            </w:r>
          </w:p>
        </w:tc>
        <w:tc>
          <w:tcPr>
            <w:tcW w:type="dxa" w:w="1673"/>
            <w:vAlign w:val="center"/>
          </w:tcPr>
          <w:p>
            <w:pPr>
              <w:spacing w:after="0" w:line="240" w:lineRule="auto"/>
              <w:jc w:val="left"/>
            </w:pPr>
            <w:r/>
            <w:r>
              <w:rPr>
                <w:rFonts w:ascii="Times New Roman" w:hAnsi="Times New Roman"/>
                <w:b w:val="0"/>
                <w:sz w:val="14"/>
              </w:rPr>
              <w:t>0.4887</w:t>
            </w:r>
          </w:p>
        </w:tc>
        <w:tc>
          <w:tcPr>
            <w:tcW w:type="dxa" w:w="1673"/>
            <w:vAlign w:val="center"/>
          </w:tcPr>
          <w:p>
            <w:pPr>
              <w:spacing w:after="0" w:line="240" w:lineRule="auto"/>
              <w:jc w:val="center"/>
            </w:pPr>
            <w:r/>
            <w:r>
              <w:rPr>
                <w:rFonts w:ascii="Times New Roman" w:hAnsi="Times New Roman"/>
                <w:b w:val="0"/>
                <w:sz w:val="14"/>
              </w:rPr>
              <w:t>Smoke only</w:t>
            </w:r>
          </w:p>
        </w:tc>
      </w:tr>
    </w:tbl>
    <w:p>
      <w:pPr>
        <w:spacing w:before="0" w:after="20" w:line="240" w:lineRule="auto"/>
      </w:pPr>
      <w:r>
        <w:rPr>
          <w:rFonts w:ascii="Times New Roman" w:hAnsi="Times New Roman"/>
          <w:b w:val="0"/>
          <w:i w:val="0"/>
          <w:sz w:val="8"/>
        </w:rPr>
      </w:r>
    </w:p>
    <w:p>
      <w:pPr>
        <w:spacing w:before="160" w:after="80"/>
        <w:jc w:val="center"/>
      </w:pPr>
      <w:r>
        <w:rPr>
          <w:rFonts w:ascii="Times New Roman" w:hAnsi="Times New Roman"/>
          <w:b/>
          <w:sz w:val="20"/>
        </w:rPr>
        <w:t>XI. TEAMWORK</w:t>
      </w:r>
    </w:p>
    <w:p>
      <w:pPr>
        <w:spacing w:before="0" w:after="60" w:line="240" w:lineRule="auto"/>
      </w:pPr>
      <w:r>
        <w:rPr>
          <w:rFonts w:ascii="Times New Roman" w:hAnsi="Times New Roman"/>
          <w:b w:val="0"/>
          <w:i w:val="0"/>
          <w:sz w:val="18"/>
        </w:rPr>
        <w:t>The final member names should be updated before submission if the project has more than one member. The current workload split is written as roles so it can be adapted to the final team roster.</w:t>
      </w:r>
    </w:p>
    <w:p>
      <w:pPr>
        <w:spacing w:before="80" w:after="40" w:line="240" w:lineRule="auto"/>
        <w:jc w:val="center"/>
      </w:pPr>
      <w:r>
        <w:rPr>
          <w:rFonts w:ascii="Times New Roman" w:hAnsi="Times New Roman"/>
          <w:b/>
          <w:i w:val="0"/>
          <w:sz w:val="17"/>
        </w:rPr>
        <w:t>TABLE IV. Team Member Contributions</w:t>
      </w:r>
    </w:p>
    <w:tbl>
      <w:tblPr>
        <w:tblStyle w:val="TableGrid"/>
        <w:tblW w:type="auto" w:w="0"/>
        <w:jc w:val="center"/>
        <w:tblLayout w:type="fixed"/>
        <w:tblLook w:firstColumn="1" w:firstRow="1" w:lastColumn="0" w:lastRow="0" w:noHBand="0" w:noVBand="1" w:val="04A0"/>
      </w:tblPr>
      <w:tblGrid>
        <w:gridCol w:w="3345"/>
        <w:gridCol w:w="3345"/>
        <w:gridCol w:w="3345"/>
      </w:tblGrid>
      <w:tr>
        <w:tc>
          <w:tcPr>
            <w:tcW w:type="dxa" w:w="893"/>
            <w:vAlign w:val="center"/>
            <w:shd w:fill="EDEDED"/>
          </w:tcPr>
          <w:p>
            <w:pPr>
              <w:spacing w:after="0" w:line="240" w:lineRule="auto"/>
              <w:jc w:val="center"/>
            </w:pPr>
            <w:r/>
            <w:r>
              <w:rPr>
                <w:rFonts w:ascii="Times New Roman" w:hAnsi="Times New Roman"/>
                <w:b/>
                <w:sz w:val="14"/>
              </w:rPr>
              <w:t>Member</w:t>
            </w:r>
          </w:p>
        </w:tc>
        <w:tc>
          <w:tcPr>
            <w:tcW w:type="dxa" w:w="2952"/>
            <w:vAlign w:val="center"/>
            <w:shd w:fill="EDEDED"/>
          </w:tcPr>
          <w:p>
            <w:pPr>
              <w:spacing w:after="0" w:line="240" w:lineRule="auto"/>
              <w:jc w:val="center"/>
            </w:pPr>
            <w:r/>
            <w:r>
              <w:rPr>
                <w:rFonts w:ascii="Times New Roman" w:hAnsi="Times New Roman"/>
                <w:b/>
                <w:sz w:val="14"/>
              </w:rPr>
              <w:t>Contribution</w:t>
            </w:r>
          </w:p>
        </w:tc>
        <w:tc>
          <w:tcPr>
            <w:tcW w:type="dxa" w:w="763"/>
            <w:vAlign w:val="center"/>
            <w:shd w:fill="EDEDED"/>
          </w:tcPr>
          <w:p>
            <w:pPr>
              <w:spacing w:after="0" w:line="240" w:lineRule="auto"/>
              <w:jc w:val="center"/>
            </w:pPr>
            <w:r/>
            <w:r>
              <w:rPr>
                <w:rFonts w:ascii="Times New Roman" w:hAnsi="Times New Roman"/>
                <w:b/>
                <w:sz w:val="14"/>
              </w:rPr>
              <w:t>Workload</w:t>
            </w:r>
          </w:p>
        </w:tc>
      </w:tr>
      <w:tr>
        <w:tc>
          <w:tcPr>
            <w:tcW w:type="dxa" w:w="3345"/>
            <w:vAlign w:val="center"/>
          </w:tcPr>
          <w:p>
            <w:pPr>
              <w:spacing w:after="0" w:line="240" w:lineRule="auto"/>
              <w:jc w:val="left"/>
            </w:pPr>
            <w:r/>
            <w:r>
              <w:rPr>
                <w:rFonts w:ascii="Times New Roman" w:hAnsi="Times New Roman"/>
                <w:b w:val="0"/>
                <w:sz w:val="14"/>
              </w:rPr>
              <w:t>Member A</w:t>
            </w:r>
          </w:p>
        </w:tc>
        <w:tc>
          <w:tcPr>
            <w:tcW w:type="dxa" w:w="3345"/>
            <w:vAlign w:val="center"/>
          </w:tcPr>
          <w:p>
            <w:pPr>
              <w:spacing w:after="0" w:line="240" w:lineRule="auto"/>
              <w:jc w:val="left"/>
            </w:pPr>
            <w:r/>
            <w:r>
              <w:rPr>
                <w:rFonts w:ascii="Times New Roman" w:hAnsi="Times New Roman"/>
                <w:b w:val="0"/>
                <w:sz w:val="14"/>
              </w:rPr>
              <w:t>Federated server, target-aware robust aggregation, update stabilization, checkpoints, scalable runtime, fault-tolerance design, report writing.</w:t>
            </w:r>
          </w:p>
        </w:tc>
        <w:tc>
          <w:tcPr>
            <w:tcW w:type="dxa" w:w="3345"/>
            <w:vAlign w:val="center"/>
          </w:tcPr>
          <w:p>
            <w:pPr>
              <w:spacing w:after="0" w:line="240" w:lineRule="auto"/>
              <w:jc w:val="center"/>
            </w:pPr>
            <w:r/>
            <w:r>
              <w:rPr>
                <w:rFonts w:ascii="Times New Roman" w:hAnsi="Times New Roman"/>
                <w:b w:val="0"/>
                <w:sz w:val="14"/>
              </w:rPr>
              <w:t>55%</w:t>
            </w:r>
          </w:p>
        </w:tc>
      </w:tr>
      <w:tr>
        <w:tc>
          <w:tcPr>
            <w:tcW w:type="dxa" w:w="3345"/>
            <w:vAlign w:val="center"/>
          </w:tcPr>
          <w:p>
            <w:pPr>
              <w:spacing w:after="0" w:line="240" w:lineRule="auto"/>
              <w:jc w:val="left"/>
            </w:pPr>
            <w:r/>
            <w:r>
              <w:rPr>
                <w:rFonts w:ascii="Times New Roman" w:hAnsi="Times New Roman"/>
                <w:b w:val="0"/>
                <w:sz w:val="14"/>
              </w:rPr>
              <w:t>Member B</w:t>
            </w:r>
          </w:p>
        </w:tc>
        <w:tc>
          <w:tcPr>
            <w:tcW w:type="dxa" w:w="3345"/>
            <w:vAlign w:val="center"/>
          </w:tcPr>
          <w:p>
            <w:pPr>
              <w:spacing w:after="0" w:line="240" w:lineRule="auto"/>
              <w:jc w:val="left"/>
            </w:pPr>
            <w:r/>
            <w:r>
              <w:rPr>
                <w:rFonts w:ascii="Times New Roman" w:hAnsi="Times New Roman"/>
                <w:b w:val="0"/>
                <w:sz w:val="14"/>
              </w:rPr>
              <w:t>Data preprocessing support, GUI/API workflow, transaction examples, experiment execution, result collection, presentation/demo validation.</w:t>
            </w:r>
          </w:p>
        </w:tc>
        <w:tc>
          <w:tcPr>
            <w:tcW w:type="dxa" w:w="3345"/>
            <w:vAlign w:val="center"/>
          </w:tcPr>
          <w:p>
            <w:pPr>
              <w:spacing w:after="0" w:line="240" w:lineRule="auto"/>
              <w:jc w:val="center"/>
            </w:pPr>
            <w:r/>
            <w:r>
              <w:rPr>
                <w:rFonts w:ascii="Times New Roman" w:hAnsi="Times New Roman"/>
                <w:b w:val="0"/>
                <w:sz w:val="14"/>
              </w:rPr>
              <w:t>45%</w:t>
            </w:r>
          </w:p>
        </w:tc>
      </w:tr>
    </w:tbl>
    <w:p>
      <w:pPr>
        <w:spacing w:before="0" w:after="20" w:line="240" w:lineRule="auto"/>
      </w:pPr>
      <w:r>
        <w:rPr>
          <w:rFonts w:ascii="Times New Roman" w:hAnsi="Times New Roman"/>
          <w:b w:val="0"/>
          <w:i w:val="0"/>
          <w:sz w:val="8"/>
        </w:rPr>
      </w:r>
    </w:p>
    <w:p>
      <w:pPr>
        <w:spacing w:before="160" w:after="80"/>
        <w:jc w:val="center"/>
      </w:pPr>
      <w:r>
        <w:rPr>
          <w:rFonts w:ascii="Times New Roman" w:hAnsi="Times New Roman"/>
          <w:b/>
          <w:sz w:val="20"/>
        </w:rPr>
        <w:t>XII. DISCUSSION</w:t>
      </w:r>
    </w:p>
    <w:p>
      <w:pPr>
        <w:spacing w:before="0" w:after="60" w:line="240" w:lineRule="auto"/>
      </w:pPr>
      <w:r>
        <w:rPr>
          <w:rFonts w:ascii="Times New Roman" w:hAnsi="Times New Roman"/>
          <w:b w:val="0"/>
          <w:i w:val="0"/>
          <w:sz w:val="18"/>
        </w:rPr>
        <w:t>If the central server crashes, the system recovers by loading the latest schema-compatible checkpoint. This is checkpoint-based recovery: select the maximum round r for which checkpoint C_r exists and matches the active feature schema.</w:t>
      </w:r>
    </w:p>
    <w:p>
      <w:pPr>
        <w:spacing w:before="0" w:after="60" w:line="240" w:lineRule="auto"/>
      </w:pPr>
      <w:r>
        <w:rPr>
          <w:rFonts w:ascii="Times New Roman" w:hAnsi="Times New Roman"/>
          <w:b w:val="0"/>
          <w:i w:val="0"/>
          <w:sz w:val="18"/>
        </w:rPr>
        <w:t>If one client connection fails, the round can continue if enough other clients respond. The failed client's update is excluded, the failure is logged, and future scheduling can sample another available client. A production system should add live Phi Accrual or SWIM membership so failed clients are removed from scheduling faster.</w:t>
      </w:r>
    </w:p>
    <w:p>
      <w:pPr>
        <w:spacing w:before="0" w:after="60" w:line="240" w:lineRule="auto"/>
      </w:pPr>
      <w:r>
        <w:rPr>
          <w:rFonts w:ascii="Times New Roman" w:hAnsi="Times New Roman"/>
          <w:b w:val="0"/>
          <w:i w:val="0"/>
          <w:sz w:val="18"/>
        </w:rPr>
        <w:t>The current prototype verifies result shape, schema compatibility, metric consistency, and update reasonableness. Robust aggregation reduces the influence of outlier updates, but the system does not yet provide cryptographic proof, secure aggregation, or full Byzantine security. Those are production-level extensions.</w:t>
      </w:r>
    </w:p>
    <w:p>
      <w:pPr>
        <w:spacing w:before="160" w:after="80"/>
        <w:jc w:val="center"/>
      </w:pPr>
      <w:r>
        <w:rPr>
          <w:rFonts w:ascii="Times New Roman" w:hAnsi="Times New Roman"/>
          <w:b/>
          <w:sz w:val="20"/>
        </w:rPr>
        <w:t>XIII. LIMITATIONS AND FUTURE WORK</w:t>
      </w:r>
    </w:p>
    <w:p>
      <w:pPr>
        <w:spacing w:before="0" w:after="60" w:line="240" w:lineRule="auto"/>
      </w:pPr>
      <w:r>
        <w:rPr>
          <w:rFonts w:ascii="Times New Roman" w:hAnsi="Times New Roman"/>
          <w:b w:val="0"/>
          <w:i w:val="0"/>
          <w:sz w:val="18"/>
        </w:rPr>
        <w:t>The largest limitation is dataset realism. IEEE-CIS is a strong public baseline, but it is not Vietnam-specific. The synthetic Vietnam generator is useful for pipeline testing and demonstration, not for final accuracy claims.</w:t>
      </w:r>
    </w:p>
    <w:p>
      <w:pPr>
        <w:spacing w:before="0" w:after="60" w:line="240" w:lineRule="auto"/>
      </w:pPr>
      <w:r>
        <w:rPr>
          <w:rFonts w:ascii="Times New Roman" w:hAnsi="Times New Roman"/>
          <w:b w:val="0"/>
          <w:i w:val="0"/>
          <w:sz w:val="18"/>
        </w:rPr>
        <w:t>The next important step is an anonymized Vietnam partner dataset with transaction time, amount, fraud label, customer or account id, merchant id, device id, channel, province, and chargeback or review signal. This would allow the project to contribute more directly to Vietnam's banking and payment ecosystem.</w:t>
      </w:r>
    </w:p>
    <w:p>
      <w:pPr>
        <w:spacing w:before="0" w:after="60" w:line="240" w:lineRule="auto"/>
      </w:pPr>
      <w:r>
        <w:rPr>
          <w:rFonts w:ascii="Times New Roman" w:hAnsi="Times New Roman"/>
          <w:b w:val="0"/>
          <w:i w:val="0"/>
          <w:sz w:val="18"/>
        </w:rPr>
        <w:t>The second limitation is live fault detection. Phi Accrual is implemented as a utility, but live heartbeat membership is not yet integrated into Flower. Future work should add a membership service that tracks heartbeats, computes suspicion, removes suspected clients from scheduling, and allows recovered clients to rejoin.</w:t>
      </w:r>
    </w:p>
    <w:p>
      <w:pPr>
        <w:spacing w:before="0" w:after="60" w:line="240" w:lineRule="auto"/>
      </w:pPr>
      <w:r>
        <w:rPr>
          <w:rFonts w:ascii="Times New Roman" w:hAnsi="Times New Roman"/>
          <w:b w:val="0"/>
          <w:i w:val="0"/>
          <w:sz w:val="18"/>
        </w:rPr>
        <w:t>The third limitation is adversarial robustness. Robust blending reduces noisy updates, but it is not a complete defense against malicious clients. Future work should evaluate Krum, coordinate median, trimmed mean, signed updates, update-vector anomaly scoring, secure aggregation, and differential privacy.</w:t>
      </w:r>
    </w:p>
    <w:p>
      <w:pPr>
        <w:spacing w:before="160" w:after="80"/>
        <w:jc w:val="center"/>
      </w:pPr>
      <w:r>
        <w:rPr>
          <w:rFonts w:ascii="Times New Roman" w:hAnsi="Times New Roman"/>
          <w:b/>
          <w:sz w:val="20"/>
        </w:rPr>
        <w:t>XIV. CONCLUSION</w:t>
      </w:r>
    </w:p>
    <w:p>
      <w:pPr>
        <w:spacing w:before="0" w:after="60" w:line="240" w:lineRule="auto"/>
      </w:pPr>
      <w:r>
        <w:rPr>
          <w:rFonts w:ascii="Times New Roman" w:hAnsi="Times New Roman"/>
          <w:b w:val="0"/>
          <w:i w:val="0"/>
          <w:sz w:val="18"/>
        </w:rPr>
        <w:t>This project implements a federated fraud detection system with a practical training pipeline, explicit server aggregation algorithm, transaction-screening application, Vietnam-oriented data extension, checkpoint recovery, and a path toward 100-client scalability. The strongest current local artifact is the 10-client result that reaches AUPRC 0.7106, AUROC 0.9431, and F1 0.7025.</w:t>
      </w:r>
    </w:p>
    <w:p>
      <w:pPr>
        <w:spacing w:before="0" w:after="60" w:line="240" w:lineRule="auto"/>
      </w:pPr>
      <w:r>
        <w:rPr>
          <w:rFonts w:ascii="Times New Roman" w:hAnsi="Times New Roman"/>
          <w:b w:val="0"/>
          <w:i w:val="0"/>
          <w:sz w:val="18"/>
        </w:rPr>
        <w:t>The 100-client artifact shows why scalability is a real research problem: the best round can meet the target while later rounds regress. The final direction is clear: collect or partner for Vietnam transaction data, integrate live failure membership, strengthen aggregation security, and evaluate scalability with more total data rather than only more partitions.</w:t>
      </w:r>
    </w:p>
    <w:p>
      <w:pPr>
        <w:spacing w:before="160" w:after="80"/>
        <w:jc w:val="center"/>
      </w:pPr>
      <w:r>
        <w:rPr>
          <w:rFonts w:ascii="Times New Roman" w:hAnsi="Times New Roman"/>
          <w:b/>
          <w:sz w:val="20"/>
        </w:rPr>
        <w:t>REFERENCES</w:t>
      </w:r>
    </w:p>
    <w:p>
      <w:pPr>
        <w:spacing w:after="40"/>
        <w:ind w:left="259" w:hanging="259"/>
      </w:pPr>
      <w:r>
        <w:rPr>
          <w:rFonts w:ascii="Times New Roman" w:hAnsi="Times New Roman"/>
          <w:sz w:val="16"/>
        </w:rPr>
        <w:t>[1] H. B. McMahan et al., Communication-efficient learning of deep networks from decentralized data, AISTATS, 2017.</w:t>
      </w:r>
    </w:p>
    <w:p>
      <w:pPr>
        <w:spacing w:after="40"/>
        <w:ind w:left="259" w:hanging="259"/>
      </w:pPr>
      <w:r>
        <w:rPr>
          <w:rFonts w:ascii="Times New Roman" w:hAnsi="Times New Roman"/>
          <w:sz w:val="16"/>
        </w:rPr>
        <w:t>[2] Flower AI, Use a federated learning strategy, https://flower.ai/docs/framework/tutorial-series-use-a-federated-learning-strategy-pytorch.html.</w:t>
      </w:r>
    </w:p>
    <w:p>
      <w:pPr>
        <w:spacing w:after="40"/>
        <w:ind w:left="259" w:hanging="259"/>
      </w:pPr>
      <w:r>
        <w:rPr>
          <w:rFonts w:ascii="Times New Roman" w:hAnsi="Times New Roman"/>
          <w:sz w:val="16"/>
        </w:rPr>
        <w:t>[3] Flower AI, Flower Framework Documentation, https://flower.ai/docs/framework/index.html.</w:t>
      </w:r>
    </w:p>
    <w:p>
      <w:pPr>
        <w:spacing w:after="40"/>
        <w:ind w:left="259" w:hanging="259"/>
      </w:pPr>
      <w:r>
        <w:rPr>
          <w:rFonts w:ascii="Times New Roman" w:hAnsi="Times New Roman"/>
          <w:sz w:val="16"/>
        </w:rPr>
        <w:t>[4] J. Davis and M. Goadrich, The relationship between Precision-Recall and ROC curves, ICML, 2006.</w:t>
      </w:r>
    </w:p>
    <w:p>
      <w:pPr>
        <w:spacing w:after="40"/>
        <w:ind w:left="259" w:hanging="259"/>
      </w:pPr>
      <w:r>
        <w:rPr>
          <w:rFonts w:ascii="Times New Roman" w:hAnsi="Times New Roman"/>
          <w:sz w:val="16"/>
        </w:rPr>
        <w:t>[5] K. He et al., Deep residual learning for image recognition, CVPR, 2016.</w:t>
      </w:r>
    </w:p>
    <w:p>
      <w:pPr>
        <w:spacing w:after="40"/>
        <w:ind w:left="259" w:hanging="259"/>
      </w:pPr>
      <w:r>
        <w:rPr>
          <w:rFonts w:ascii="Times New Roman" w:hAnsi="Times New Roman"/>
          <w:sz w:val="16"/>
        </w:rPr>
        <w:t>[6] J. L. Ba, J. R. Kiros, and G. E. Hinton, Layer normalization, arXiv:1607.06450, 2016.</w:t>
      </w:r>
    </w:p>
    <w:p>
      <w:pPr>
        <w:spacing w:after="40"/>
        <w:ind w:left="259" w:hanging="259"/>
      </w:pPr>
      <w:r>
        <w:rPr>
          <w:rFonts w:ascii="Times New Roman" w:hAnsi="Times New Roman"/>
          <w:sz w:val="16"/>
        </w:rPr>
        <w:t>[7] N. Hayashibara et al., The Phi Accrual Failure Detector, SRDS, 2004.</w:t>
      </w:r>
    </w:p>
    <w:p>
      <w:pPr>
        <w:spacing w:after="40"/>
        <w:ind w:left="259" w:hanging="259"/>
      </w:pPr>
      <w:r>
        <w:rPr>
          <w:rFonts w:ascii="Times New Roman" w:hAnsi="Times New Roman"/>
          <w:sz w:val="16"/>
        </w:rPr>
        <w:t>[8] A. Das, I. Gupta, and A. Motivala, SWIM: scalable weakly-consistent infection-style process group membership protocol, DSN, 2002.</w:t>
      </w:r>
    </w:p>
    <w:p>
      <w:pPr>
        <w:spacing w:after="40"/>
        <w:ind w:left="259" w:hanging="259"/>
      </w:pPr>
      <w:r>
        <w:rPr>
          <w:rFonts w:ascii="Times New Roman" w:hAnsi="Times New Roman"/>
          <w:sz w:val="16"/>
        </w:rPr>
        <w:t>[9] P. Blanchard et al., Machine learning with adversaries: Byzantine tolerant gradient descent, NeurIPS, 2017.</w:t>
      </w:r>
    </w:p>
    <w:p>
      <w:pPr>
        <w:spacing w:after="40"/>
        <w:ind w:left="259" w:hanging="259"/>
      </w:pPr>
      <w:r>
        <w:rPr>
          <w:rFonts w:ascii="Times New Roman" w:hAnsi="Times New Roman"/>
          <w:sz w:val="16"/>
        </w:rPr>
        <w:t>[10] D. Yin et al., Byzantine-robust distributed learning: Towards optimal statistical rates, ICML, 2018.</w:t>
      </w:r>
    </w:p>
    <w:p>
      <w:pPr>
        <w:spacing w:after="40"/>
        <w:ind w:left="259" w:hanging="259"/>
      </w:pPr>
      <w:r>
        <w:rPr>
          <w:rFonts w:ascii="Times New Roman" w:hAnsi="Times New Roman"/>
          <w:sz w:val="16"/>
        </w:rPr>
        <w:t>[11] D. Micci-Barreca, A preprocessing scheme for high-cardinality categorical attributes, SIGKDD Explorations, 2001.</w:t>
      </w:r>
    </w:p>
    <w:p>
      <w:pPr>
        <w:spacing w:after="40"/>
        <w:ind w:left="259" w:hanging="259"/>
      </w:pPr>
      <w:r>
        <w:rPr>
          <w:rFonts w:ascii="Times New Roman" w:hAnsi="Times New Roman"/>
          <w:sz w:val="16"/>
        </w:rPr>
        <w:t>[12] IEEE-CIS Fraud Detection, Kaggle, https://www.kaggle.com/competitions/ieee-fraud-detection.</w:t>
      </w:r>
    </w:p>
    <w:p>
      <w:pPr>
        <w:spacing w:after="40"/>
        <w:ind w:left="259" w:hanging="259"/>
      </w:pPr>
      <w:r>
        <w:rPr>
          <w:rFonts w:ascii="Times New Roman" w:hAnsi="Times New Roman"/>
          <w:sz w:val="16"/>
        </w:rPr>
        <w:t>[13] MoMo Developers documentation, https://developers.momo.vn/v3/.</w:t>
      </w:r>
    </w:p>
    <w:p>
      <w:pPr>
        <w:spacing w:after="40"/>
        <w:ind w:left="259" w:hanging="259"/>
      </w:pPr>
      <w:r>
        <w:rPr>
          <w:rFonts w:ascii="Times New Roman" w:hAnsi="Times New Roman"/>
          <w:sz w:val="16"/>
        </w:rPr>
        <w:t>[14] VNPAY Sandbox payment API documentation, https://sandbox.vnpayment.vn/apis/docs/.</w:t>
      </w:r>
    </w:p>
    <w:p>
      <w:pPr>
        <w:spacing w:after="40"/>
        <w:ind w:left="259" w:hanging="259"/>
      </w:pPr>
      <w:r>
        <w:rPr>
          <w:rFonts w:ascii="Times New Roman" w:hAnsi="Times New Roman"/>
          <w:sz w:val="16"/>
        </w:rPr>
        <w:t>[15] NAPAS, National Payment Corporation of Vietnam, https://en.napas.com.vn/.</w:t>
      </w:r>
    </w:p>
    <w:sectPr w:rsidR="00FC693F" w:rsidRPr="0006063C" w:rsidSect="00034616">
      <w:footerReference w:type="default" r:id="rId10"/>
      <w:type w:val="continuous"/>
      <w:pgSz w:w="11906" w:h="16838"/>
      <w:pgMar w:top="1077" w:right="935" w:bottom="1077" w:left="935" w:header="567" w:footer="567"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Federated Fraud Detection with Scalable Aggregation, Vietnam-Oriented Data Extension, and Fault-Tolerant Recovery</dc:title>
  <dc:subject/>
  <dc:creator>Ngoc Bui</dc:creator>
  <cp:keywords/>
  <dc:description>generated by python-docx</dc:description>
  <cp:lastModifiedBy/>
  <cp:revision>1</cp:revision>
  <dcterms:created xsi:type="dcterms:W3CDTF">2013-12-23T23:15:00Z</dcterms:created>
  <dcterms:modified xsi:type="dcterms:W3CDTF">2013-12-23T23:15:00Z</dcterms:modified>
  <cp:category/>
</cp:coreProperties>
</file>