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Группировка моделей по одинаковому названию data файла</w:t>
      </w:r>
    </w:p>
    <w:p>
      <w:r>
        <w:t>Описание: Модели сгруппированы по названию. В одной группе модели с одним data файлом. Есть возможность раскрыть группу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 xml:space="preserve">Перейти в реестр моделей </w:t>
            </w:r>
          </w:p>
        </w:tc>
        <w:tc>
          <w:tcPr>
            <w:tcW w:type="dxa" w:w="2880"/>
          </w:tcPr>
          <w:p>
            <w:r>
              <w:t xml:space="preserve">Отображается таблица созданных групп моделей, около названия data файла каждой группы значок разворота.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Нажать на значок разоворота</w:t>
            </w:r>
          </w:p>
        </w:tc>
        <w:tc>
          <w:tcPr>
            <w:tcW w:type="dxa" w:w="2880"/>
          </w:tcPr>
          <w:p>
            <w:r>
              <w:t>Снизу открывается дополнительный список моделей с таким же названием data файла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