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3D5A80"/>
          <w:sz w:val="40"/>
          <w:szCs w:val="40"/>
        </w:rPr>
        <w:t xml:space="preserve">COMMUNITY ECOLOGY</w:t>
      </w:r>
    </w:p>
    <w:p>
      <w:pPr>
        <w:spacing w:after="60"/>
        <w:jc w:val="center"/>
      </w:pPr>
      <w:r>
        <w:rPr>
          <w:sz w:val="21"/>
          <w:szCs w:val="21"/>
        </w:rPr>
        <w:t xml:space="preserve">BIOL 4XX · 3 Credit Hours · Fall Semester 202X</w:t>
      </w:r>
    </w:p>
    <w:p>
      <w:pPr>
        <w:spacing w:after="40"/>
        <w:jc w:val="center"/>
      </w:pPr>
      <w:r>
        <w:rPr>
          <w:i/>
          <w:iCs/>
          <w:sz w:val="20"/>
          <w:szCs w:val="20"/>
        </w:rPr>
        <w:t xml:space="preserve">Lecture: MWF 10:00–10:50 AM · Room: [—]</w:t>
      </w:r>
    </w:p>
    <w:p>
      <w:pPr>
        <w:spacing w:after="40"/>
        <w:jc w:val="center"/>
      </w:pPr>
      <w:r>
        <w:rPr>
          <w:i/>
          <w:iCs/>
          <w:sz w:val="20"/>
          <w:szCs w:val="20"/>
        </w:rPr>
        <w:t xml:space="preserve">Instructor: [—] · Office: [—] · Email: [—]</w:t>
      </w:r>
    </w:p>
    <w:p>
      <w:pPr>
        <w:spacing w:after="200"/>
        <w:jc w:val="center"/>
      </w:pPr>
      <w:r>
        <w:rPr>
          <w:i/>
          <w:iCs/>
          <w:sz w:val="20"/>
          <w:szCs w:val="20"/>
        </w:rPr>
        <w:t xml:space="preserve">Office Hours: [—] · Canvas: [—]</w:t>
      </w:r>
    </w:p>
    <w:p>
      <w:pPr>
        <w:pBdr>
          <w:bottom w:val="single" w:color="999999" w:sz="6" w:space="4"/>
        </w:pBdr>
        <w:spacing w:after="200"/>
      </w:pPr>
    </w:p>
    <w:p>
      <w:pPr>
        <w:pStyle w:val="Heading1"/>
        <w:spacing w:after="150" w:before="300"/>
      </w:pPr>
      <w:r>
        <w:rPr>
          <w:b/>
          <w:bCs/>
          <w:color w:val="3D5A80"/>
          <w:sz w:val="26"/>
          <w:szCs w:val="26"/>
        </w:rPr>
        <w:t xml:space="preserve">1. Course Description</w:t>
      </w:r>
    </w:p>
    <w:p>
      <w:pPr>
        <w:spacing w:after="150"/>
      </w:pPr>
      <w:r>
        <w:rPr>
          <w:sz w:val="21"/>
          <w:szCs w:val="21"/>
        </w:rPr>
        <w:t xml:space="preserve">This course examines how and why species co-occur, interact, and combine to form ecological communities. Using Mittelbach &amp; McGill's Community Ecology (2nd ed., 2019) as the primary text, the course moves from large-scale patterns of biological diversity, through the "nitty-gritty" of pairwise species interactions (predation, competition, coexistence, mutualism), to how those interactions combine into networks, food webs, and assembled communities, and finally to how communities are structured across space (metacommunities) and through evolutionary time. Quantitative models — Lotka–Volterra competition and predation, modern coexistence theory, neutral theory, and network analysis — are developed alongside the classic and contemporary empirical studies that test them. Building on the population-level foundation established in Principles of Ecology and Population Ecology, this course emphasizes the transition from single- and two-species dynamics to whole-community patterns and processes, with applications to restoration, invasive species, and climate change. The course consists of 45 lectures organized into five thematic parts, with two in-semester exams and a comprehensive final.</w:t>
      </w:r>
    </w:p>
    <w:p>
      <w:pPr>
        <w:pStyle w:val="Heading1"/>
        <w:spacing w:after="150" w:before="300"/>
      </w:pPr>
      <w:r>
        <w:rPr>
          <w:b/>
          <w:bCs/>
          <w:color w:val="3D5A80"/>
          <w:sz w:val="26"/>
          <w:szCs w:val="26"/>
        </w:rPr>
        <w:t xml:space="preserve">2. Prerequisites</w:t>
      </w:r>
    </w:p>
    <w:p>
      <w:pPr>
        <w:spacing w:after="150"/>
      </w:pPr>
      <w:r>
        <w:rPr>
          <w:sz w:val="21"/>
          <w:szCs w:val="21"/>
        </w:rPr>
        <w:t xml:space="preserve">Principles of Ecology (BIOL 3XX) with a grade of C or better, required. Population Ecology (BIOL 4XX) is strongly recommended, as this course builds directly on density-dependent growth, Lotka–Volterra competition and predation models, and metapopulation theory covered there. Students without prerequisites must obtain instructor consent before enrolling.</w:t>
      </w:r>
    </w:p>
    <w:p>
      <w:pPr>
        <w:pStyle w:val="Heading1"/>
        <w:spacing w:after="150" w:before="300"/>
      </w:pPr>
      <w:r>
        <w:rPr>
          <w:b/>
          <w:bCs/>
          <w:color w:val="3D5A80"/>
          <w:sz w:val="26"/>
          <w:szCs w:val="26"/>
        </w:rPr>
        <w:t xml:space="preserve">3. Student Learning Outcomes</w:t>
      </w:r>
    </w:p>
    <w:p>
      <w:pPr>
        <w:spacing w:after="150"/>
      </w:pPr>
      <w:r>
        <w:rPr>
          <w:sz w:val="21"/>
          <w:szCs w:val="21"/>
        </w:rPr>
        <w:t xml:space="preserve">Upon successful completion, students will be able to:</w:t>
      </w:r>
    </w:p>
    <w:p>
      <w:pPr>
        <w:pStyle w:val="ListParagraph"/>
        <w:numPr>
          <w:ilvl w:val="0"/>
          <w:numId w:val="2"/>
        </w:numPr>
        <w:spacing w:after="90"/>
      </w:pPr>
      <w:r>
        <w:rPr>
          <w:sz w:val="21"/>
          <w:szCs w:val="21"/>
        </w:rPr>
        <w:t xml:space="preserve">Quantify and compare patterns of biological diversity (richness, evenness, alpha/beta/gamma diversity) and evaluate competing explanations for the latitudinal diversity gradient and species–area relationships.</w:t>
      </w:r>
    </w:p>
    <w:p>
      <w:pPr>
        <w:pStyle w:val="ListParagraph"/>
        <w:numPr>
          <w:ilvl w:val="0"/>
          <w:numId w:val="2"/>
        </w:numPr>
        <w:spacing w:after="90"/>
      </w:pPr>
      <w:r>
        <w:rPr>
          <w:sz w:val="21"/>
          <w:szCs w:val="21"/>
        </w:rPr>
        <w:t xml:space="preserve">Explain the biodiversity–ecosystem functioning relationship and distinguish complementarity from selection-effect mechanisms.</w:t>
      </w:r>
    </w:p>
    <w:p>
      <w:pPr>
        <w:pStyle w:val="ListParagraph"/>
        <w:numPr>
          <w:ilvl w:val="0"/>
          <w:numId w:val="2"/>
        </w:numPr>
        <w:spacing w:after="90"/>
      </w:pPr>
      <w:r>
        <w:rPr>
          <w:sz w:val="21"/>
          <w:szCs w:val="21"/>
        </w:rPr>
        <w:t xml:space="preserve">Apply predator–prey, competition, and mutualism/facilitation models to two-species interaction modules and interpret their equilibria, stability, and empirical support.</w:t>
      </w:r>
    </w:p>
    <w:p>
      <w:pPr>
        <w:pStyle w:val="ListParagraph"/>
        <w:numPr>
          <w:ilvl w:val="0"/>
          <w:numId w:val="2"/>
        </w:numPr>
        <w:spacing w:after="90"/>
      </w:pPr>
      <w:r>
        <w:rPr>
          <w:sz w:val="21"/>
          <w:szCs w:val="21"/>
        </w:rPr>
        <w:t xml:space="preserve">Compare niche-based, modern coexistence, and neutral-theory explanations for species coexistence and community diversity.</w:t>
      </w:r>
    </w:p>
    <w:p>
      <w:pPr>
        <w:pStyle w:val="ListParagraph"/>
        <w:numPr>
          <w:ilvl w:val="0"/>
          <w:numId w:val="2"/>
        </w:numPr>
        <w:spacing w:after="90"/>
      </w:pPr>
      <w:r>
        <w:rPr>
          <w:sz w:val="21"/>
          <w:szCs w:val="21"/>
        </w:rPr>
        <w:t xml:space="preserve">Analyze ecological networks and food webs, including network structure metrics, trophic cascades, and the role of weak interactions in community stability.</w:t>
      </w:r>
    </w:p>
    <w:p>
      <w:pPr>
        <w:pStyle w:val="ListParagraph"/>
        <w:numPr>
          <w:ilvl w:val="0"/>
          <w:numId w:val="2"/>
        </w:numPr>
        <w:spacing w:after="90"/>
      </w:pPr>
      <w:r>
        <w:rPr>
          <w:sz w:val="21"/>
          <w:szCs w:val="21"/>
        </w:rPr>
        <w:t xml:space="preserve">Apply trait-based and null-model approaches to questions of community assembly, priority effects, and functional diversity.</w:t>
      </w:r>
    </w:p>
    <w:p>
      <w:pPr>
        <w:pStyle w:val="ListParagraph"/>
        <w:numPr>
          <w:ilvl w:val="0"/>
          <w:numId w:val="2"/>
        </w:numPr>
        <w:spacing w:after="90"/>
      </w:pPr>
      <w:r>
        <w:rPr>
          <w:sz w:val="21"/>
          <w:szCs w:val="21"/>
        </w:rPr>
        <w:t xml:space="preserve">Evaluate metacommunity theory and spatial coexistence mechanisms, and interpret variance-partitioning analyses of real landscapes.</w:t>
      </w:r>
    </w:p>
    <w:p>
      <w:pPr>
        <w:pStyle w:val="ListParagraph"/>
        <w:numPr>
          <w:ilvl w:val="0"/>
          <w:numId w:val="2"/>
        </w:numPr>
        <w:spacing w:after="90"/>
      </w:pPr>
      <w:r>
        <w:rPr>
          <w:sz w:val="21"/>
          <w:szCs w:val="21"/>
        </w:rPr>
        <w:t xml:space="preserve">Connect community ecology theory to applied problems in restoration, invasive species management, and climate-driven community reassembly.</w:t>
      </w:r>
    </w:p>
    <w:p>
      <w:pPr>
        <w:pStyle w:val="Heading1"/>
        <w:spacing w:after="150" w:before="300"/>
      </w:pPr>
      <w:r>
        <w:rPr>
          <w:b/>
          <w:bCs/>
          <w:color w:val="3D5A80"/>
          <w:sz w:val="26"/>
          <w:szCs w:val="26"/>
        </w:rPr>
        <w:t xml:space="preserve">4. Required Materials</w:t>
      </w:r>
    </w:p>
    <w:p>
      <w:pPr>
        <w:spacing w:after="150"/>
      </w:pPr>
      <w:r>
        <w:rPr>
          <w:b/>
          <w:bCs/>
          <w:sz w:val="21"/>
          <w:szCs w:val="21"/>
        </w:rPr>
        <w:t xml:space="preserve">Textbook (required):</w:t>
      </w:r>
    </w:p>
    <w:p>
      <w:pPr>
        <w:pStyle w:val="ListParagraph"/>
        <w:numPr>
          <w:ilvl w:val="0"/>
          <w:numId w:val="2"/>
        </w:numPr>
        <w:spacing w:after="90"/>
      </w:pPr>
      <w:r>
        <w:rPr>
          <w:sz w:val="21"/>
          <w:szCs w:val="21"/>
        </w:rPr>
        <w:t xml:space="preserve">Mittelbach, G. G. &amp; McGill, B. J. (2019). Community Ecology (2nd ed., 17 chapters). Oxford University Press. ISBN 978-0-19-883586-8 (paperback) / 978-0-19-883585-1 (hardback).</w:t>
      </w:r>
    </w:p>
    <w:p>
      <w:pPr>
        <w:spacing w:after="150"/>
      </w:pPr>
      <w:r>
        <w:rPr>
          <w:b/>
          <w:bCs/>
          <w:sz w:val="21"/>
          <w:szCs w:val="21"/>
        </w:rPr>
        <w:t xml:space="preserve">Recommended supplements:</w:t>
      </w:r>
    </w:p>
    <w:p>
      <w:pPr>
        <w:pStyle w:val="ListParagraph"/>
        <w:numPr>
          <w:ilvl w:val="0"/>
          <w:numId w:val="2"/>
        </w:numPr>
        <w:spacing w:after="90"/>
      </w:pPr>
      <w:r>
        <w:rPr>
          <w:sz w:val="21"/>
          <w:szCs w:val="21"/>
        </w:rPr>
        <w:t xml:space="preserve">Companion website (communityecologybook.org) — supplementary models, datasets, and errata by chapter.</w:t>
      </w:r>
    </w:p>
    <w:p>
      <w:pPr>
        <w:pStyle w:val="ListParagraph"/>
        <w:numPr>
          <w:ilvl w:val="0"/>
          <w:numId w:val="2"/>
        </w:numPr>
        <w:spacing w:after="90"/>
      </w:pPr>
      <w:r>
        <w:rPr>
          <w:sz w:val="21"/>
          <w:szCs w:val="21"/>
        </w:rPr>
        <w:t xml:space="preserve">R statistical software (free; r-project.org) — for problem sets involving diversity indices, coexistence models, and network metrics.</w:t>
      </w:r>
    </w:p>
    <w:p>
      <w:pPr>
        <w:pStyle w:val="Heading1"/>
        <w:spacing w:after="150" w:before="300"/>
      </w:pPr>
      <w:r>
        <w:rPr>
          <w:b/>
          <w:bCs/>
          <w:color w:val="3D5A80"/>
          <w:sz w:val="26"/>
          <w:szCs w:val="26"/>
        </w:rPr>
        <w:t xml:space="preserve">5. Grading</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60"/>
      </w:tblGrid>
      <w:tr>
        <w:trPr>
          <w:tblHeader/>
        </w:trPr>
        <w:tc>
          <w:tcPr>
            <w:tcW w:type="dxa" w:w="2400"/>
            <w:shd w:fill="3D5A80" w:val="clear"/>
            <w:tcMar>
              <w:top w:type="dxa" w:w="80"/>
              <w:left w:type="dxa" w:w="100"/>
              <w:bottom w:type="dxa" w:w="80"/>
              <w:right w:type="dxa" w:w="100"/>
            </w:tcMar>
            <w:vAlign w:val="center"/>
          </w:tcPr>
          <w:p>
            <w:r>
              <w:rPr>
                <w:b/>
                <w:bCs/>
                <w:i w:val="false"/>
                <w:iCs w:val="false"/>
                <w:color w:val="FFFFFF"/>
                <w:sz w:val="18"/>
                <w:szCs w:val="18"/>
              </w:rPr>
              <w:t xml:space="preserve">Component</w:t>
            </w:r>
          </w:p>
        </w:tc>
        <w:tc>
          <w:tcPr>
            <w:tcW w:type="dxa" w:w="1200"/>
            <w:shd w:fill="3D5A80" w:val="clear"/>
            <w:tcMar>
              <w:top w:type="dxa" w:w="80"/>
              <w:left w:type="dxa" w:w="100"/>
              <w:bottom w:type="dxa" w:w="80"/>
              <w:right w:type="dxa" w:w="100"/>
            </w:tcMar>
            <w:vAlign w:val="center"/>
          </w:tcPr>
          <w:p>
            <w:r>
              <w:rPr>
                <w:b/>
                <w:bCs/>
                <w:i w:val="false"/>
                <w:iCs w:val="false"/>
                <w:color w:val="FFFFFF"/>
                <w:sz w:val="18"/>
                <w:szCs w:val="18"/>
              </w:rPr>
              <w:t xml:space="preserve">Weight</w:t>
            </w:r>
          </w:p>
        </w:tc>
        <w:tc>
          <w:tcPr>
            <w:tcW w:type="dxa" w:w="6060"/>
            <w:shd w:fill="3D5A80" w:val="clear"/>
            <w:tcMar>
              <w:top w:type="dxa" w:w="80"/>
              <w:left w:type="dxa" w:w="100"/>
              <w:bottom w:type="dxa" w:w="80"/>
              <w:right w:type="dxa" w:w="100"/>
            </w:tcMar>
            <w:vAlign w:val="center"/>
          </w:tcPr>
          <w:p>
            <w:r>
              <w:rPr>
                <w:b/>
                <w:bCs/>
                <w:i w:val="false"/>
                <w:iCs w:val="false"/>
                <w:color w:val="FFFFFF"/>
                <w:sz w:val="18"/>
                <w:szCs w:val="18"/>
              </w:rPr>
              <w:t xml:space="preserve">Notes</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Midterm Exam I</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Lectures 1–23; closed-book; short answer + essay</w:t>
            </w:r>
          </w:p>
        </w:tc>
      </w:tr>
      <w:tr>
        <w:tc>
          <w:tcPr>
            <w:tcW w:type="dxa" w:w="2400"/>
            <w:shd w:fill="EEF2F7" w:val="clear"/>
            <w:tcMar>
              <w:top w:type="dxa" w:w="80"/>
              <w:left w:type="dxa" w:w="100"/>
              <w:bottom w:type="dxa" w:w="80"/>
              <w:right w:type="dxa" w:w="100"/>
            </w:tcMar>
            <w:vAlign w:val="center"/>
          </w:tcPr>
          <w:p>
            <w:r>
              <w:rPr>
                <w:b w:val="false"/>
                <w:bCs w:val="false"/>
                <w:i w:val="false"/>
                <w:iCs w:val="false"/>
                <w:sz w:val="18"/>
                <w:szCs w:val="18"/>
              </w:rPr>
              <w:t xml:space="preserve">Midterm Exam II</w:t>
            </w:r>
          </w:p>
        </w:tc>
        <w:tc>
          <w:tcPr>
            <w:tcW w:type="dxa" w:w="1200"/>
            <w:shd w:fill="EEF2F7" w:val="clear"/>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6060"/>
            <w:shd w:fill="EEF2F7" w:val="clear"/>
            <w:tcMar>
              <w:top w:type="dxa" w:w="80"/>
              <w:left w:type="dxa" w:w="100"/>
              <w:bottom w:type="dxa" w:w="80"/>
              <w:right w:type="dxa" w:w="100"/>
            </w:tcMar>
            <w:vAlign w:val="center"/>
          </w:tcPr>
          <w:p>
            <w:r>
              <w:rPr>
                <w:b w:val="false"/>
                <w:bCs w:val="false"/>
                <w:i w:val="false"/>
                <w:iCs w:val="false"/>
                <w:sz w:val="18"/>
                <w:szCs w:val="18"/>
              </w:rPr>
              <w:t xml:space="preserve">Lectures 24–32; closed-book; short answer + essay</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Final Exam (cumulative)</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25%</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All lectures; scheduled by Registrar</w:t>
            </w:r>
          </w:p>
        </w:tc>
      </w:tr>
      <w:tr>
        <w:tc>
          <w:tcPr>
            <w:tcW w:type="dxa" w:w="2400"/>
            <w:shd w:fill="EEF2F7" w:val="clear"/>
            <w:tcMar>
              <w:top w:type="dxa" w:w="80"/>
              <w:left w:type="dxa" w:w="100"/>
              <w:bottom w:type="dxa" w:w="80"/>
              <w:right w:type="dxa" w:w="100"/>
            </w:tcMar>
            <w:vAlign w:val="center"/>
          </w:tcPr>
          <w:p>
            <w:r>
              <w:rPr>
                <w:b w:val="false"/>
                <w:bCs w:val="false"/>
                <w:i w:val="false"/>
                <w:iCs w:val="false"/>
                <w:sz w:val="18"/>
                <w:szCs w:val="18"/>
              </w:rPr>
              <w:t xml:space="preserve">Problem Sets (×12, weekly)</w:t>
            </w:r>
          </w:p>
        </w:tc>
        <w:tc>
          <w:tcPr>
            <w:tcW w:type="dxa" w:w="1200"/>
            <w:shd w:fill="EEF2F7" w:val="clear"/>
            <w:tcMar>
              <w:top w:type="dxa" w:w="80"/>
              <w:left w:type="dxa" w:w="100"/>
              <w:bottom w:type="dxa" w:w="80"/>
              <w:right w:type="dxa" w:w="100"/>
            </w:tcMar>
            <w:vAlign w:val="center"/>
          </w:tcPr>
          <w:p>
            <w:r>
              <w:rPr>
                <w:b w:val="false"/>
                <w:bCs w:val="false"/>
                <w:i w:val="false"/>
                <w:iCs w:val="false"/>
                <w:sz w:val="18"/>
                <w:szCs w:val="18"/>
              </w:rPr>
              <w:t xml:space="preserve">15%</w:t>
            </w:r>
          </w:p>
        </w:tc>
        <w:tc>
          <w:tcPr>
            <w:tcW w:type="dxa" w:w="6060"/>
            <w:shd w:fill="EEF2F7" w:val="clear"/>
            <w:tcMar>
              <w:top w:type="dxa" w:w="80"/>
              <w:left w:type="dxa" w:w="100"/>
              <w:bottom w:type="dxa" w:w="80"/>
              <w:right w:type="dxa" w:w="100"/>
            </w:tcMar>
            <w:vAlign w:val="center"/>
          </w:tcPr>
          <w:p>
            <w:r>
              <w:rPr>
                <w:b w:val="false"/>
                <w:bCs w:val="false"/>
                <w:i w:val="false"/>
                <w:iCs w:val="false"/>
                <w:sz w:val="18"/>
                <w:szCs w:val="18"/>
              </w:rPr>
              <w:t xml:space="preserve">Due each Friday 11:59 PM on Canvas; includes diversity-index, network, and coexistence-model calculations</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Research Paper (2,000 words)</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10%</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Primary literature synthesis on a community-ecology topic of the student's choosing; due Week 13</w:t>
            </w:r>
          </w:p>
        </w:tc>
      </w:tr>
      <w:tr>
        <w:tc>
          <w:tcPr>
            <w:tcW w:type="dxa" w:w="2400"/>
            <w:shd w:fill="EEF2F7" w:val="clear"/>
            <w:tcMar>
              <w:top w:type="dxa" w:w="80"/>
              <w:left w:type="dxa" w:w="100"/>
              <w:bottom w:type="dxa" w:w="80"/>
              <w:right w:type="dxa" w:w="100"/>
            </w:tcMar>
            <w:vAlign w:val="center"/>
          </w:tcPr>
          <w:p>
            <w:r>
              <w:rPr>
                <w:b w:val="false"/>
                <w:bCs w:val="false"/>
                <w:i w:val="false"/>
                <w:iCs w:val="false"/>
                <w:sz w:val="18"/>
                <w:szCs w:val="18"/>
              </w:rPr>
              <w:t xml:space="preserve">Oral Presentation</w:t>
            </w:r>
          </w:p>
        </w:tc>
        <w:tc>
          <w:tcPr>
            <w:tcW w:type="dxa" w:w="1200"/>
            <w:shd w:fill="EEF2F7" w:val="clear"/>
            <w:tcMar>
              <w:top w:type="dxa" w:w="80"/>
              <w:left w:type="dxa" w:w="100"/>
              <w:bottom w:type="dxa" w:w="80"/>
              <w:right w:type="dxa" w:w="100"/>
            </w:tcMar>
            <w:vAlign w:val="center"/>
          </w:tcPr>
          <w:p>
            <w:r>
              <w:rPr>
                <w:b w:val="false"/>
                <w:bCs w:val="false"/>
                <w:i w:val="false"/>
                <w:iCs w:val="false"/>
                <w:sz w:val="18"/>
                <w:szCs w:val="18"/>
              </w:rPr>
              <w:t xml:space="preserve">5%</w:t>
            </w:r>
          </w:p>
        </w:tc>
        <w:tc>
          <w:tcPr>
            <w:tcW w:type="dxa" w:w="6060"/>
            <w:shd w:fill="EEF2F7" w:val="clear"/>
            <w:tcMar>
              <w:top w:type="dxa" w:w="80"/>
              <w:left w:type="dxa" w:w="100"/>
              <w:bottom w:type="dxa" w:w="80"/>
              <w:right w:type="dxa" w:w="100"/>
            </w:tcMar>
            <w:vAlign w:val="center"/>
          </w:tcPr>
          <w:p>
            <w:r>
              <w:rPr>
                <w:b w:val="false"/>
                <w:bCs w:val="false"/>
                <w:i w:val="false"/>
                <w:iCs w:val="false"/>
                <w:sz w:val="18"/>
                <w:szCs w:val="18"/>
              </w:rPr>
              <w:t xml:space="preserve">10-min talk; delivered Lectures 43–44</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Participation &amp; Discussion</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5%</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In-class engagement; peer review forms</w:t>
            </w:r>
          </w:p>
        </w:tc>
      </w:tr>
    </w:tbl>
    <w:p>
      <w:pPr>
        <w:spacing w:after="100" w:before="200"/>
      </w:pPr>
      <w:r>
        <w:rPr>
          <w:sz w:val="21"/>
          <w:szCs w:val="21"/>
        </w:rPr>
        <w:t xml:space="preserve">Grade Scale: A ≥ 90 · B 80–89 · C 70–79 · D 60–69 · F &lt; 60</w:t>
      </w:r>
    </w:p>
    <w:p>
      <w:pPr>
        <w:spacing w:after="150"/>
      </w:pPr>
      <w:r>
        <w:rPr>
          <w:sz w:val="21"/>
          <w:szCs w:val="21"/>
        </w:rPr>
        <w:t xml:space="preserve">Late work: ‒10% per calendar day; extensions require 48-hour advance notice. Exams may be made up only with documented medical or family emergencies.</w:t>
      </w:r>
    </w:p>
    <w:p>
      <w:pPr>
        <w:pStyle w:val="Heading1"/>
        <w:spacing w:after="150" w:before="300"/>
      </w:pPr>
      <w:r>
        <w:rPr>
          <w:b/>
          <w:bCs/>
          <w:color w:val="3D5A80"/>
          <w:sz w:val="26"/>
          <w:szCs w:val="26"/>
        </w:rPr>
        <w:t xml:space="preserve">6. Course Policies</w:t>
      </w:r>
    </w:p>
    <w:p>
      <w:pPr>
        <w:spacing w:after="150"/>
      </w:pPr>
      <w:r>
        <w:rPr>
          <w:b/>
          <w:bCs/>
          <w:sz w:val="21"/>
          <w:szCs w:val="21"/>
        </w:rPr>
        <w:t xml:space="preserve">Attendance</w:t>
      </w:r>
    </w:p>
    <w:p>
      <w:pPr>
        <w:spacing w:after="150"/>
      </w:pPr>
      <w:r>
        <w:rPr>
          <w:sz w:val="21"/>
          <w:szCs w:val="21"/>
        </w:rPr>
        <w:t xml:space="preserve">Regular attendance is expected. More than four unexcused absences may result in grade reduction. You are responsible for all material covered in missed lectures.</w:t>
      </w:r>
    </w:p>
    <w:p>
      <w:pPr>
        <w:spacing w:after="150"/>
      </w:pPr>
      <w:r>
        <w:rPr>
          <w:b/>
          <w:bCs/>
          <w:sz w:val="21"/>
          <w:szCs w:val="21"/>
        </w:rPr>
        <w:t xml:space="preserve">Academic Integrity</w:t>
      </w:r>
    </w:p>
    <w:p>
      <w:pPr>
        <w:spacing w:after="150"/>
      </w:pPr>
      <w:r>
        <w:rPr>
          <w:sz w:val="21"/>
          <w:szCs w:val="21"/>
        </w:rPr>
        <w:t xml:space="preserve">All submitted work must be your own. AI writing and computational tools may be used for brainstorming, grammar checking, and debugging problem-set code, but intellectual content, model derivations, and analysis must be the student's own. Plagiarism or cheating will result in a zero and possible disciplinary action.</w:t>
      </w:r>
    </w:p>
    <w:p>
      <w:pPr>
        <w:spacing w:after="150"/>
      </w:pPr>
      <w:r>
        <w:rPr>
          <w:b/>
          <w:bCs/>
          <w:sz w:val="21"/>
          <w:szCs w:val="21"/>
        </w:rPr>
        <w:t xml:space="preserve">Accessibility</w:t>
      </w:r>
    </w:p>
    <w:p>
      <w:pPr>
        <w:spacing w:after="150"/>
      </w:pPr>
      <w:r>
        <w:rPr>
          <w:sz w:val="21"/>
          <w:szCs w:val="21"/>
        </w:rPr>
        <w:t xml:space="preserve">Students requiring accommodations should contact the Office of Disability Services and provide documentation within the first two weeks of class.</w:t>
      </w:r>
    </w:p>
    <w:p>
      <w:pPr>
        <w:pStyle w:val="Heading1"/>
        <w:spacing w:after="150" w:before="300"/>
      </w:pPr>
      <w:r>
        <w:rPr>
          <w:b/>
          <w:bCs/>
          <w:color w:val="3D5A80"/>
          <w:sz w:val="26"/>
          <w:szCs w:val="26"/>
        </w:rPr>
        <w:t xml:space="preserve">7. Lecture-by-Lecture Schedule</w:t>
      </w:r>
    </w:p>
    <w:p>
      <w:pPr>
        <w:spacing w:after="150"/>
      </w:pPr>
      <w:r>
        <w:rPr>
          <w:sz w:val="21"/>
          <w:szCs w:val="21"/>
        </w:rPr>
        <w:t xml:space="preserve">All chapter references are to Mittelbach &amp; McGill (2019). ★ = exam day (no new material). ⚑ = university holiday. Schedule is subject to change with ≥1 week notice on Canvas.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2600"/>
        <w:gridCol w:w="1300"/>
        <w:gridCol w:w="3900"/>
      </w:tblGrid>
      <w:tr>
        <w:trPr>
          <w:tblHeader/>
        </w:trPr>
        <w:tc>
          <w:tcPr>
            <w:tcW w:type="dxa" w:w="560"/>
            <w:shd w:fill="3D5A80" w:val="clear"/>
            <w:tcMar>
              <w:top w:type="dxa" w:w="80"/>
              <w:left w:type="dxa" w:w="100"/>
              <w:bottom w:type="dxa" w:w="80"/>
              <w:right w:type="dxa" w:w="100"/>
            </w:tcMar>
            <w:vAlign w:val="center"/>
          </w:tcPr>
          <w:p>
            <w:r>
              <w:rPr>
                <w:b/>
                <w:bCs/>
                <w:i w:val="false"/>
                <w:iCs w:val="false"/>
                <w:color w:val="FFFFFF"/>
                <w:sz w:val="18"/>
                <w:szCs w:val="18"/>
              </w:rPr>
              <w:t xml:space="preserve">Lec</w:t>
            </w:r>
          </w:p>
        </w:tc>
        <w:tc>
          <w:tcPr>
            <w:tcW w:type="dxa" w:w="1300"/>
            <w:shd w:fill="3D5A80" w:val="clear"/>
            <w:tcMar>
              <w:top w:type="dxa" w:w="80"/>
              <w:left w:type="dxa" w:w="100"/>
              <w:bottom w:type="dxa" w:w="80"/>
              <w:right w:type="dxa" w:w="100"/>
            </w:tcMar>
            <w:vAlign w:val="center"/>
          </w:tcPr>
          <w:p>
            <w:r>
              <w:rPr>
                <w:b/>
                <w:bCs/>
                <w:i w:val="false"/>
                <w:iCs w:val="false"/>
                <w:color w:val="FFFFFF"/>
                <w:sz w:val="18"/>
                <w:szCs w:val="18"/>
              </w:rPr>
              <w:t xml:space="preserve">Date</w:t>
            </w:r>
          </w:p>
        </w:tc>
        <w:tc>
          <w:tcPr>
            <w:tcW w:type="dxa" w:w="2600"/>
            <w:shd w:fill="3D5A80" w:val="clear"/>
            <w:tcMar>
              <w:top w:type="dxa" w:w="80"/>
              <w:left w:type="dxa" w:w="100"/>
              <w:bottom w:type="dxa" w:w="80"/>
              <w:right w:type="dxa" w:w="100"/>
            </w:tcMar>
            <w:vAlign w:val="center"/>
          </w:tcPr>
          <w:p>
            <w:r>
              <w:rPr>
                <w:b/>
                <w:bCs/>
                <w:i w:val="false"/>
                <w:iCs w:val="false"/>
                <w:color w:val="FFFFFF"/>
                <w:sz w:val="18"/>
                <w:szCs w:val="18"/>
              </w:rPr>
              <w:t xml:space="preserve">Title / Topic</w:t>
            </w:r>
          </w:p>
        </w:tc>
        <w:tc>
          <w:tcPr>
            <w:tcW w:type="dxa" w:w="1300"/>
            <w:shd w:fill="3D5A80" w:val="clear"/>
            <w:tcMar>
              <w:top w:type="dxa" w:w="80"/>
              <w:left w:type="dxa" w:w="100"/>
              <w:bottom w:type="dxa" w:w="80"/>
              <w:right w:type="dxa" w:w="100"/>
            </w:tcMar>
            <w:vAlign w:val="center"/>
          </w:tcPr>
          <w:p>
            <w:r>
              <w:rPr>
                <w:b/>
                <w:bCs/>
                <w:i w:val="false"/>
                <w:iCs w:val="false"/>
                <w:color w:val="FFFFFF"/>
                <w:sz w:val="18"/>
                <w:szCs w:val="18"/>
              </w:rPr>
              <w:t xml:space="preserve">Reading</w:t>
            </w:r>
          </w:p>
        </w:tc>
        <w:tc>
          <w:tcPr>
            <w:tcW w:type="dxa" w:w="3900"/>
            <w:shd w:fill="3D5A80" w:val="clear"/>
            <w:tcMar>
              <w:top w:type="dxa" w:w="80"/>
              <w:left w:type="dxa" w:w="100"/>
              <w:bottom w:type="dxa" w:w="80"/>
              <w:right w:type="dxa" w:w="100"/>
            </w:tcMar>
            <w:vAlign w:val="center"/>
          </w:tcPr>
          <w:p>
            <w:r>
              <w:rPr>
                <w:b/>
                <w:bCs/>
                <w:i w:val="false"/>
                <w:iCs w:val="false"/>
                <w:color w:val="FFFFFF"/>
                <w:sz w:val="18"/>
                <w:szCs w:val="18"/>
              </w:rPr>
              <w:t xml:space="preserve">Key Content &amp; Concepts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1</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Aug 25</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Introduction: Community Ecology's Roots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Definition and scope of community ecology; historical roots in plant ecology and biogeography; the community concept from Möbius to the present; how community ecology relates to population and ecosystem ecology; overview of the course's five thematic parts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Aug 27</w:t>
            </w:r>
          </w:p>
        </w:tc>
        <w:tc>
          <w:tcPr>
            <w:tcW w:type="dxa" w:w="2600"/>
            <w:tcMar>
              <w:top w:type="dxa" w:w="80"/>
              <w:left w:type="dxa" w:w="100"/>
              <w:bottom w:type="dxa" w:w="80"/>
              <w:right w:type="dxa" w:w="100"/>
            </w:tcMar>
            <w:vAlign w:val="center"/>
          </w:tcPr>
          <w:p>
            <w:r>
              <w:rPr>
                <w:b/>
                <w:bCs/>
                <w:i w:val="false"/>
                <w:iCs w:val="false"/>
                <w:sz w:val="18"/>
                <w:szCs w:val="18"/>
              </w:rPr>
              <w:t xml:space="preserve">Conceptual Foundations: Holism vs. Individualism</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Clements’ organismal/superorganism view vs. Gleason’s individualistic concept; the continuum vs. discrete-community debate; Whittaker’s gradient analysis; implications of each view for how we study communities today</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Aug 29</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Patterns of Biological Diversity I: Measuring Diversity</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Species richness vs. diversity indices; Shannon–Wiener and Simpson indices; rank-abundance curves; rarefaction; rare species and sampling completeness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Sep 1</w:t>
            </w:r>
          </w:p>
        </w:tc>
        <w:tc>
          <w:tcPr>
            <w:tcW w:type="dxa" w:w="2600"/>
            <w:tcMar>
              <w:top w:type="dxa" w:w="80"/>
              <w:left w:type="dxa" w:w="100"/>
              <w:bottom w:type="dxa" w:w="80"/>
              <w:right w:type="dxa" w:w="100"/>
            </w:tcMar>
            <w:vAlign w:val="center"/>
          </w:tcPr>
          <w:p>
            <w:r>
              <w:rPr>
                <w:b/>
                <w:bCs/>
                <w:i w:val="false"/>
                <w:iCs w:val="false"/>
                <w:sz w:val="18"/>
                <w:szCs w:val="18"/>
              </w:rPr>
              <w:t xml:space="preserve">Patterns of Biological Diversity II: The Latitudinal Diversity Gradient</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latitudinal diversity gradient as ecology's oldest pattern; competing hypotheses (productivity, area, historical/evolutionary time, climate stability); testing hypotheses with modern comparative data</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5</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Sep 3</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Patterns of Biological Diversity III: Species–Area Relationships and Spatial Scaling</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The species–area relationship (z-values); island vs. mainland patterns; scale-dependence of diversity patterns; species accumulation curves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Sep 5</w:t>
            </w:r>
          </w:p>
        </w:tc>
        <w:tc>
          <w:tcPr>
            <w:tcW w:type="dxa" w:w="2600"/>
            <w:tcMar>
              <w:top w:type="dxa" w:w="80"/>
              <w:left w:type="dxa" w:w="100"/>
              <w:bottom w:type="dxa" w:w="80"/>
              <w:right w:type="dxa" w:w="100"/>
            </w:tcMar>
            <w:vAlign w:val="center"/>
          </w:tcPr>
          <w:p>
            <w:r>
              <w:rPr>
                <w:b/>
                <w:bCs/>
                <w:i w:val="false"/>
                <w:iCs w:val="false"/>
                <w:sz w:val="18"/>
                <w:szCs w:val="18"/>
              </w:rPr>
              <w:t xml:space="preserve">Patterns of Biological Diversity IV: Alpha, Beta, and Gamma Diversity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Whittaker’s multiplicative partitioning; turnover vs. nestedness components of beta diversity; distance-decay relationships; synthesis of diversity-pattern description</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7</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Sep 8</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Biodiversity and Ecosystem Functioning I: The BEF Relationship</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3</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History of the biodiversity–ecosystem functioning (BEF) debate; Tilman’s Cedar Creek experiments; the diversity–productivity relationship; saturating vs. linear BEF curves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Sep 10</w:t>
            </w:r>
          </w:p>
        </w:tc>
        <w:tc>
          <w:tcPr>
            <w:tcW w:type="dxa" w:w="2600"/>
            <w:tcMar>
              <w:top w:type="dxa" w:w="80"/>
              <w:left w:type="dxa" w:w="100"/>
              <w:bottom w:type="dxa" w:w="80"/>
              <w:right w:type="dxa" w:w="100"/>
            </w:tcMar>
            <w:vAlign w:val="center"/>
          </w:tcPr>
          <w:p>
            <w:r>
              <w:rPr>
                <w:b/>
                <w:bCs/>
                <w:i w:val="false"/>
                <w:iCs w:val="false"/>
                <w:sz w:val="18"/>
                <w:szCs w:val="18"/>
              </w:rPr>
              <w:t xml:space="preserve">Biodiversity and Ecosystem Functioning II: Mechanisms and Debates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3</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Complementarity vs. selection (sampling) effects; statistical artifacts and how ecologists have addressed them; BEF at larger spatial and temporal scales; relevance to conservation and restoration</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9</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Sep 12</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Population Growth and Density Dependence I: Foundations Revisited</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4</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Review of exponential and logistic growth as building blocks for community models; density dependence as the link between population and community dynamics; why community ecology begins with single-species dynamics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Sep 15</w:t>
            </w:r>
          </w:p>
        </w:tc>
        <w:tc>
          <w:tcPr>
            <w:tcW w:type="dxa" w:w="2600"/>
            <w:tcMar>
              <w:top w:type="dxa" w:w="80"/>
              <w:left w:type="dxa" w:w="100"/>
              <w:bottom w:type="dxa" w:w="80"/>
              <w:right w:type="dxa" w:w="100"/>
            </w:tcMar>
            <w:vAlign w:val="center"/>
          </w:tcPr>
          <w:p>
            <w:r>
              <w:rPr>
                <w:b/>
                <w:bCs/>
                <w:i w:val="false"/>
                <w:iCs w:val="false"/>
                <w:sz w:val="18"/>
                <w:szCs w:val="18"/>
              </w:rPr>
              <w:t xml:space="preserve">Population Growth and Density Dependence II: Density Dependence in a Community Context</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4</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Detecting density dependence in multispecies settings; density dependence as a stabilizing force in interacting populations; setting up the two-species models to follow</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11</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Sep 17</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Fundamentals of Predator–Prey Interactions I: Functional and Numerical Responses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5</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Holling’s Type I, II, and III functional responses; numerical responses; how predator responses combine to determine per-capita predation rate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Sep 19</w:t>
            </w:r>
          </w:p>
        </w:tc>
        <w:tc>
          <w:tcPr>
            <w:tcW w:type="dxa" w:w="2600"/>
            <w:tcMar>
              <w:top w:type="dxa" w:w="80"/>
              <w:left w:type="dxa" w:w="100"/>
              <w:bottom w:type="dxa" w:w="80"/>
              <w:right w:type="dxa" w:w="100"/>
            </w:tcMar>
            <w:vAlign w:val="center"/>
          </w:tcPr>
          <w:p>
            <w:r>
              <w:rPr>
                <w:b/>
                <w:bCs/>
                <w:i w:val="false"/>
                <w:iCs w:val="false"/>
                <w:sz w:val="18"/>
                <w:szCs w:val="18"/>
              </w:rPr>
              <w:t xml:space="preserve">Fundamentals of Predator–Prey Interactions II: Stability and Cycles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5</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Lotka–Volterra predator–prey dynamics revisited; stabilizing vs. destabilizing model features; the paradox of enrichment; predator–prey cycles in theory</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13</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Sep 22</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Fundamentals of Predator–Prey Interactions III: Evidence from Field and Lab</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5</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Classic experimental tests (Gause, Huffaker); long-term field cycles (lynx–hare, larch budmoth); confronting theory with data; limitations of simple predator–prey models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Sep 24</w:t>
            </w:r>
          </w:p>
        </w:tc>
        <w:tc>
          <w:tcPr>
            <w:tcW w:type="dxa" w:w="2600"/>
            <w:tcMar>
              <w:top w:type="dxa" w:w="80"/>
              <w:left w:type="dxa" w:w="100"/>
              <w:bottom w:type="dxa" w:w="80"/>
              <w:right w:type="dxa" w:w="100"/>
            </w:tcMar>
            <w:vAlign w:val="center"/>
          </w:tcPr>
          <w:p>
            <w:r>
              <w:rPr>
                <w:b/>
                <w:bCs/>
                <w:i w:val="false"/>
                <w:iCs w:val="false"/>
                <w:sz w:val="18"/>
                <w:szCs w:val="18"/>
              </w:rPr>
              <w:t xml:space="preserve">Selective Predators and Responsive Prey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6</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Prey switching and frequency-dependent predation; optimal foraging by predators; inducible prey defenses; trait-mediated indirect effects (the ecology of fear) and their community-level consequences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15</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Sep 26</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Fundamentals of Competitive Interactions I: Lotka–Volterra Revisited</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The Lotka–Volterra competition model in a community-ecology framing; competition coefficients; zero-growth isoclines; linking population-level competition to community structure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Sep 29</w:t>
            </w:r>
          </w:p>
        </w:tc>
        <w:tc>
          <w:tcPr>
            <w:tcW w:type="dxa" w:w="2600"/>
            <w:tcMar>
              <w:top w:type="dxa" w:w="80"/>
              <w:left w:type="dxa" w:w="100"/>
              <w:bottom w:type="dxa" w:w="80"/>
              <w:right w:type="dxa" w:w="100"/>
            </w:tcMar>
            <w:vAlign w:val="center"/>
          </w:tcPr>
          <w:p>
            <w:r>
              <w:rPr>
                <w:b/>
                <w:bCs/>
                <w:i w:val="false"/>
                <w:iCs w:val="false"/>
                <w:sz w:val="18"/>
                <w:szCs w:val="18"/>
              </w:rPr>
              <w:t xml:space="preserve">Fundamentals of Competitive Interactions II: Outcomes and Coexistence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four outcomes of two-species competition; conditions for stable coexistence; competitive exclusion principle; why simple competition models struggle to explain observed diversity</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17</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Oct 1</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Fundamentals of Competitive Interactions III: Field Evidence</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7</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Connell’s barnacles; Tribolium flour beetle experiments; character displacement case studies; the strengths and limits of manipulative competition experiments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Oct 3</w:t>
            </w:r>
          </w:p>
        </w:tc>
        <w:tc>
          <w:tcPr>
            <w:tcW w:type="dxa" w:w="2600"/>
            <w:tcMar>
              <w:top w:type="dxa" w:w="80"/>
              <w:left w:type="dxa" w:w="100"/>
              <w:bottom w:type="dxa" w:w="80"/>
              <w:right w:type="dxa" w:w="100"/>
            </w:tcMar>
            <w:vAlign w:val="center"/>
          </w:tcPr>
          <w:p>
            <w:r>
              <w:rPr>
                <w:b/>
                <w:bCs/>
                <w:i w:val="false"/>
                <w:iCs w:val="false"/>
                <w:sz w:val="18"/>
                <w:szCs w:val="18"/>
              </w:rPr>
              <w:t xml:space="preserve">Species Coexistence and Niche Theory I: The Niche Concept Revisited</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8</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Grinnellian vs. Eltonian niche concepts; niche breadth and overlap; limiting similarity; the niche as an explanation for community-level diversity</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19</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Oct 6</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Species Coexistence and Niche Theory II: Modern Coexistence Theory</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8</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Chesson’s coexistence framework; stabilizing vs. equalizing mechanisms; invasion growth rates as a coexistence criterion; resource-ratio theory and R*</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Oct 8</w:t>
            </w:r>
          </w:p>
        </w:tc>
        <w:tc>
          <w:tcPr>
            <w:tcW w:type="dxa" w:w="2600"/>
            <w:tcMar>
              <w:top w:type="dxa" w:w="80"/>
              <w:left w:type="dxa" w:w="100"/>
              <w:bottom w:type="dxa" w:w="80"/>
              <w:right w:type="dxa" w:w="100"/>
            </w:tcMar>
            <w:vAlign w:val="center"/>
          </w:tcPr>
          <w:p>
            <w:r>
              <w:rPr>
                <w:b/>
                <w:bCs/>
                <w:i w:val="false"/>
                <w:iCs w:val="false"/>
                <w:sz w:val="18"/>
                <w:szCs w:val="18"/>
              </w:rPr>
              <w:t xml:space="preserve">Species Coexistence and Niche Theory III: Neutral Theory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8</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Hubbell’s Unified Neutral Theory of Biodiversity; ecological equivalence; zero-sum dynamics; predictions of neutral theory (species–abundance distributions, species–area curves)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21</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Oct 10</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Species Coexistence and Niche Theory IV: Reconciling Niche and Neutral Perspectives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8</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Empirical tests distinguishing niche from neutral processes; the niche–neutrality continuum; contemporary synthesis views; implications for community assembly (preview of Part III)</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Oct 13</w:t>
            </w:r>
          </w:p>
        </w:tc>
        <w:tc>
          <w:tcPr>
            <w:tcW w:type="dxa" w:w="2600"/>
            <w:tcMar>
              <w:top w:type="dxa" w:w="80"/>
              <w:left w:type="dxa" w:w="100"/>
              <w:bottom w:type="dxa" w:w="80"/>
              <w:right w:type="dxa" w:w="100"/>
            </w:tcMar>
            <w:vAlign w:val="center"/>
          </w:tcPr>
          <w:p>
            <w:r>
              <w:rPr>
                <w:b/>
                <w:bCs/>
                <w:i w:val="false"/>
                <w:iCs w:val="false"/>
                <w:sz w:val="18"/>
                <w:szCs w:val="18"/>
              </w:rPr>
              <w:t xml:space="preserve">Beneficial Interactions I: Mutualism Networks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9</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Types of mutualism in a community context; mutualistic network structure; pollination and seed-dispersal networks; consequences of mutualism for community stability</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23</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Oct 15</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Beneficial Interactions II: Facilitation and Stress Gradients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9</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Facilitation among competitors; nurse-plant effects; the stress-gradient hypothesis; integrating facilitation into a community-interactions framework alongside competition and predation</w:t>
            </w:r>
          </w:p>
        </w:tc>
      </w:tr>
      <w:tr>
        <w:tc>
          <w:tcPr>
            <w:tcW w:type="dxa" w:w="560"/>
            <w:shd w:fill="D9E2EC" w:val="clear"/>
            <w:tcMar>
              <w:top w:type="dxa" w:w="80"/>
              <w:left w:type="dxa" w:w="100"/>
              <w:bottom w:type="dxa" w:w="80"/>
              <w:right w:type="dxa" w:w="100"/>
            </w:tcMar>
            <w:vAlign w:val="center"/>
          </w:tcPr>
          <w:p>
            <w:r>
              <w:rPr>
                <w:b/>
                <w:bCs/>
                <w:i/>
                <w:iCs/>
                <w:sz w:val="18"/>
                <w:szCs w:val="18"/>
              </w:rPr>
              <w:t xml:space="preserve">—</w:t>
            </w:r>
          </w:p>
        </w:tc>
        <w:tc>
          <w:tcPr>
            <w:tcW w:type="dxa" w:w="1300"/>
            <w:shd w:fill="D9E2EC" w:val="clear"/>
            <w:tcMar>
              <w:top w:type="dxa" w:w="80"/>
              <w:left w:type="dxa" w:w="100"/>
              <w:bottom w:type="dxa" w:w="80"/>
              <w:right w:type="dxa" w:w="100"/>
            </w:tcMar>
            <w:vAlign w:val="center"/>
          </w:tcPr>
          <w:p>
            <w:r>
              <w:rPr>
                <w:b/>
                <w:bCs/>
                <w:i/>
                <w:iCs/>
                <w:sz w:val="18"/>
                <w:szCs w:val="18"/>
              </w:rPr>
              <w:t xml:space="preserve">Fri Oct 17</w:t>
            </w:r>
          </w:p>
        </w:tc>
        <w:tc>
          <w:tcPr>
            <w:tcW w:type="dxa" w:w="2600"/>
            <w:shd w:fill="D9E2EC" w:val="clear"/>
            <w:tcMar>
              <w:top w:type="dxa" w:w="80"/>
              <w:left w:type="dxa" w:w="100"/>
              <w:bottom w:type="dxa" w:w="80"/>
              <w:right w:type="dxa" w:w="100"/>
            </w:tcMar>
            <w:vAlign w:val="center"/>
          </w:tcPr>
          <w:p>
            <w:r>
              <w:rPr>
                <w:b/>
                <w:bCs/>
                <w:i/>
                <w:iCs/>
                <w:sz w:val="18"/>
                <w:szCs w:val="18"/>
              </w:rPr>
              <w:t xml:space="preserve">MIDTERM EXAM I</w:t>
            </w:r>
          </w:p>
        </w:tc>
        <w:tc>
          <w:tcPr>
            <w:tcW w:type="dxa" w:w="1300"/>
            <w:shd w:fill="D9E2EC" w:val="clear"/>
            <w:tcMar>
              <w:top w:type="dxa" w:w="80"/>
              <w:left w:type="dxa" w:w="100"/>
              <w:bottom w:type="dxa" w:w="80"/>
              <w:right w:type="dxa" w:w="100"/>
            </w:tcMar>
            <w:vAlign w:val="center"/>
          </w:tcPr>
          <w:p>
            <w:r>
              <w:rPr>
                <w:b w:val="false"/>
                <w:bCs w:val="false"/>
                <w:i/>
                <w:iCs/>
                <w:sz w:val="18"/>
                <w:szCs w:val="18"/>
              </w:rPr>
              <w:t xml:space="preserve">Ch. 1–9</w:t>
            </w:r>
          </w:p>
        </w:tc>
        <w:tc>
          <w:tcPr>
            <w:tcW w:type="dxa" w:w="3900"/>
            <w:shd w:fill="D9E2EC" w:val="clear"/>
            <w:tcMar>
              <w:top w:type="dxa" w:w="80"/>
              <w:left w:type="dxa" w:w="100"/>
              <w:bottom w:type="dxa" w:w="80"/>
              <w:right w:type="dxa" w:w="100"/>
            </w:tcMar>
            <w:vAlign w:val="center"/>
          </w:tcPr>
          <w:p>
            <w:r>
              <w:rPr>
                <w:b w:val="false"/>
                <w:bCs w:val="false"/>
                <w:i/>
                <w:iCs/>
                <w:sz w:val="18"/>
                <w:szCs w:val="18"/>
              </w:rPr>
              <w:t xml:space="preserve">Covers Lectures 1–23: diversity patterns, biodiversity–ecosystem functioning, and species interactions in simple modules (predation, competition, coexistence, mutualism)</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24</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Oct 20</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Species Interactions in Ecological Networks I: Network Structure</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From pairwise interactions to networks; representing communities as graphs; interaction types (antagonistic vs. mutualistic networks); basic network metrics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25</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Oct 22</w:t>
            </w:r>
          </w:p>
        </w:tc>
        <w:tc>
          <w:tcPr>
            <w:tcW w:type="dxa" w:w="2600"/>
            <w:tcMar>
              <w:top w:type="dxa" w:w="80"/>
              <w:left w:type="dxa" w:w="100"/>
              <w:bottom w:type="dxa" w:w="80"/>
              <w:right w:type="dxa" w:w="100"/>
            </w:tcMar>
            <w:vAlign w:val="center"/>
          </w:tcPr>
          <w:p>
            <w:r>
              <w:rPr>
                <w:b/>
                <w:bCs/>
                <w:i w:val="false"/>
                <w:iCs w:val="false"/>
                <w:sz w:val="18"/>
                <w:szCs w:val="18"/>
              </w:rPr>
              <w:t xml:space="preserve">Species Interactions in Ecological Networks II: Nestedness, Modularity, and Robustness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Nestedness in mutualistic networks; modularity in antagonistic networks; network robustness to species loss; structure–stability relationships in networks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26</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Oct 24</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Species Interactions in Ecological Networks III: Applications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Using network approaches to predict extinction cascades; applications to pollinator decline and invasive species; limitations and future directions of network theory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27</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Oct 27</w:t>
            </w:r>
          </w:p>
        </w:tc>
        <w:tc>
          <w:tcPr>
            <w:tcW w:type="dxa" w:w="2600"/>
            <w:tcMar>
              <w:top w:type="dxa" w:w="80"/>
              <w:left w:type="dxa" w:w="100"/>
              <w:bottom w:type="dxa" w:w="80"/>
              <w:right w:type="dxa" w:w="100"/>
            </w:tcMar>
            <w:vAlign w:val="center"/>
          </w:tcPr>
          <w:p>
            <w:r>
              <w:rPr>
                <w:b/>
                <w:bCs/>
                <w:i w:val="false"/>
                <w:iCs w:val="false"/>
                <w:sz w:val="18"/>
                <w:szCs w:val="18"/>
              </w:rPr>
              <w:t xml:space="preserve">Food Chains and Food Webs I: Food Chain Length Theory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Determinants of food chain length; energy-limitation, dynamical-stability, and ecosystem-size hypotheses; empirical patterns across ecosystems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28</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Oct 29</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Food Chains and Food Webs II: Trophic Cascades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Top-down vs. bottom-up control; classic trophic cascade case studies (sea otters/urchins/kelp; wolves/elk/willows); conditions favoring strong vs. weak cascades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29</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Oct 31</w:t>
            </w:r>
          </w:p>
        </w:tc>
        <w:tc>
          <w:tcPr>
            <w:tcW w:type="dxa" w:w="2600"/>
            <w:tcMar>
              <w:top w:type="dxa" w:w="80"/>
              <w:left w:type="dxa" w:w="100"/>
              <w:bottom w:type="dxa" w:w="80"/>
              <w:right w:type="dxa" w:w="100"/>
            </w:tcMar>
            <w:vAlign w:val="center"/>
          </w:tcPr>
          <w:p>
            <w:r>
              <w:rPr>
                <w:b/>
                <w:bCs/>
                <w:i w:val="false"/>
                <w:iCs w:val="false"/>
                <w:sz w:val="18"/>
                <w:szCs w:val="18"/>
              </w:rPr>
              <w:t xml:space="preserve">Food Chains and Food Webs III: Weak Interactions and Stability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May’s complexity–stability paradox revisited in a food-web context; the stabilizing role of weak interactions; empirical food web structure (connectance, interaction strength distributions)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30</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Nov 3</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Community Assembly and Species Traits I: Assembly Rules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Diamond’s assembly rules; environmental filtering vs. limiting similarity; null models in community assembly; priority effects and historical contingency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31</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Nov 5</w:t>
            </w:r>
          </w:p>
        </w:tc>
        <w:tc>
          <w:tcPr>
            <w:tcW w:type="dxa" w:w="2600"/>
            <w:tcMar>
              <w:top w:type="dxa" w:w="80"/>
              <w:left w:type="dxa" w:w="100"/>
              <w:bottom w:type="dxa" w:w="80"/>
              <w:right w:type="dxa" w:w="100"/>
            </w:tcMar>
            <w:vAlign w:val="center"/>
          </w:tcPr>
          <w:p>
            <w:r>
              <w:rPr>
                <w:b/>
                <w:bCs/>
                <w:i w:val="false"/>
                <w:iCs w:val="false"/>
                <w:sz w:val="18"/>
                <w:szCs w:val="18"/>
              </w:rPr>
              <w:t xml:space="preserve">Community Assembly and Species Traits II: Trait-Based Approaches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Functional traits as an alternative to taxonomic identity; trait-based community assembly frameworks; functional diversity indices; trait convergence vs. divergence</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32</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Nov 7</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Community Assembly and Species Traits III: Priority Effects and Functional Diversity</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Alternative stable states arising from assembly history; experimental tests of priority effects; linking functional diversity back to the BEF relationship (Ch. 3); synthesis of Part III</w:t>
            </w:r>
          </w:p>
        </w:tc>
      </w:tr>
      <w:tr>
        <w:tc>
          <w:tcPr>
            <w:tcW w:type="dxa" w:w="560"/>
            <w:shd w:fill="D9E2EC" w:val="clear"/>
            <w:tcMar>
              <w:top w:type="dxa" w:w="80"/>
              <w:left w:type="dxa" w:w="100"/>
              <w:bottom w:type="dxa" w:w="80"/>
              <w:right w:type="dxa" w:w="100"/>
            </w:tcMar>
            <w:vAlign w:val="center"/>
          </w:tcPr>
          <w:p>
            <w:r>
              <w:rPr>
                <w:b/>
                <w:bCs/>
                <w:i/>
                <w:iCs/>
                <w:sz w:val="18"/>
                <w:szCs w:val="18"/>
              </w:rPr>
              <w:t xml:space="preserve">—</w:t>
            </w:r>
          </w:p>
        </w:tc>
        <w:tc>
          <w:tcPr>
            <w:tcW w:type="dxa" w:w="1300"/>
            <w:shd w:fill="D9E2EC" w:val="clear"/>
            <w:tcMar>
              <w:top w:type="dxa" w:w="80"/>
              <w:left w:type="dxa" w:w="100"/>
              <w:bottom w:type="dxa" w:w="80"/>
              <w:right w:type="dxa" w:w="100"/>
            </w:tcMar>
            <w:vAlign w:val="center"/>
          </w:tcPr>
          <w:p>
            <w:r>
              <w:rPr>
                <w:b/>
                <w:bCs/>
                <w:i/>
                <w:iCs/>
                <w:sz w:val="18"/>
                <w:szCs w:val="18"/>
              </w:rPr>
              <w:t xml:space="preserve">Mon Nov 10</w:t>
            </w:r>
          </w:p>
        </w:tc>
        <w:tc>
          <w:tcPr>
            <w:tcW w:type="dxa" w:w="2600"/>
            <w:shd w:fill="D9E2EC" w:val="clear"/>
            <w:tcMar>
              <w:top w:type="dxa" w:w="80"/>
              <w:left w:type="dxa" w:w="100"/>
              <w:bottom w:type="dxa" w:w="80"/>
              <w:right w:type="dxa" w:w="100"/>
            </w:tcMar>
            <w:vAlign w:val="center"/>
          </w:tcPr>
          <w:p>
            <w:r>
              <w:rPr>
                <w:b/>
                <w:bCs/>
                <w:i/>
                <w:iCs/>
                <w:sz w:val="18"/>
                <w:szCs w:val="18"/>
              </w:rPr>
              <w:t xml:space="preserve">MIDTERM EXAM II</w:t>
            </w:r>
          </w:p>
        </w:tc>
        <w:tc>
          <w:tcPr>
            <w:tcW w:type="dxa" w:w="1300"/>
            <w:shd w:fill="D9E2EC" w:val="clear"/>
            <w:tcMar>
              <w:top w:type="dxa" w:w="80"/>
              <w:left w:type="dxa" w:w="100"/>
              <w:bottom w:type="dxa" w:w="80"/>
              <w:right w:type="dxa" w:w="100"/>
            </w:tcMar>
            <w:vAlign w:val="center"/>
          </w:tcPr>
          <w:p>
            <w:r>
              <w:rPr>
                <w:b w:val="false"/>
                <w:bCs w:val="false"/>
                <w:i/>
                <w:iCs/>
                <w:sz w:val="18"/>
                <w:szCs w:val="18"/>
              </w:rPr>
              <w:t xml:space="preserve">Ch. 10–12</w:t>
            </w:r>
          </w:p>
        </w:tc>
        <w:tc>
          <w:tcPr>
            <w:tcW w:type="dxa" w:w="3900"/>
            <w:shd w:fill="D9E2EC" w:val="clear"/>
            <w:tcMar>
              <w:top w:type="dxa" w:w="80"/>
              <w:left w:type="dxa" w:w="100"/>
              <w:bottom w:type="dxa" w:w="80"/>
              <w:right w:type="dxa" w:w="100"/>
            </w:tcMar>
            <w:vAlign w:val="center"/>
          </w:tcPr>
          <w:p>
            <w:r>
              <w:rPr>
                <w:b w:val="false"/>
                <w:bCs w:val="false"/>
                <w:i/>
                <w:iCs/>
                <w:sz w:val="18"/>
                <w:szCs w:val="18"/>
              </w:rPr>
              <w:t xml:space="preserve">Covers Lectures 24–32: ecological networks, food webs and trophic cascades, community assembly and functional traits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33</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Nov 12</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Patchy Environments and Metapopulations I: Fugitive Species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13</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Patchy environments and the competition–colonization trade-off; fugitive species; Levins’ metapopulation model revisited in a community context</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Nov 14</w:t>
            </w:r>
          </w:p>
        </w:tc>
        <w:tc>
          <w:tcPr>
            <w:tcW w:type="dxa" w:w="2600"/>
            <w:tcMar>
              <w:top w:type="dxa" w:w="80"/>
              <w:left w:type="dxa" w:w="100"/>
              <w:bottom w:type="dxa" w:w="80"/>
              <w:right w:type="dxa" w:w="100"/>
            </w:tcMar>
            <w:vAlign w:val="center"/>
          </w:tcPr>
          <w:p>
            <w:r>
              <w:rPr>
                <w:b/>
                <w:bCs/>
                <w:i w:val="false"/>
                <w:iCs w:val="false"/>
                <w:sz w:val="18"/>
                <w:szCs w:val="18"/>
              </w:rPr>
              <w:t xml:space="preserve">Patchy Environments and Metapopulations II: Colonization–Extinction Dynamics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13</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Colonization–extinction dynamics across multiple interacting species; spatial coexistence mechanisms; connectivity and diversity maintenance in fragmented landscapes</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35</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Nov 17</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Metacommunities I: The Four Paradigms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14</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Defining the metacommunity concept; the four classic paradigms (patch dynamics, species sorting, mass effects, neutral); how each paradigm makes different predictions about diversity patterns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Nov 19</w:t>
            </w:r>
          </w:p>
        </w:tc>
        <w:tc>
          <w:tcPr>
            <w:tcW w:type="dxa" w:w="2600"/>
            <w:tcMar>
              <w:top w:type="dxa" w:w="80"/>
              <w:left w:type="dxa" w:w="100"/>
              <w:bottom w:type="dxa" w:w="80"/>
              <w:right w:type="dxa" w:w="100"/>
            </w:tcMar>
            <w:vAlign w:val="center"/>
          </w:tcPr>
          <w:p>
            <w:r>
              <w:rPr>
                <w:b/>
                <w:bCs/>
                <w:i w:val="false"/>
                <w:iCs w:val="false"/>
                <w:sz w:val="18"/>
                <w:szCs w:val="18"/>
              </w:rPr>
              <w:t xml:space="preserve">Metacommunities II: Empirical Tests and Applications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14</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Variance partitioning (environment vs. space) as a test of metacommunity paradigms; empirical case studies across taxa; applications to landscape and conservation planning</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37</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Nov 21</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Species in Variable Environments I: Temporal Variability and the Storage Effect</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15</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Temporal environmental variability as a coexistence mechanism; the storage effect (Chesson); buffered population growth; relative nonlinearity of competition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Nov 24</w:t>
            </w:r>
          </w:p>
        </w:tc>
        <w:tc>
          <w:tcPr>
            <w:tcW w:type="dxa" w:w="2600"/>
            <w:tcMar>
              <w:top w:type="dxa" w:w="80"/>
              <w:left w:type="dxa" w:w="100"/>
              <w:bottom w:type="dxa" w:w="80"/>
              <w:right w:type="dxa" w:w="100"/>
            </w:tcMar>
            <w:vAlign w:val="center"/>
          </w:tcPr>
          <w:p>
            <w:r>
              <w:rPr>
                <w:b/>
                <w:bCs/>
                <w:i w:val="false"/>
                <w:iCs w:val="false"/>
                <w:sz w:val="18"/>
                <w:szCs w:val="18"/>
              </w:rPr>
              <w:t xml:space="preserve">Species in Variable Environments II: Fluctuation-Dependent Coexistence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15</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Empirical evidence for fluctuation-dependent coexistence; desert annual plant systems; climate variability and its effects on community diversity over time</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Wed Nov 26</w:t>
            </w:r>
          </w:p>
        </w:tc>
        <w:tc>
          <w:tcPr>
            <w:tcW w:type="dxa" w:w="2600"/>
            <w:shd w:fill="EDEDED" w:val="clear"/>
            <w:tcMar>
              <w:top w:type="dxa" w:w="80"/>
              <w:left w:type="dxa" w:w="100"/>
              <w:bottom w:type="dxa" w:w="80"/>
              <w:right w:type="dxa" w:w="100"/>
            </w:tcMar>
            <w:vAlign w:val="center"/>
          </w:tcPr>
          <w:p>
            <w:r>
              <w:rPr>
                <w:b/>
                <w:bCs/>
                <w:i/>
                <w:iCs/>
                <w:sz w:val="18"/>
                <w:szCs w:val="18"/>
              </w:rPr>
              <w:t xml:space="preserve">No Class — Thanksgiving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Fri Nov 28</w:t>
            </w:r>
          </w:p>
        </w:tc>
        <w:tc>
          <w:tcPr>
            <w:tcW w:type="dxa" w:w="2600"/>
            <w:shd w:fill="EDEDED" w:val="clear"/>
            <w:tcMar>
              <w:top w:type="dxa" w:w="80"/>
              <w:left w:type="dxa" w:w="100"/>
              <w:bottom w:type="dxa" w:w="80"/>
              <w:right w:type="dxa" w:w="100"/>
            </w:tcMar>
            <w:vAlign w:val="center"/>
          </w:tcPr>
          <w:p>
            <w:r>
              <w:rPr>
                <w:b/>
                <w:bCs/>
                <w:i/>
                <w:iCs/>
                <w:sz w:val="18"/>
                <w:szCs w:val="18"/>
              </w:rPr>
              <w:t xml:space="preserve">No Class — Thanksgiving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39</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Dec 1</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Evolutionary Community Ecology I: Community Phylogenetics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16</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Incorporating phylogeny into community ecology; phylogenetic diversity and structure metrics; phylogenetic clustering vs. overdispersion as signatures of assembly process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Dec 3</w:t>
            </w:r>
          </w:p>
        </w:tc>
        <w:tc>
          <w:tcPr>
            <w:tcW w:type="dxa" w:w="2600"/>
            <w:tcMar>
              <w:top w:type="dxa" w:w="80"/>
              <w:left w:type="dxa" w:w="100"/>
              <w:bottom w:type="dxa" w:w="80"/>
              <w:right w:type="dxa" w:w="100"/>
            </w:tcMar>
            <w:vAlign w:val="center"/>
          </w:tcPr>
          <w:p>
            <w:r>
              <w:rPr>
                <w:b/>
                <w:bCs/>
                <w:i w:val="false"/>
                <w:iCs w:val="false"/>
                <w:sz w:val="18"/>
                <w:szCs w:val="18"/>
              </w:rPr>
              <w:t xml:space="preserve">Evolutionary Community Ecology II: Eco-Evolutionary Feedbacks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16</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Rapid evolution and its community-level consequences; character displacement revisited through an evolutionary lens; eco-evolutionary feedback loops; adaptive radiation and community diversification</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41</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Fri Dec 5</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Applied Community Ecology I: Restoration and Invasive Species</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Community-level approaches to ecological restoration; reference-community concepts; invasive species as disruptors of community structure and network topology; novel ecosystems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Dec 8</w:t>
            </w:r>
          </w:p>
        </w:tc>
        <w:tc>
          <w:tcPr>
            <w:tcW w:type="dxa" w:w="2600"/>
            <w:tcMar>
              <w:top w:type="dxa" w:w="80"/>
              <w:left w:type="dxa" w:w="100"/>
              <w:bottom w:type="dxa" w:w="80"/>
              <w:right w:type="dxa" w:w="100"/>
            </w:tcMar>
            <w:vAlign w:val="center"/>
          </w:tcPr>
          <w:p>
            <w:r>
              <w:rPr>
                <w:b/>
                <w:bCs/>
                <w:i w:val="false"/>
                <w:iCs w:val="false"/>
                <w:sz w:val="18"/>
                <w:szCs w:val="18"/>
              </w:rPr>
              <w:t xml:space="preserve">Applied Community Ecology II: Climate Change and Community Reassembly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Differential species range shifts under climate change; no-analog (novel) communities; phenological mismatch at the community scale; forecasting future community composition</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43</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Wed Dec 10</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Student Presentations I</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Student oral presentations applying community ecology theory to real datasets or case studies (Group A)</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Dec 12</w:t>
            </w:r>
          </w:p>
        </w:tc>
        <w:tc>
          <w:tcPr>
            <w:tcW w:type="dxa" w:w="2600"/>
            <w:tcMar>
              <w:top w:type="dxa" w:w="80"/>
              <w:left w:type="dxa" w:w="100"/>
              <w:bottom w:type="dxa" w:w="80"/>
              <w:right w:type="dxa" w:w="100"/>
            </w:tcMar>
            <w:vAlign w:val="center"/>
          </w:tcPr>
          <w:p>
            <w:r>
              <w:rPr>
                <w:b/>
                <w:bCs/>
                <w:i w:val="false"/>
                <w:iCs w:val="false"/>
                <w:sz w:val="18"/>
                <w:szCs w:val="18"/>
              </w:rPr>
              <w:t xml:space="preserve">Student Presentations II</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Student oral presentations applying community ecology theory to real datasets or case studies (Group B)</w:t>
            </w:r>
          </w:p>
        </w:tc>
      </w:tr>
      <w:tr>
        <w:tc>
          <w:tcPr>
            <w:tcW w:type="dxa" w:w="560"/>
            <w:shd w:fill="F5F7FA" w:val="clear"/>
            <w:tcMar>
              <w:top w:type="dxa" w:w="80"/>
              <w:left w:type="dxa" w:w="100"/>
              <w:bottom w:type="dxa" w:w="80"/>
              <w:right w:type="dxa" w:w="100"/>
            </w:tcMar>
            <w:vAlign w:val="center"/>
          </w:tcPr>
          <w:p>
            <w:r>
              <w:rPr>
                <w:b w:val="false"/>
                <w:bCs w:val="false"/>
                <w:i w:val="false"/>
                <w:iCs w:val="false"/>
                <w:sz w:val="18"/>
                <w:szCs w:val="18"/>
              </w:rPr>
              <w:t xml:space="preserve">45</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Mon Dec 15</w:t>
            </w:r>
          </w:p>
        </w:tc>
        <w:tc>
          <w:tcPr>
            <w:tcW w:type="dxa" w:w="2600"/>
            <w:shd w:fill="F5F7FA" w:val="clear"/>
            <w:tcMar>
              <w:top w:type="dxa" w:w="80"/>
              <w:left w:type="dxa" w:w="100"/>
              <w:bottom w:type="dxa" w:w="80"/>
              <w:right w:type="dxa" w:w="100"/>
            </w:tcMar>
            <w:vAlign w:val="center"/>
          </w:tcPr>
          <w:p>
            <w:r>
              <w:rPr>
                <w:b/>
                <w:bCs/>
                <w:i w:val="false"/>
                <w:iCs w:val="false"/>
                <w:sz w:val="18"/>
                <w:szCs w:val="18"/>
              </w:rPr>
              <w:t xml:space="preserve">Course Synthesis and Review</w:t>
            </w:r>
          </w:p>
        </w:tc>
        <w:tc>
          <w:tcPr>
            <w:tcW w:type="dxa" w:w="1300"/>
            <w:shd w:fill="F5F7FA" w:val="clear"/>
            <w:tcMar>
              <w:top w:type="dxa" w:w="80"/>
              <w:left w:type="dxa" w:w="100"/>
              <w:bottom w:type="dxa" w:w="80"/>
              <w:right w:type="dxa" w:w="100"/>
            </w:tcMar>
            <w:vAlign w:val="center"/>
          </w:tcPr>
          <w:p>
            <w:r>
              <w:rPr>
                <w:b w:val="false"/>
                <w:bCs w:val="false"/>
                <w:i w:val="false"/>
                <w:iCs w:val="false"/>
                <w:sz w:val="18"/>
                <w:szCs w:val="18"/>
              </w:rPr>
              <w:t xml:space="preserve">Ch. 17 + All Ch.</w:t>
            </w:r>
          </w:p>
        </w:tc>
        <w:tc>
          <w:tcPr>
            <w:tcW w:type="dxa" w:w="3900"/>
            <w:shd w:fill="F5F7FA" w:val="clear"/>
            <w:tcMar>
              <w:top w:type="dxa" w:w="80"/>
              <w:left w:type="dxa" w:w="100"/>
              <w:bottom w:type="dxa" w:w="80"/>
              <w:right w:type="dxa" w:w="100"/>
            </w:tcMar>
            <w:vAlign w:val="center"/>
          </w:tcPr>
          <w:p>
            <w:r>
              <w:rPr>
                <w:b w:val="false"/>
                <w:bCs w:val="false"/>
                <w:i w:val="false"/>
                <w:iCs w:val="false"/>
                <w:sz w:val="18"/>
                <w:szCs w:val="18"/>
              </w:rPr>
              <w:t xml:space="preserve">Synthesis across the course's five parts: diversity patterns, simple interaction modules, networks and food webs, spatial/metacommunity ecology, and eco-evolutionary dynamics; unresolved questions in community ecology; connections to Principles of Ecology and Population Ecology; final exam review and Q&amp;A</w:t>
            </w:r>
          </w:p>
        </w:tc>
      </w:tr>
      <w:tr>
        <w:tc>
          <w:tcPr>
            <w:tcW w:type="dxa" w:w="560"/>
            <w:shd w:fill="D9E2EC" w:val="clear"/>
            <w:tcMar>
              <w:top w:type="dxa" w:w="80"/>
              <w:left w:type="dxa" w:w="100"/>
              <w:bottom w:type="dxa" w:w="80"/>
              <w:right w:type="dxa" w:w="100"/>
            </w:tcMar>
            <w:vAlign w:val="center"/>
          </w:tcPr>
          <w:p>
            <w:r>
              <w:rPr>
                <w:b/>
                <w:bCs/>
                <w:i/>
                <w:iCs/>
                <w:sz w:val="18"/>
                <w:szCs w:val="18"/>
              </w:rPr>
              <w:t xml:space="preserve">—</w:t>
            </w:r>
          </w:p>
        </w:tc>
        <w:tc>
          <w:tcPr>
            <w:tcW w:type="dxa" w:w="1300"/>
            <w:shd w:fill="D9E2EC" w:val="clear"/>
            <w:tcMar>
              <w:top w:type="dxa" w:w="80"/>
              <w:left w:type="dxa" w:w="100"/>
              <w:bottom w:type="dxa" w:w="80"/>
              <w:right w:type="dxa" w:w="100"/>
            </w:tcMar>
            <w:vAlign w:val="center"/>
          </w:tcPr>
          <w:p>
            <w:r>
              <w:rPr>
                <w:b/>
                <w:bCs/>
                <w:i/>
                <w:iCs/>
                <w:sz w:val="18"/>
                <w:szCs w:val="18"/>
              </w:rPr>
              <w:t xml:space="preserve">Finals Week</w:t>
            </w:r>
          </w:p>
        </w:tc>
        <w:tc>
          <w:tcPr>
            <w:tcW w:type="dxa" w:w="2600"/>
            <w:shd w:fill="D9E2EC" w:val="clear"/>
            <w:tcMar>
              <w:top w:type="dxa" w:w="80"/>
              <w:left w:type="dxa" w:w="100"/>
              <w:bottom w:type="dxa" w:w="80"/>
              <w:right w:type="dxa" w:w="100"/>
            </w:tcMar>
            <w:vAlign w:val="center"/>
          </w:tcPr>
          <w:p>
            <w:r>
              <w:rPr>
                <w:b/>
                <w:bCs/>
                <w:i/>
                <w:iCs/>
                <w:sz w:val="18"/>
                <w:szCs w:val="18"/>
              </w:rPr>
              <w:t xml:space="preserve">FINAL EXAM (comprehensive)</w:t>
            </w:r>
          </w:p>
        </w:tc>
        <w:tc>
          <w:tcPr>
            <w:tcW w:type="dxa" w:w="1300"/>
            <w:shd w:fill="D9E2EC" w:val="clear"/>
            <w:tcMar>
              <w:top w:type="dxa" w:w="80"/>
              <w:left w:type="dxa" w:w="100"/>
              <w:bottom w:type="dxa" w:w="80"/>
              <w:right w:type="dxa" w:w="100"/>
            </w:tcMar>
            <w:vAlign w:val="center"/>
          </w:tcPr>
          <w:p>
            <w:r>
              <w:rPr>
                <w:b w:val="false"/>
                <w:bCs w:val="false"/>
                <w:i/>
                <w:iCs/>
                <w:sz w:val="18"/>
                <w:szCs w:val="18"/>
              </w:rPr>
              <w:t xml:space="preserve">All Ch.</w:t>
            </w:r>
          </w:p>
        </w:tc>
        <w:tc>
          <w:tcPr>
            <w:tcW w:type="dxa" w:w="3900"/>
            <w:shd w:fill="D9E2EC" w:val="clear"/>
            <w:tcMar>
              <w:top w:type="dxa" w:w="80"/>
              <w:left w:type="dxa" w:w="100"/>
              <w:bottom w:type="dxa" w:w="80"/>
              <w:right w:type="dxa" w:w="100"/>
            </w:tcMar>
            <w:vAlign w:val="center"/>
          </w:tcPr>
          <w:p>
            <w:r>
              <w:rPr>
                <w:b w:val="false"/>
                <w:bCs w:val="false"/>
                <w:i/>
                <w:iCs/>
                <w:sz w:val="18"/>
                <w:szCs w:val="18"/>
              </w:rPr>
              <w:t xml:space="preserve">Date and room assigned by Registrar. Covers all 17 chapters and Lectures 1–45</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2026-07-18T14:29:31.134Z</dcterms:created>
  <dcterms:modified xsi:type="dcterms:W3CDTF">2026-07-18T14:29:31.135Z</dcterms:modified>
</cp:coreProperties>
</file>

<file path=docProps/custom.xml><?xml version="1.0" encoding="utf-8"?>
<Properties xmlns="http://schemas.openxmlformats.org/officeDocument/2006/custom-properties" xmlns:vt="http://schemas.openxmlformats.org/officeDocument/2006/docPropsVTypes"/>
</file>