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339"/>
          <w:sz w:val="40"/>
          <w:szCs w:val="40"/>
        </w:rPr>
        <w:t xml:space="preserve">POPULATION ECOLOGY</w:t>
      </w:r>
    </w:p>
    <w:p>
      <w:pPr>
        <w:spacing w:after="60"/>
        <w:jc w:val="center"/>
      </w:pPr>
      <w:r>
        <w:rPr>
          <w:sz w:val="21"/>
          <w:szCs w:val="21"/>
        </w:rPr>
        <w:t xml:space="preserve">BIOL 4XX · 3 Credit Hours · Fall Semester 202X</w:t>
      </w:r>
    </w:p>
    <w:p>
      <w:pPr>
        <w:spacing w:after="40"/>
        <w:jc w:val="center"/>
      </w:pPr>
      <w:r>
        <w:rPr>
          <w:i/>
          <w:iCs/>
          <w:sz w:val="20"/>
          <w:szCs w:val="20"/>
        </w:rPr>
        <w:t xml:space="preserve">Lecture: MWF 10:00–10:50 AM · Room: [—]</w:t>
      </w:r>
    </w:p>
    <w:p>
      <w:pPr>
        <w:spacing w:after="40"/>
        <w:jc w:val="center"/>
      </w:pPr>
      <w:r>
        <w:rPr>
          <w:i/>
          <w:iCs/>
          <w:sz w:val="20"/>
          <w:szCs w:val="20"/>
        </w:rPr>
        <w:t xml:space="preserve">Instructor: [—] · Office: [—] · Email: [—]</w:t>
      </w:r>
    </w:p>
    <w:p>
      <w:pPr>
        <w:spacing w:after="200"/>
        <w:jc w:val="center"/>
      </w:pPr>
      <w:r>
        <w:rPr>
          <w:i/>
          <w:iCs/>
          <w:sz w:val="20"/>
          <w:szCs w:val="20"/>
        </w:rPr>
        <w:t xml:space="preserve">Office Hours: [—] · Canvas: [—]</w:t>
      </w:r>
    </w:p>
    <w:p>
      <w:pPr>
        <w:pBdr>
          <w:bottom w:val="single" w:color="999999" w:sz="6" w:space="4"/>
        </w:pBdr>
        <w:spacing w:after="200"/>
      </w:pPr>
    </w:p>
    <w:p>
      <w:pPr>
        <w:pStyle w:val="Heading1"/>
        <w:spacing w:after="150" w:before="300"/>
      </w:pPr>
      <w:r>
        <w:rPr>
          <w:b/>
          <w:bCs/>
          <w:color w:val="2E5339"/>
          <w:sz w:val="26"/>
          <w:szCs w:val="26"/>
        </w:rPr>
        <w:t xml:space="preserve">1. Course Description</w:t>
      </w:r>
    </w:p>
    <w:p>
      <w:pPr>
        <w:spacing w:after="150"/>
      </w:pPr>
      <w:r>
        <w:rPr>
          <w:sz w:val="21"/>
          <w:szCs w:val="21"/>
        </w:rPr>
        <w:t xml:space="preserve">This course provides a rigorous, quantitative treatment of population ecology — the study of how and why the abundance of organisms changes through time and space. Using Rockwood’s Introduction to Population Ecology (2nd ed., 2015) as the primary text, the course develops the mathematical models that underlie modern population biology: density-independent and density-dependent growth, age- and stage-structured demography, metapopulation dynamics, life-history theory, and the full range of interspecific interactions (competition, mutualism, host–parasite, predator–prey, plant–herbivore, and multi-trophic modules). Building on the descriptive and conceptual foundation established in Principles of Ecology, this course emphasizes model derivation, parameter estimation, stability analysis, and the confrontation of theory with laboratory and field data. Applied topics — harvesting theory, pest management, and conservation biology — are integrated throughout. The course consists of 45 lectures organized into two thematic parts (single-species populations; interspecific interactions among populations), with two in-semester exams and a comprehensive final.</w:t>
      </w:r>
    </w:p>
    <w:p>
      <w:pPr>
        <w:pStyle w:val="Heading1"/>
        <w:spacing w:after="150" w:before="300"/>
      </w:pPr>
      <w:r>
        <w:rPr>
          <w:b/>
          <w:bCs/>
          <w:color w:val="2E5339"/>
          <w:sz w:val="26"/>
          <w:szCs w:val="26"/>
        </w:rPr>
        <w:t xml:space="preserve">2. Prerequisites</w:t>
      </w:r>
    </w:p>
    <w:p>
      <w:pPr>
        <w:spacing w:after="150"/>
      </w:pPr>
      <w:r>
        <w:rPr>
          <w:sz w:val="21"/>
          <w:szCs w:val="21"/>
        </w:rPr>
        <w:t xml:space="preserve">Principles of Ecology (BIOL 3XX) with a grade of C or better; MATH 1XX (Calculus I) required. Familiarity with basic matrix algebra is helpful but not assumed — the necessary tools are introduced in Lecture 14 and Appendix 2 of the text. Students without prerequisites must obtain instructor consent before enrolling.</w:t>
      </w:r>
    </w:p>
    <w:p>
      <w:pPr>
        <w:pStyle w:val="Heading1"/>
        <w:spacing w:after="150" w:before="300"/>
      </w:pPr>
      <w:r>
        <w:rPr>
          <w:b/>
          <w:bCs/>
          <w:color w:val="2E5339"/>
          <w:sz w:val="26"/>
          <w:szCs w:val="26"/>
        </w:rPr>
        <w:t xml:space="preserve">3. Student Learning Outcomes</w:t>
      </w:r>
    </w:p>
    <w:p>
      <w:pPr>
        <w:spacing w:after="150"/>
      </w:pPr>
      <w:r>
        <w:rPr>
          <w:sz w:val="21"/>
          <w:szCs w:val="21"/>
        </w:rPr>
        <w:t xml:space="preserve">Upon successful completion, students will be able to:</w:t>
      </w:r>
    </w:p>
    <w:p>
      <w:pPr>
        <w:pStyle w:val="ListParagraph"/>
        <w:numPr>
          <w:ilvl w:val="0"/>
          <w:numId w:val="2"/>
        </w:numPr>
        <w:spacing w:after="90"/>
      </w:pPr>
      <w:r>
        <w:rPr>
          <w:sz w:val="21"/>
          <w:szCs w:val="21"/>
        </w:rPr>
        <w:t xml:space="preserve">Derive and apply density-independent and density-dependent population growth models (geometric, exponential, logistic) to real and simulated datasets.</w:t>
      </w:r>
    </w:p>
    <w:p>
      <w:pPr>
        <w:pStyle w:val="ListParagraph"/>
        <w:numPr>
          <w:ilvl w:val="0"/>
          <w:numId w:val="2"/>
        </w:numPr>
        <w:spacing w:after="90"/>
      </w:pPr>
      <w:r>
        <w:rPr>
          <w:sz w:val="21"/>
          <w:szCs w:val="21"/>
        </w:rPr>
        <w:t xml:space="preserve">Construct and analyze age- and stage-structured population models using matrix algebra (Leslie/Lefkovitch matrices, dominant eigenvalues, stable age distribution, reproductive value, sensitivity and elasticity analysis).</w:t>
      </w:r>
    </w:p>
    <w:p>
      <w:pPr>
        <w:pStyle w:val="ListParagraph"/>
        <w:numPr>
          <w:ilvl w:val="0"/>
          <w:numId w:val="2"/>
        </w:numPr>
        <w:spacing w:after="90"/>
      </w:pPr>
      <w:r>
        <w:rPr>
          <w:sz w:val="21"/>
          <w:szCs w:val="21"/>
        </w:rPr>
        <w:t xml:space="preserve">Evaluate metapopulation models (Levins, incidence function, spatially realistic) and apply them to questions of habitat fragmentation, connectivity, and reserve design.</w:t>
      </w:r>
    </w:p>
    <w:p>
      <w:pPr>
        <w:pStyle w:val="ListParagraph"/>
        <w:numPr>
          <w:ilvl w:val="0"/>
          <w:numId w:val="2"/>
        </w:numPr>
        <w:spacing w:after="90"/>
      </w:pPr>
      <w:r>
        <w:rPr>
          <w:sz w:val="21"/>
          <w:szCs w:val="21"/>
        </w:rPr>
        <w:t xml:space="preserve">Compare life-history strategies using trade-off frameworks and evolutionary theories of reproduction, aging, and senescence.</w:t>
      </w:r>
    </w:p>
    <w:p>
      <w:pPr>
        <w:pStyle w:val="ListParagraph"/>
        <w:numPr>
          <w:ilvl w:val="0"/>
          <w:numId w:val="2"/>
        </w:numPr>
        <w:spacing w:after="90"/>
      </w:pPr>
      <w:r>
        <w:rPr>
          <w:sz w:val="21"/>
          <w:szCs w:val="21"/>
        </w:rPr>
        <w:t xml:space="preserve">Apply Lotka–Volterra and related mathematical models to interspecific competition, mutualism, host–parasite interactions, predator–prey dynamics, and plant–herbivore interactions, and interpret their equilibria and stability properties.</w:t>
      </w:r>
    </w:p>
    <w:p>
      <w:pPr>
        <w:pStyle w:val="ListParagraph"/>
        <w:numPr>
          <w:ilvl w:val="0"/>
          <w:numId w:val="2"/>
        </w:numPr>
        <w:spacing w:after="90"/>
      </w:pPr>
      <w:r>
        <w:rPr>
          <w:sz w:val="21"/>
          <w:szCs w:val="21"/>
        </w:rPr>
        <w:t xml:space="preserve">Analyze multi-trophic interaction modules (trophic cascades, apparent competition, intraguild predation) and their consequences for food web complexity and stability.</w:t>
      </w:r>
    </w:p>
    <w:p>
      <w:pPr>
        <w:pStyle w:val="ListParagraph"/>
        <w:numPr>
          <w:ilvl w:val="0"/>
          <w:numId w:val="2"/>
        </w:numPr>
        <w:spacing w:after="90"/>
      </w:pPr>
      <w:r>
        <w:rPr>
          <w:sz w:val="21"/>
          <w:szCs w:val="21"/>
        </w:rPr>
        <w:t xml:space="preserve">Apply quantitative population models to applied problems in harvesting, pest management, and conservation biology, including population viability analysis.</w:t>
      </w:r>
    </w:p>
    <w:p>
      <w:pPr>
        <w:pStyle w:val="ListParagraph"/>
        <w:numPr>
          <w:ilvl w:val="0"/>
          <w:numId w:val="2"/>
        </w:numPr>
        <w:spacing w:after="90"/>
      </w:pPr>
      <w:r>
        <w:rPr>
          <w:sz w:val="21"/>
          <w:szCs w:val="21"/>
        </w:rPr>
        <w:t xml:space="preserve">Use statistical/computational tools (e.g., R) to parameterize, simulate, and critically evaluate population models against data.</w:t>
      </w:r>
    </w:p>
    <w:p>
      <w:pPr>
        <w:pStyle w:val="Heading1"/>
        <w:spacing w:after="150" w:before="300"/>
      </w:pPr>
      <w:r>
        <w:rPr>
          <w:b/>
          <w:bCs/>
          <w:color w:val="2E5339"/>
          <w:sz w:val="26"/>
          <w:szCs w:val="26"/>
        </w:rPr>
        <w:t xml:space="preserve">4. Required Materials</w:t>
      </w:r>
    </w:p>
    <w:p>
      <w:pPr>
        <w:spacing w:after="150"/>
      </w:pPr>
      <w:r>
        <w:rPr>
          <w:b/>
          <w:bCs/>
          <w:sz w:val="21"/>
          <w:szCs w:val="21"/>
        </w:rPr>
        <w:t xml:space="preserve">Textbook (required):</w:t>
      </w:r>
    </w:p>
    <w:p>
      <w:pPr>
        <w:pStyle w:val="ListParagraph"/>
        <w:numPr>
          <w:ilvl w:val="0"/>
          <w:numId w:val="2"/>
        </w:numPr>
        <w:spacing w:after="90"/>
      </w:pPr>
      <w:r>
        <w:rPr>
          <w:sz w:val="21"/>
          <w:szCs w:val="21"/>
        </w:rPr>
        <w:t xml:space="preserve">Rockwood, L. L. (2015). Introduction to Population Ecology (2nd ed., 12 chapters + appendices, ≈360 pp.). Wiley-Blackwell. ISBN 978-1-118-94757-9.</w:t>
      </w:r>
    </w:p>
    <w:p>
      <w:pPr>
        <w:spacing w:after="150"/>
      </w:pPr>
      <w:r>
        <w:rPr>
          <w:b/>
          <w:bCs/>
          <w:sz w:val="21"/>
          <w:szCs w:val="21"/>
        </w:rPr>
        <w:t xml:space="preserve">Recommended supplements:</w:t>
      </w:r>
    </w:p>
    <w:p>
      <w:pPr>
        <w:pStyle w:val="ListParagraph"/>
        <w:numPr>
          <w:ilvl w:val="0"/>
          <w:numId w:val="2"/>
        </w:numPr>
        <w:spacing w:after="90"/>
      </w:pPr>
      <w:r>
        <w:rPr>
          <w:sz w:val="21"/>
          <w:szCs w:val="21"/>
        </w:rPr>
        <w:t xml:space="preserve">R statistical software (free; r-project.org) — used for problem sets involving model simulation, matrix projection, and parameter estimation.</w:t>
      </w:r>
    </w:p>
    <w:p>
      <w:pPr>
        <w:pStyle w:val="ListParagraph"/>
        <w:numPr>
          <w:ilvl w:val="0"/>
          <w:numId w:val="2"/>
        </w:numPr>
        <w:spacing w:after="90"/>
      </w:pPr>
      <w:r>
        <w:rPr>
          <w:sz w:val="21"/>
          <w:szCs w:val="21"/>
        </w:rPr>
        <w:t xml:space="preserve">Scientific calculator or spreadsheet software (Excel/Sheets) as an alternative to R for problem sets.</w:t>
      </w:r>
    </w:p>
    <w:p>
      <w:pPr>
        <w:pStyle w:val="ListParagraph"/>
        <w:numPr>
          <w:ilvl w:val="0"/>
          <w:numId w:val="2"/>
        </w:numPr>
        <w:spacing w:after="90"/>
      </w:pPr>
      <w:r>
        <w:rPr>
          <w:sz w:val="21"/>
          <w:szCs w:val="21"/>
        </w:rPr>
        <w:t xml:space="preserve">Student Companion Site (bcs.wiley.com) — supplementary figures, tables, and worked examples by chapter.</w:t>
      </w:r>
    </w:p>
    <w:p>
      <w:pPr>
        <w:pStyle w:val="Heading1"/>
        <w:spacing w:after="150" w:before="300"/>
      </w:pPr>
      <w:r>
        <w:rPr>
          <w:b/>
          <w:bCs/>
          <w:color w:val="2E5339"/>
          <w:sz w:val="26"/>
          <w:szCs w:val="26"/>
        </w:rPr>
        <w:t xml:space="preserve">5. Grading</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60"/>
      </w:tblGrid>
      <w:tr>
        <w:trPr>
          <w:tblHeader/>
        </w:trPr>
        <w:tc>
          <w:tcPr>
            <w:tcW w:type="dxa" w:w="2400"/>
            <w:shd w:fill="2E5339" w:val="clear"/>
            <w:tcMar>
              <w:top w:type="dxa" w:w="80"/>
              <w:left w:type="dxa" w:w="100"/>
              <w:bottom w:type="dxa" w:w="80"/>
              <w:right w:type="dxa" w:w="100"/>
            </w:tcMar>
            <w:vAlign w:val="center"/>
          </w:tcPr>
          <w:p>
            <w:r>
              <w:rPr>
                <w:b/>
                <w:bCs/>
                <w:i w:val="false"/>
                <w:iCs w:val="false"/>
                <w:color w:val="FFFFFF"/>
                <w:sz w:val="18"/>
                <w:szCs w:val="18"/>
              </w:rPr>
              <w:t xml:space="preserve">Component</w:t>
            </w:r>
          </w:p>
        </w:tc>
        <w:tc>
          <w:tcPr>
            <w:tcW w:type="dxa" w:w="1200"/>
            <w:shd w:fill="2E5339" w:val="clear"/>
            <w:tcMar>
              <w:top w:type="dxa" w:w="80"/>
              <w:left w:type="dxa" w:w="100"/>
              <w:bottom w:type="dxa" w:w="80"/>
              <w:right w:type="dxa" w:w="100"/>
            </w:tcMar>
            <w:vAlign w:val="center"/>
          </w:tcPr>
          <w:p>
            <w:r>
              <w:rPr>
                <w:b/>
                <w:bCs/>
                <w:i w:val="false"/>
                <w:iCs w:val="false"/>
                <w:color w:val="FFFFFF"/>
                <w:sz w:val="18"/>
                <w:szCs w:val="18"/>
              </w:rPr>
              <w:t xml:space="preserve">Weight</w:t>
            </w:r>
          </w:p>
        </w:tc>
        <w:tc>
          <w:tcPr>
            <w:tcW w:type="dxa" w:w="6060"/>
            <w:shd w:fill="2E5339" w:val="clear"/>
            <w:tcMar>
              <w:top w:type="dxa" w:w="80"/>
              <w:left w:type="dxa" w:w="100"/>
              <w:bottom w:type="dxa" w:w="80"/>
              <w:right w:type="dxa" w:w="100"/>
            </w:tcMar>
            <w:vAlign w:val="center"/>
          </w:tcPr>
          <w:p>
            <w:r>
              <w:rPr>
                <w:b/>
                <w:bCs/>
                <w:i w:val="false"/>
                <w:iCs w:val="false"/>
                <w:color w:val="FFFFFF"/>
                <w:sz w:val="18"/>
                <w:szCs w:val="18"/>
              </w:rPr>
              <w:t xml:space="preserve">Notes</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Midterm Exam I</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Lectures 1–19; closed-book; problem-solving + short answer</w:t>
            </w:r>
          </w:p>
        </w:tc>
      </w:tr>
      <w:tr>
        <w:tc>
          <w:tcPr>
            <w:tcW w:type="dxa" w:w="2400"/>
            <w:shd w:fill="F2F5EF" w:val="clear"/>
            <w:tcMar>
              <w:top w:type="dxa" w:w="80"/>
              <w:left w:type="dxa" w:w="100"/>
              <w:bottom w:type="dxa" w:w="80"/>
              <w:right w:type="dxa" w:w="100"/>
            </w:tcMar>
            <w:vAlign w:val="center"/>
          </w:tcPr>
          <w:p>
            <w:r>
              <w:rPr>
                <w:b w:val="false"/>
                <w:bCs w:val="false"/>
                <w:i w:val="false"/>
                <w:iCs w:val="false"/>
                <w:sz w:val="18"/>
                <w:szCs w:val="18"/>
              </w:rPr>
              <w:t xml:space="preserve">Midterm Exam II</w:t>
            </w:r>
          </w:p>
        </w:tc>
        <w:tc>
          <w:tcPr>
            <w:tcW w:type="dxa" w:w="1200"/>
            <w:shd w:fill="F2F5EF" w:val="clear"/>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6060"/>
            <w:shd w:fill="F2F5EF" w:val="clear"/>
            <w:tcMar>
              <w:top w:type="dxa" w:w="80"/>
              <w:left w:type="dxa" w:w="100"/>
              <w:bottom w:type="dxa" w:w="80"/>
              <w:right w:type="dxa" w:w="100"/>
            </w:tcMar>
            <w:vAlign w:val="center"/>
          </w:tcPr>
          <w:p>
            <w:r>
              <w:rPr>
                <w:b w:val="false"/>
                <w:bCs w:val="false"/>
                <w:i w:val="false"/>
                <w:iCs w:val="false"/>
                <w:sz w:val="18"/>
                <w:szCs w:val="18"/>
              </w:rPr>
              <w:t xml:space="preserve">Lectures 20–31; closed-book; problem-solving + short answer</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Final Exam (cumulative)</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25%</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All lectures; scheduled by Registrar</w:t>
            </w:r>
          </w:p>
        </w:tc>
      </w:tr>
      <w:tr>
        <w:tc>
          <w:tcPr>
            <w:tcW w:type="dxa" w:w="2400"/>
            <w:shd w:fill="F2F5EF" w:val="clear"/>
            <w:tcMar>
              <w:top w:type="dxa" w:w="80"/>
              <w:left w:type="dxa" w:w="100"/>
              <w:bottom w:type="dxa" w:w="80"/>
              <w:right w:type="dxa" w:w="100"/>
            </w:tcMar>
            <w:vAlign w:val="center"/>
          </w:tcPr>
          <w:p>
            <w:r>
              <w:rPr>
                <w:b w:val="false"/>
                <w:bCs w:val="false"/>
                <w:i w:val="false"/>
                <w:iCs w:val="false"/>
                <w:sz w:val="18"/>
                <w:szCs w:val="18"/>
              </w:rPr>
              <w:t xml:space="preserve">Problem Sets (×12, weekly)</w:t>
            </w:r>
          </w:p>
        </w:tc>
        <w:tc>
          <w:tcPr>
            <w:tcW w:type="dxa" w:w="1200"/>
            <w:shd w:fill="F2F5EF" w:val="clear"/>
            <w:tcMar>
              <w:top w:type="dxa" w:w="80"/>
              <w:left w:type="dxa" w:w="100"/>
              <w:bottom w:type="dxa" w:w="80"/>
              <w:right w:type="dxa" w:w="100"/>
            </w:tcMar>
            <w:vAlign w:val="center"/>
          </w:tcPr>
          <w:p>
            <w:r>
              <w:rPr>
                <w:b w:val="false"/>
                <w:bCs w:val="false"/>
                <w:i w:val="false"/>
                <w:iCs w:val="false"/>
                <w:sz w:val="18"/>
                <w:szCs w:val="18"/>
              </w:rPr>
              <w:t xml:space="preserve">15%</w:t>
            </w:r>
          </w:p>
        </w:tc>
        <w:tc>
          <w:tcPr>
            <w:tcW w:type="dxa" w:w="6060"/>
            <w:shd w:fill="F2F5EF" w:val="clear"/>
            <w:tcMar>
              <w:top w:type="dxa" w:w="80"/>
              <w:left w:type="dxa" w:w="100"/>
              <w:bottom w:type="dxa" w:w="80"/>
              <w:right w:type="dxa" w:w="100"/>
            </w:tcMar>
            <w:vAlign w:val="center"/>
          </w:tcPr>
          <w:p>
            <w:r>
              <w:rPr>
                <w:b w:val="false"/>
                <w:bCs w:val="false"/>
                <w:i w:val="false"/>
                <w:iCs w:val="false"/>
                <w:sz w:val="18"/>
                <w:szCs w:val="18"/>
              </w:rPr>
              <w:t xml:space="preserve">Quantitative/computational; due each Friday 11:59 PM on Canvas; may use R</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Research Paper (2,000 words)</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10%</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Original application of a population model to a real or literature dataset; due Week 13</w:t>
            </w:r>
          </w:p>
        </w:tc>
      </w:tr>
      <w:tr>
        <w:tc>
          <w:tcPr>
            <w:tcW w:type="dxa" w:w="2400"/>
            <w:shd w:fill="F2F5EF" w:val="clear"/>
            <w:tcMar>
              <w:top w:type="dxa" w:w="80"/>
              <w:left w:type="dxa" w:w="100"/>
              <w:bottom w:type="dxa" w:w="80"/>
              <w:right w:type="dxa" w:w="100"/>
            </w:tcMar>
            <w:vAlign w:val="center"/>
          </w:tcPr>
          <w:p>
            <w:r>
              <w:rPr>
                <w:b w:val="false"/>
                <w:bCs w:val="false"/>
                <w:i w:val="false"/>
                <w:iCs w:val="false"/>
                <w:sz w:val="18"/>
                <w:szCs w:val="18"/>
              </w:rPr>
              <w:t xml:space="preserve">Oral Presentation</w:t>
            </w:r>
          </w:p>
        </w:tc>
        <w:tc>
          <w:tcPr>
            <w:tcW w:type="dxa" w:w="1200"/>
            <w:shd w:fill="F2F5EF" w:val="clear"/>
            <w:tcMar>
              <w:top w:type="dxa" w:w="80"/>
              <w:left w:type="dxa" w:w="100"/>
              <w:bottom w:type="dxa" w:w="80"/>
              <w:right w:type="dxa" w:w="100"/>
            </w:tcMar>
            <w:vAlign w:val="center"/>
          </w:tcPr>
          <w:p>
            <w:r>
              <w:rPr>
                <w:b w:val="false"/>
                <w:bCs w:val="false"/>
                <w:i w:val="false"/>
                <w:iCs w:val="false"/>
                <w:sz w:val="18"/>
                <w:szCs w:val="18"/>
              </w:rPr>
              <w:t xml:space="preserve">5%</w:t>
            </w:r>
          </w:p>
        </w:tc>
        <w:tc>
          <w:tcPr>
            <w:tcW w:type="dxa" w:w="6060"/>
            <w:shd w:fill="F2F5EF" w:val="clear"/>
            <w:tcMar>
              <w:top w:type="dxa" w:w="80"/>
              <w:left w:type="dxa" w:w="100"/>
              <w:bottom w:type="dxa" w:w="80"/>
              <w:right w:type="dxa" w:w="100"/>
            </w:tcMar>
            <w:vAlign w:val="center"/>
          </w:tcPr>
          <w:p>
            <w:r>
              <w:rPr>
                <w:b w:val="false"/>
                <w:bCs w:val="false"/>
                <w:i w:val="false"/>
                <w:iCs w:val="false"/>
                <w:sz w:val="18"/>
                <w:szCs w:val="18"/>
              </w:rPr>
              <w:t xml:space="preserve">10-min talk; delivered Lectures 43–44</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Participation &amp; Discussion</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5%</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In-class engagement; peer review forms</w:t>
            </w:r>
          </w:p>
        </w:tc>
      </w:tr>
    </w:tbl>
    <w:p>
      <w:pPr>
        <w:spacing w:after="100" w:before="200"/>
      </w:pPr>
      <w:r>
        <w:rPr>
          <w:sz w:val="21"/>
          <w:szCs w:val="21"/>
        </w:rPr>
        <w:t xml:space="preserve">Grade Scale: A ≥ 90 · B 80–89 · C 70–79 · D 60–69 · F &lt; 60</w:t>
      </w:r>
    </w:p>
    <w:p>
      <w:pPr>
        <w:spacing w:after="150"/>
      </w:pPr>
      <w:r>
        <w:rPr>
          <w:sz w:val="21"/>
          <w:szCs w:val="21"/>
        </w:rPr>
        <w:t xml:space="preserve">Late work: ‒10% per calendar day; extensions require 48-hour advance notice. Exams may be made up only with documented medical or family emergencies.</w:t>
      </w:r>
    </w:p>
    <w:p>
      <w:pPr>
        <w:pStyle w:val="Heading1"/>
        <w:spacing w:after="150" w:before="300"/>
      </w:pPr>
      <w:r>
        <w:rPr>
          <w:b/>
          <w:bCs/>
          <w:color w:val="2E5339"/>
          <w:sz w:val="26"/>
          <w:szCs w:val="26"/>
        </w:rPr>
        <w:t xml:space="preserve">6. Course Policies</w:t>
      </w:r>
    </w:p>
    <w:p>
      <w:pPr>
        <w:spacing w:after="150"/>
      </w:pPr>
      <w:r>
        <w:rPr>
          <w:b/>
          <w:bCs/>
          <w:sz w:val="21"/>
          <w:szCs w:val="21"/>
        </w:rPr>
        <w:t xml:space="preserve">Attendance</w:t>
      </w:r>
    </w:p>
    <w:p>
      <w:pPr>
        <w:spacing w:after="150"/>
      </w:pPr>
      <w:r>
        <w:rPr>
          <w:sz w:val="21"/>
          <w:szCs w:val="21"/>
        </w:rPr>
        <w:t xml:space="preserve">Regular attendance is expected. More than four unexcused absences may result in grade reduction. You are responsible for all material covered in missed lectures, including any derivations or worked examples not reproduced in the slides.</w:t>
      </w:r>
    </w:p>
    <w:p>
      <w:pPr>
        <w:spacing w:after="150"/>
      </w:pPr>
      <w:r>
        <w:rPr>
          <w:b/>
          <w:bCs/>
          <w:sz w:val="21"/>
          <w:szCs w:val="21"/>
        </w:rPr>
        <w:t xml:space="preserve">Academic Integrity</w:t>
      </w:r>
    </w:p>
    <w:p>
      <w:pPr>
        <w:spacing w:after="150"/>
      </w:pPr>
      <w:r>
        <w:rPr>
          <w:sz w:val="21"/>
          <w:szCs w:val="21"/>
        </w:rPr>
        <w:t xml:space="preserve">All submitted work must be your own. AI and computational tools may be used to assist with debugging code, checking arithmetic, or grammar in written work, but the underlying model derivations, parameter choices, and analysis must be the student’s own. Plagiarism, unauthorized collaboration on exams, or misrepresentation of computational results will result in a zero and possible disciplinary action.</w:t>
      </w:r>
    </w:p>
    <w:p>
      <w:pPr>
        <w:spacing w:after="150"/>
      </w:pPr>
      <w:r>
        <w:rPr>
          <w:b/>
          <w:bCs/>
          <w:sz w:val="21"/>
          <w:szCs w:val="21"/>
        </w:rPr>
        <w:t xml:space="preserve">Accessibility</w:t>
      </w:r>
    </w:p>
    <w:p>
      <w:pPr>
        <w:spacing w:after="150"/>
      </w:pPr>
      <w:r>
        <w:rPr>
          <w:sz w:val="21"/>
          <w:szCs w:val="21"/>
        </w:rPr>
        <w:t xml:space="preserve">Students requiring accommodations should contact the Office of Disability Services and provide documentation within the first two weeks of class.</w:t>
      </w:r>
    </w:p>
    <w:p>
      <w:pPr>
        <w:pStyle w:val="Heading1"/>
        <w:spacing w:after="150" w:before="300"/>
      </w:pPr>
      <w:r>
        <w:rPr>
          <w:b/>
          <w:bCs/>
          <w:color w:val="2E5339"/>
          <w:sz w:val="26"/>
          <w:szCs w:val="26"/>
        </w:rPr>
        <w:t xml:space="preserve">7. Lecture-by-Lecture Schedule</w:t>
      </w:r>
    </w:p>
    <w:p>
      <w:pPr>
        <w:spacing w:after="150"/>
      </w:pPr>
      <w:r>
        <w:rPr>
          <w:sz w:val="21"/>
          <w:szCs w:val="21"/>
        </w:rPr>
        <w:t xml:space="preserve">All chapter references are to Rockwood (2015). ★ = exam day (no new material). ⚑ = university holiday. Schedule is subject to change with ≥1 week notice on Canvas.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2600"/>
        <w:gridCol w:w="1300"/>
        <w:gridCol w:w="3900"/>
      </w:tblGrid>
      <w:tr>
        <w:trPr>
          <w:tblHeader/>
        </w:trPr>
        <w:tc>
          <w:tcPr>
            <w:tcW w:type="dxa" w:w="560"/>
            <w:shd w:fill="2E5339" w:val="clear"/>
            <w:tcMar>
              <w:top w:type="dxa" w:w="80"/>
              <w:left w:type="dxa" w:w="100"/>
              <w:bottom w:type="dxa" w:w="80"/>
              <w:right w:type="dxa" w:w="100"/>
            </w:tcMar>
            <w:vAlign w:val="center"/>
          </w:tcPr>
          <w:p>
            <w:r>
              <w:rPr>
                <w:b/>
                <w:bCs/>
                <w:i w:val="false"/>
                <w:iCs w:val="false"/>
                <w:color w:val="FFFFFF"/>
                <w:sz w:val="18"/>
                <w:szCs w:val="18"/>
              </w:rPr>
              <w:t xml:space="preserve">Lec</w:t>
            </w:r>
          </w:p>
        </w:tc>
        <w:tc>
          <w:tcPr>
            <w:tcW w:type="dxa" w:w="1300"/>
            <w:shd w:fill="2E5339" w:val="clear"/>
            <w:tcMar>
              <w:top w:type="dxa" w:w="80"/>
              <w:left w:type="dxa" w:w="100"/>
              <w:bottom w:type="dxa" w:w="80"/>
              <w:right w:type="dxa" w:w="100"/>
            </w:tcMar>
            <w:vAlign w:val="center"/>
          </w:tcPr>
          <w:p>
            <w:r>
              <w:rPr>
                <w:b/>
                <w:bCs/>
                <w:i w:val="false"/>
                <w:iCs w:val="false"/>
                <w:color w:val="FFFFFF"/>
                <w:sz w:val="18"/>
                <w:szCs w:val="18"/>
              </w:rPr>
              <w:t xml:space="preserve">Date</w:t>
            </w:r>
          </w:p>
        </w:tc>
        <w:tc>
          <w:tcPr>
            <w:tcW w:type="dxa" w:w="2600"/>
            <w:shd w:fill="2E5339" w:val="clear"/>
            <w:tcMar>
              <w:top w:type="dxa" w:w="80"/>
              <w:left w:type="dxa" w:w="100"/>
              <w:bottom w:type="dxa" w:w="80"/>
              <w:right w:type="dxa" w:w="100"/>
            </w:tcMar>
            <w:vAlign w:val="center"/>
          </w:tcPr>
          <w:p>
            <w:r>
              <w:rPr>
                <w:b/>
                <w:bCs/>
                <w:i w:val="false"/>
                <w:iCs w:val="false"/>
                <w:color w:val="FFFFFF"/>
                <w:sz w:val="18"/>
                <w:szCs w:val="18"/>
              </w:rPr>
              <w:t xml:space="preserve">Title / Topic</w:t>
            </w:r>
          </w:p>
        </w:tc>
        <w:tc>
          <w:tcPr>
            <w:tcW w:type="dxa" w:w="1300"/>
            <w:shd w:fill="2E5339" w:val="clear"/>
            <w:tcMar>
              <w:top w:type="dxa" w:w="80"/>
              <w:left w:type="dxa" w:w="100"/>
              <w:bottom w:type="dxa" w:w="80"/>
              <w:right w:type="dxa" w:w="100"/>
            </w:tcMar>
            <w:vAlign w:val="center"/>
          </w:tcPr>
          <w:p>
            <w:r>
              <w:rPr>
                <w:b/>
                <w:bCs/>
                <w:i w:val="false"/>
                <w:iCs w:val="false"/>
                <w:color w:val="FFFFFF"/>
                <w:sz w:val="18"/>
                <w:szCs w:val="18"/>
              </w:rPr>
              <w:t xml:space="preserve">Reading</w:t>
            </w:r>
          </w:p>
        </w:tc>
        <w:tc>
          <w:tcPr>
            <w:tcW w:type="dxa" w:w="3900"/>
            <w:shd w:fill="2E5339" w:val="clear"/>
            <w:tcMar>
              <w:top w:type="dxa" w:w="80"/>
              <w:left w:type="dxa" w:w="100"/>
              <w:bottom w:type="dxa" w:w="80"/>
              <w:right w:type="dxa" w:w="100"/>
            </w:tcMar>
            <w:vAlign w:val="center"/>
          </w:tcPr>
          <w:p>
            <w:r>
              <w:rPr>
                <w:b/>
                <w:bCs/>
                <w:i w:val="false"/>
                <w:iCs w:val="false"/>
                <w:color w:val="FFFFFF"/>
                <w:sz w:val="18"/>
                <w:szCs w:val="18"/>
              </w:rPr>
              <w:t xml:space="preserve">Key Content &amp; Concepts</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1</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Aug 25</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Introduction to Population Ecology</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Definition and scope of population ecology; history of the field (Malthus, Verhulst, Lotka, Volterra, Nicholson); the population as the unit of study; density-independent vs. density-dependent processes; overview of the quantitative toolkit used throughout the course; relationship to Principles of Ecology prerequisite material</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Aug 27</w:t>
            </w:r>
          </w:p>
        </w:tc>
        <w:tc>
          <w:tcPr>
            <w:tcW w:type="dxa" w:w="2600"/>
            <w:tcMar>
              <w:top w:type="dxa" w:w="80"/>
              <w:left w:type="dxa" w:w="100"/>
              <w:bottom w:type="dxa" w:w="80"/>
              <w:right w:type="dxa" w:w="100"/>
            </w:tcMar>
            <w:vAlign w:val="center"/>
          </w:tcPr>
          <w:p>
            <w:r>
              <w:rPr>
                <w:b/>
                <w:bCs/>
                <w:i w:val="false"/>
                <w:iCs w:val="false"/>
                <w:sz w:val="18"/>
                <w:szCs w:val="18"/>
              </w:rPr>
              <w:t xml:space="preserve">The Concept of a Population</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Defining population boundaries; individuals, patches, and a preview of metapopulations; population size, density, and dispersion (random, uniform, clumped); sampling methods (quadrats, mark–recapture, Lincoln–Petersen index); sources of error in population estimation</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3</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Aug 29</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Density-Independent Growth I: Discrete-Time Models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Geometric growth; the finite rate of increase λ; Nt = N0λ^t; assumptions of density-independent growth; doubling time; organisms with discrete, non-overlapping generations (annual plants, univoltine insects)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Sep 1</w:t>
            </w:r>
          </w:p>
        </w:tc>
        <w:tc>
          <w:tcPr>
            <w:tcW w:type="dxa" w:w="2600"/>
            <w:tcMar>
              <w:top w:type="dxa" w:w="80"/>
              <w:left w:type="dxa" w:w="100"/>
              <w:bottom w:type="dxa" w:w="80"/>
              <w:right w:type="dxa" w:w="100"/>
            </w:tcMar>
            <w:vAlign w:val="center"/>
          </w:tcPr>
          <w:p>
            <w:r>
              <w:rPr>
                <w:b/>
                <w:bCs/>
                <w:i w:val="false"/>
                <w:iCs w:val="false"/>
                <w:sz w:val="18"/>
                <w:szCs w:val="18"/>
              </w:rPr>
              <w:t xml:space="preserve">Density-Independent Growth II: Continuous-Time Models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Exponential growth; dN/dt = rN; the intrinsic rate of increase r; relationship between r and λ; instantaneous vs. finite rates; human population growth as a case study; limitations of unconstrained growth models</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5</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Sep 3</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Density-Independent Growth III: Stochastic Environments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Environmental vs. demographic stochasticity; variance in growth rate; the geometric mean growth rate and its consequences; extinction risk in small, variable populations; an introduction to population viability concepts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Sep 5</w:t>
            </w:r>
          </w:p>
        </w:tc>
        <w:tc>
          <w:tcPr>
            <w:tcW w:type="dxa" w:w="2600"/>
            <w:tcMar>
              <w:top w:type="dxa" w:w="80"/>
              <w:left w:type="dxa" w:w="100"/>
              <w:bottom w:type="dxa" w:w="80"/>
              <w:right w:type="dxa" w:w="100"/>
            </w:tcMar>
            <w:vAlign w:val="center"/>
          </w:tcPr>
          <w:p>
            <w:r>
              <w:rPr>
                <w:b/>
                <w:bCs/>
                <w:i w:val="false"/>
                <w:iCs w:val="false"/>
                <w:sz w:val="18"/>
                <w:szCs w:val="18"/>
              </w:rPr>
              <w:t xml:space="preserve">Density Dependence: Concept and Evidence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Defining density dependence; distinguishing density-dependent from density-independent regulation; evidence for density dependence in natural populations; contest vs. scramble competition; Nicholson’s blowfly experiments revisited</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7</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Sep 8</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The Logistic Growth Model</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Derivation of the logistic equation dN/dt = rN(1−N/K); carrying capacity K; assumptions and limitations of the logistic model; the sigmoid growth curve; comparing logistic to exponential growth</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Sep 10</w:t>
            </w:r>
          </w:p>
        </w:tc>
        <w:tc>
          <w:tcPr>
            <w:tcW w:type="dxa" w:w="2600"/>
            <w:tcMar>
              <w:top w:type="dxa" w:w="80"/>
              <w:left w:type="dxa" w:w="100"/>
              <w:bottom w:type="dxa" w:w="80"/>
              <w:right w:type="dxa" w:w="100"/>
            </w:tcMar>
            <w:vAlign w:val="center"/>
          </w:tcPr>
          <w:p>
            <w:r>
              <w:rPr>
                <w:b/>
                <w:bCs/>
                <w:i w:val="false"/>
                <w:iCs w:val="false"/>
                <w:sz w:val="18"/>
                <w:szCs w:val="18"/>
              </w:rPr>
              <w:t xml:space="preserve">Time Lags and Complex Dynamics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discrete logistic model; time-delayed density dependence; damped oscillations, stable limit cycles, and chaos; May’s bifurcation diagram; implications for predicting population behavior</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9</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Sep 12</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Intraspecific Competition: Mechanisms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Resource depletion vs. interference competition; territoriality; self-thinning in plant populations (the −3/2 power law); density-dependent fecundity and mortality; Allee effects at low density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Sep 15</w:t>
            </w:r>
          </w:p>
        </w:tc>
        <w:tc>
          <w:tcPr>
            <w:tcW w:type="dxa" w:w="2600"/>
            <w:tcMar>
              <w:top w:type="dxa" w:w="80"/>
              <w:left w:type="dxa" w:w="100"/>
              <w:bottom w:type="dxa" w:w="80"/>
              <w:right w:type="dxa" w:w="100"/>
            </w:tcMar>
            <w:vAlign w:val="center"/>
          </w:tcPr>
          <w:p>
            <w:r>
              <w:rPr>
                <w:b/>
                <w:bCs/>
                <w:i w:val="false"/>
                <w:iCs w:val="false"/>
                <w:sz w:val="18"/>
                <w:szCs w:val="18"/>
              </w:rPr>
              <w:t xml:space="preserve">Population Regulation I: Detecting Density Dependence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3</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Key factor analysis; k-values; life table response experiments; statistical challenges in detecting density dependence from time-series data; density dependence vs. “density vagueness”</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11</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Sep 17</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Population Regulation II: The Regulation Debate</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3</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Nicholson vs. Andrewartha &amp; Birch controversy; biotic vs. abiotic regulation; the “balance of nature” reconsidered; single-factor vs. multi-factor regulation; historical development of regulation theory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Sep 19</w:t>
            </w:r>
          </w:p>
        </w:tc>
        <w:tc>
          <w:tcPr>
            <w:tcW w:type="dxa" w:w="2600"/>
            <w:tcMar>
              <w:top w:type="dxa" w:w="80"/>
              <w:left w:type="dxa" w:w="100"/>
              <w:bottom w:type="dxa" w:w="80"/>
              <w:right w:type="dxa" w:w="100"/>
            </w:tcMar>
            <w:vAlign w:val="center"/>
          </w:tcPr>
          <w:p>
            <w:r>
              <w:rPr>
                <w:b/>
                <w:bCs/>
                <w:i w:val="false"/>
                <w:iCs w:val="false"/>
                <w:sz w:val="18"/>
                <w:szCs w:val="18"/>
              </w:rPr>
              <w:t xml:space="preserve">Case Studies in Population Regulation</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3</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Soay sheep of St. Kilda; red grouse and territorial behavior; laboratory microcosm studies; long-term field datasets and what they reveal about regulation; synthesis of regulation mechanisms</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13</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Sep 22</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Life Tables and Survivorship</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4</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Cohort vs. static (time-specific) life tables; age-specific survivorship (lₓ) and fecundity (mₓ) schedules; survivorship curve types I–III; net reproductive rate R₀; generation time T</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Sep 24</w:t>
            </w:r>
          </w:p>
        </w:tc>
        <w:tc>
          <w:tcPr>
            <w:tcW w:type="dxa" w:w="2600"/>
            <w:tcMar>
              <w:top w:type="dxa" w:w="80"/>
              <w:left w:type="dxa" w:w="100"/>
              <w:bottom w:type="dxa" w:w="80"/>
              <w:right w:type="dxa" w:w="100"/>
            </w:tcMar>
            <w:vAlign w:val="center"/>
          </w:tcPr>
          <w:p>
            <w:r>
              <w:rPr>
                <w:b/>
                <w:bCs/>
                <w:i w:val="false"/>
                <w:iCs w:val="false"/>
                <w:sz w:val="18"/>
                <w:szCs w:val="18"/>
              </w:rPr>
              <w:t xml:space="preserve">Age-Structured Growth and the Leslie Matrix</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4</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Constructing a Leslie/Lefkovitch projection matrix; fecundity and survival transition elements; matrix multiplication for population projection; stage- vs. age-structured models; matrix algebra tools (Appendix 2)</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15</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Sep 26</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Matrix Model Analysis: Eigenvalues and Stable Age Distribution</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4</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Dominant eigenvalue as asymptotic growth rate λ; the right eigenvector as stable age/stage distribution; the left eigenvector as reproductive value; transient dynamics before stability is reached</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Sep 29</w:t>
            </w:r>
          </w:p>
        </w:tc>
        <w:tc>
          <w:tcPr>
            <w:tcW w:type="dxa" w:w="2600"/>
            <w:tcMar>
              <w:top w:type="dxa" w:w="80"/>
              <w:left w:type="dxa" w:w="100"/>
              <w:bottom w:type="dxa" w:w="80"/>
              <w:right w:type="dxa" w:w="100"/>
            </w:tcMar>
            <w:vAlign w:val="center"/>
          </w:tcPr>
          <w:p>
            <w:r>
              <w:rPr>
                <w:b/>
                <w:bCs/>
                <w:i w:val="false"/>
                <w:iCs w:val="false"/>
                <w:sz w:val="18"/>
                <w:szCs w:val="18"/>
              </w:rPr>
              <w:t xml:space="preserve">Sensitivity, Elasticity, and Conservation Applications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4</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Sensitivity and elasticity analysis; identifying life-history stages with the greatest impact on λ; population viability analysis (PVA); applications to endangered species management</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17</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Oct 1</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Metapopulation Concepts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5</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Levins’ metapopulation model; patch occupancy dynamics; extinction and colonization rates; assumptions of the classic Levins model; metapopulations vs. a single large population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Oct 3</w:t>
            </w:r>
          </w:p>
        </w:tc>
        <w:tc>
          <w:tcPr>
            <w:tcW w:type="dxa" w:w="2600"/>
            <w:tcMar>
              <w:top w:type="dxa" w:w="80"/>
              <w:left w:type="dxa" w:w="100"/>
              <w:bottom w:type="dxa" w:w="80"/>
              <w:right w:type="dxa" w:w="100"/>
            </w:tcMar>
            <w:vAlign w:val="center"/>
          </w:tcPr>
          <w:p>
            <w:r>
              <w:rPr>
                <w:b/>
                <w:bCs/>
                <w:i w:val="false"/>
                <w:iCs w:val="false"/>
                <w:sz w:val="18"/>
                <w:szCs w:val="18"/>
              </w:rPr>
              <w:t xml:space="preserve">Metapopulation Dynamics: Extending the Levins Model</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5</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rescue effect; incidence function models (Hanski); spatially realistic metapopulation models; source–sink dynamics; habitat fragmentation and connectivity</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19</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Oct 6</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Case Studies in Metapopulation Ecology</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5</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Glanville fritillary butterfly metapopulation (Åland Islands); Bay checkerspot butterfly; applications to reserve design and corridor planning; synthesis of Part 1 (single-species populations)</w:t>
            </w:r>
          </w:p>
        </w:tc>
      </w:tr>
      <w:tr>
        <w:tc>
          <w:tcPr>
            <w:tcW w:type="dxa" w:w="560"/>
            <w:shd w:fill="E3D9B8" w:val="clear"/>
            <w:tcMar>
              <w:top w:type="dxa" w:w="80"/>
              <w:left w:type="dxa" w:w="100"/>
              <w:bottom w:type="dxa" w:w="80"/>
              <w:right w:type="dxa" w:w="100"/>
            </w:tcMar>
            <w:vAlign w:val="center"/>
          </w:tcPr>
          <w:p>
            <w:r>
              <w:rPr>
                <w:b/>
                <w:bCs/>
                <w:i/>
                <w:iCs/>
                <w:sz w:val="18"/>
                <w:szCs w:val="18"/>
              </w:rPr>
              <w:t xml:space="preserve">—</w:t>
            </w:r>
          </w:p>
        </w:tc>
        <w:tc>
          <w:tcPr>
            <w:tcW w:type="dxa" w:w="1300"/>
            <w:shd w:fill="E3D9B8" w:val="clear"/>
            <w:tcMar>
              <w:top w:type="dxa" w:w="80"/>
              <w:left w:type="dxa" w:w="100"/>
              <w:bottom w:type="dxa" w:w="80"/>
              <w:right w:type="dxa" w:w="100"/>
            </w:tcMar>
            <w:vAlign w:val="center"/>
          </w:tcPr>
          <w:p>
            <w:r>
              <w:rPr>
                <w:b/>
                <w:bCs/>
                <w:i/>
                <w:iCs/>
                <w:sz w:val="18"/>
                <w:szCs w:val="18"/>
              </w:rPr>
              <w:t xml:space="preserve">Wed Oct 8</w:t>
            </w:r>
          </w:p>
        </w:tc>
        <w:tc>
          <w:tcPr>
            <w:tcW w:type="dxa" w:w="2600"/>
            <w:shd w:fill="E3D9B8" w:val="clear"/>
            <w:tcMar>
              <w:top w:type="dxa" w:w="80"/>
              <w:left w:type="dxa" w:w="100"/>
              <w:bottom w:type="dxa" w:w="80"/>
              <w:right w:type="dxa" w:w="100"/>
            </w:tcMar>
            <w:vAlign w:val="center"/>
          </w:tcPr>
          <w:p>
            <w:r>
              <w:rPr>
                <w:b/>
                <w:bCs/>
                <w:i/>
                <w:iCs/>
                <w:sz w:val="18"/>
                <w:szCs w:val="18"/>
              </w:rPr>
              <w:t xml:space="preserve">MIDTERM EXAM I</w:t>
            </w:r>
          </w:p>
        </w:tc>
        <w:tc>
          <w:tcPr>
            <w:tcW w:type="dxa" w:w="1300"/>
            <w:shd w:fill="E3D9B8" w:val="clear"/>
            <w:tcMar>
              <w:top w:type="dxa" w:w="80"/>
              <w:left w:type="dxa" w:w="100"/>
              <w:bottom w:type="dxa" w:w="80"/>
              <w:right w:type="dxa" w:w="100"/>
            </w:tcMar>
            <w:vAlign w:val="center"/>
          </w:tcPr>
          <w:p>
            <w:r>
              <w:rPr>
                <w:b w:val="false"/>
                <w:bCs w:val="false"/>
                <w:i/>
                <w:iCs/>
                <w:sz w:val="18"/>
                <w:szCs w:val="18"/>
              </w:rPr>
              <w:t xml:space="preserve">Ch. 1–5</w:t>
            </w:r>
          </w:p>
        </w:tc>
        <w:tc>
          <w:tcPr>
            <w:tcW w:type="dxa" w:w="3900"/>
            <w:shd w:fill="E3D9B8" w:val="clear"/>
            <w:tcMar>
              <w:top w:type="dxa" w:w="80"/>
              <w:left w:type="dxa" w:w="100"/>
              <w:bottom w:type="dxa" w:w="80"/>
              <w:right w:type="dxa" w:w="100"/>
            </w:tcMar>
            <w:vAlign w:val="center"/>
          </w:tcPr>
          <w:p>
            <w:r>
              <w:rPr>
                <w:b w:val="false"/>
                <w:bCs w:val="false"/>
                <w:i/>
                <w:iCs/>
                <w:sz w:val="18"/>
                <w:szCs w:val="18"/>
              </w:rPr>
              <w:t xml:space="preserve">Covers Lectures 1–19: density-independent and density-dependent growth, population regulation, age-structured models, metapopulation ecology</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Oct 10</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Life History Theory I: Trade-offs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6</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The principle of allocation; trade-offs between growth, survival, and reproduction; cost of reproduction; r- and K-selection revisited within a life-history framework</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21</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Oct 13</w:t>
            </w:r>
          </w:p>
        </w:tc>
        <w:tc>
          <w:tcPr>
            <w:tcW w:type="dxa" w:w="2600"/>
            <w:tcMar>
              <w:top w:type="dxa" w:w="80"/>
              <w:left w:type="dxa" w:w="100"/>
              <w:bottom w:type="dxa" w:w="80"/>
              <w:right w:type="dxa" w:w="100"/>
            </w:tcMar>
            <w:vAlign w:val="center"/>
          </w:tcPr>
          <w:p>
            <w:r>
              <w:rPr>
                <w:b/>
                <w:bCs/>
                <w:i w:val="false"/>
                <w:iCs w:val="false"/>
                <w:sz w:val="18"/>
                <w:szCs w:val="18"/>
              </w:rPr>
              <w:t xml:space="preserve">Life History Theory II: Reproductive Effort and Timing</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6</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Age and size at first reproduction; iteroparity vs. semelparity; clutch/litter size evolution; Lack’s hypothesis; the offspring size vs. number trade-off</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22</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Oct 15</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Life History Theory III: Aging and Senescence</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6</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Evolutionary theories of aging; mutation accumulation; antagonistic pleiotropy; disposable soma theory; comparative patterns of senescence across taxa</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23</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Oct 17</w:t>
            </w:r>
          </w:p>
        </w:tc>
        <w:tc>
          <w:tcPr>
            <w:tcW w:type="dxa" w:w="2600"/>
            <w:tcMar>
              <w:top w:type="dxa" w:w="80"/>
              <w:left w:type="dxa" w:w="100"/>
              <w:bottom w:type="dxa" w:w="80"/>
              <w:right w:type="dxa" w:w="100"/>
            </w:tcMar>
            <w:vAlign w:val="center"/>
          </w:tcPr>
          <w:p>
            <w:r>
              <w:rPr>
                <w:b/>
                <w:bCs/>
                <w:i w:val="false"/>
                <w:iCs w:val="false"/>
                <w:sz w:val="18"/>
                <w:szCs w:val="18"/>
              </w:rPr>
              <w:t xml:space="preserve">Life History Strategies in Practice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6</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Phenotypic plasticity in life histories; bet-hedging strategies; comparative and phylogenetically informed approaches; pace-of-life syndromes; synthesis of life-history theory</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24</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Oct 20</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Interspecific Competition I: The Lotka–Volterra Model</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Lotka–Volterra competition equations; competition coefficients α and β; zero-growth isoclines; graphical analysis of two-species dynamics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25</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Oct 22</w:t>
            </w:r>
          </w:p>
        </w:tc>
        <w:tc>
          <w:tcPr>
            <w:tcW w:type="dxa" w:w="2600"/>
            <w:tcMar>
              <w:top w:type="dxa" w:w="80"/>
              <w:left w:type="dxa" w:w="100"/>
              <w:bottom w:type="dxa" w:w="80"/>
              <w:right w:type="dxa" w:w="100"/>
            </w:tcMar>
            <w:vAlign w:val="center"/>
          </w:tcPr>
          <w:p>
            <w:r>
              <w:rPr>
                <w:b/>
                <w:bCs/>
                <w:i w:val="false"/>
                <w:iCs w:val="false"/>
                <w:sz w:val="18"/>
                <w:szCs w:val="18"/>
              </w:rPr>
              <w:t xml:space="preserve">Interspecific Competition II: Outcomes and Stability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four possible outcomes of competition; stable vs. unstable coexistence; the competitive exclusion principle; parameterizing the Lotka–Volterra model from data</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26</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Oct 24</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Interspecific Competition III: Field and Laboratory Evidence</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Connell’s barnacle experiments; Park’s Tribolium studies; Gause’s Paramecium experiments; strengths and limitations of experimental tests of competition theory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27</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Oct 27</w:t>
            </w:r>
          </w:p>
        </w:tc>
        <w:tc>
          <w:tcPr>
            <w:tcW w:type="dxa" w:w="2600"/>
            <w:tcMar>
              <w:top w:type="dxa" w:w="80"/>
              <w:left w:type="dxa" w:w="100"/>
              <w:bottom w:type="dxa" w:w="80"/>
              <w:right w:type="dxa" w:w="100"/>
            </w:tcMar>
            <w:vAlign w:val="center"/>
          </w:tcPr>
          <w:p>
            <w:r>
              <w:rPr>
                <w:b/>
                <w:bCs/>
                <w:i w:val="false"/>
                <w:iCs w:val="false"/>
                <w:sz w:val="18"/>
                <w:szCs w:val="18"/>
              </w:rPr>
              <w:t xml:space="preserve">Interspecific Competition IV: Modern Coexistence Theory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Resource competition theory and R*; stabilizing vs. equalizing mechanisms; niche and fitness differences; character displacement and the “ghost of competition past”</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28</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Oct 29</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Mutualism I: Types and Models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8</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Classifying mutualisms (obligate vs. facultative, symbiotic vs. non-symbiotic); mutualism as a Lotka–Volterra sign-flip; isocline geometry for mutualistic interactions; instability without self-limitation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29</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Oct 31</w:t>
            </w:r>
          </w:p>
        </w:tc>
        <w:tc>
          <w:tcPr>
            <w:tcW w:type="dxa" w:w="2600"/>
            <w:tcMar>
              <w:top w:type="dxa" w:w="80"/>
              <w:left w:type="dxa" w:w="100"/>
              <w:bottom w:type="dxa" w:w="80"/>
              <w:right w:type="dxa" w:w="100"/>
            </w:tcMar>
            <w:vAlign w:val="center"/>
          </w:tcPr>
          <w:p>
            <w:r>
              <w:rPr>
                <w:b/>
                <w:bCs/>
                <w:i w:val="false"/>
                <w:iCs w:val="false"/>
                <w:sz w:val="18"/>
                <w:szCs w:val="18"/>
              </w:rPr>
              <w:t xml:space="preserve">Mutualism II: Case Studies and Stability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8</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Mycorrhizae; rhizobia and nitrogen fixation; pollination mutualisms; cleaning symbioses; the cheating problem and mechanisms that stabilize mutualisms</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30</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Nov 3</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Host–Parasite Interactions I: Population Dynamics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9</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Microparasites vs. macroparasites; the SIR compartmental model; the basic reproductive rate R₀; threshold host density; density- vs. frequency-dependent transmission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31</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Nov 5</w:t>
            </w:r>
          </w:p>
        </w:tc>
        <w:tc>
          <w:tcPr>
            <w:tcW w:type="dxa" w:w="2600"/>
            <w:tcMar>
              <w:top w:type="dxa" w:w="80"/>
              <w:left w:type="dxa" w:w="100"/>
              <w:bottom w:type="dxa" w:w="80"/>
              <w:right w:type="dxa" w:w="100"/>
            </w:tcMar>
            <w:vAlign w:val="center"/>
          </w:tcPr>
          <w:p>
            <w:r>
              <w:rPr>
                <w:b/>
                <w:bCs/>
                <w:i w:val="false"/>
                <w:iCs w:val="false"/>
                <w:sz w:val="18"/>
                <w:szCs w:val="18"/>
              </w:rPr>
              <w:t xml:space="preserve">Host–Parasite Interactions II: Coevolution and Case Studies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9</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virulence–transmission trade-off; myxomatosis in Australian rabbits as a case study; Red Queen coevolutionary dynamics; applications to wildlife and human disease management</w:t>
            </w:r>
          </w:p>
        </w:tc>
      </w:tr>
      <w:tr>
        <w:tc>
          <w:tcPr>
            <w:tcW w:type="dxa" w:w="560"/>
            <w:shd w:fill="E3D9B8" w:val="clear"/>
            <w:tcMar>
              <w:top w:type="dxa" w:w="80"/>
              <w:left w:type="dxa" w:w="100"/>
              <w:bottom w:type="dxa" w:w="80"/>
              <w:right w:type="dxa" w:w="100"/>
            </w:tcMar>
            <w:vAlign w:val="center"/>
          </w:tcPr>
          <w:p>
            <w:r>
              <w:rPr>
                <w:b/>
                <w:bCs/>
                <w:i/>
                <w:iCs/>
                <w:sz w:val="18"/>
                <w:szCs w:val="18"/>
              </w:rPr>
              <w:t xml:space="preserve">—</w:t>
            </w:r>
          </w:p>
        </w:tc>
        <w:tc>
          <w:tcPr>
            <w:tcW w:type="dxa" w:w="1300"/>
            <w:shd w:fill="E3D9B8" w:val="clear"/>
            <w:tcMar>
              <w:top w:type="dxa" w:w="80"/>
              <w:left w:type="dxa" w:w="100"/>
              <w:bottom w:type="dxa" w:w="80"/>
              <w:right w:type="dxa" w:w="100"/>
            </w:tcMar>
            <w:vAlign w:val="center"/>
          </w:tcPr>
          <w:p>
            <w:r>
              <w:rPr>
                <w:b/>
                <w:bCs/>
                <w:i/>
                <w:iCs/>
                <w:sz w:val="18"/>
                <w:szCs w:val="18"/>
              </w:rPr>
              <w:t xml:space="preserve">Fri Nov 7</w:t>
            </w:r>
          </w:p>
        </w:tc>
        <w:tc>
          <w:tcPr>
            <w:tcW w:type="dxa" w:w="2600"/>
            <w:shd w:fill="E3D9B8" w:val="clear"/>
            <w:tcMar>
              <w:top w:type="dxa" w:w="80"/>
              <w:left w:type="dxa" w:w="100"/>
              <w:bottom w:type="dxa" w:w="80"/>
              <w:right w:type="dxa" w:w="100"/>
            </w:tcMar>
            <w:vAlign w:val="center"/>
          </w:tcPr>
          <w:p>
            <w:r>
              <w:rPr>
                <w:b/>
                <w:bCs/>
                <w:i/>
                <w:iCs/>
                <w:sz w:val="18"/>
                <w:szCs w:val="18"/>
              </w:rPr>
              <w:t xml:space="preserve">MIDTERM EXAM II</w:t>
            </w:r>
          </w:p>
        </w:tc>
        <w:tc>
          <w:tcPr>
            <w:tcW w:type="dxa" w:w="1300"/>
            <w:shd w:fill="E3D9B8" w:val="clear"/>
            <w:tcMar>
              <w:top w:type="dxa" w:w="80"/>
              <w:left w:type="dxa" w:w="100"/>
              <w:bottom w:type="dxa" w:w="80"/>
              <w:right w:type="dxa" w:w="100"/>
            </w:tcMar>
            <w:vAlign w:val="center"/>
          </w:tcPr>
          <w:p>
            <w:r>
              <w:rPr>
                <w:b w:val="false"/>
                <w:bCs w:val="false"/>
                <w:i/>
                <w:iCs/>
                <w:sz w:val="18"/>
                <w:szCs w:val="18"/>
              </w:rPr>
              <w:t xml:space="preserve">Ch. 6–9</w:t>
            </w:r>
          </w:p>
        </w:tc>
        <w:tc>
          <w:tcPr>
            <w:tcW w:type="dxa" w:w="3900"/>
            <w:shd w:fill="E3D9B8" w:val="clear"/>
            <w:tcMar>
              <w:top w:type="dxa" w:w="80"/>
              <w:left w:type="dxa" w:w="100"/>
              <w:bottom w:type="dxa" w:w="80"/>
              <w:right w:type="dxa" w:w="100"/>
            </w:tcMar>
            <w:vAlign w:val="center"/>
          </w:tcPr>
          <w:p>
            <w:r>
              <w:rPr>
                <w:b w:val="false"/>
                <w:bCs w:val="false"/>
                <w:i/>
                <w:iCs/>
                <w:sz w:val="18"/>
                <w:szCs w:val="18"/>
              </w:rPr>
              <w:t xml:space="preserve">Covers Lectures 20–31: life history theory, interspecific competition, mutualism, host–parasite interactions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Nov 10</w:t>
            </w:r>
          </w:p>
        </w:tc>
        <w:tc>
          <w:tcPr>
            <w:tcW w:type="dxa" w:w="2600"/>
            <w:tcMar>
              <w:top w:type="dxa" w:w="80"/>
              <w:left w:type="dxa" w:w="100"/>
              <w:bottom w:type="dxa" w:w="80"/>
              <w:right w:type="dxa" w:w="100"/>
            </w:tcMar>
            <w:vAlign w:val="center"/>
          </w:tcPr>
          <w:p>
            <w:r>
              <w:rPr>
                <w:b/>
                <w:bCs/>
                <w:i w:val="false"/>
                <w:iCs w:val="false"/>
                <w:sz w:val="18"/>
                <w:szCs w:val="18"/>
              </w:rPr>
              <w:t xml:space="preserve">Predator–Prey Interactions I: The Lotka–Volterra Model</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Lotka–Volterra predator–prey equations; neutral cycles; isocline analysis; assumptions and criticisms of the basic model</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33</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Nov 12</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Predator–Prey Interactions II: Functional and Numerical Responses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Holling’s Type I, II, and III functional responses; numerical response; incorporating functional responses into predator–prey models; stabilizing vs. destabilizing effects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Nov 14</w:t>
            </w:r>
          </w:p>
        </w:tc>
        <w:tc>
          <w:tcPr>
            <w:tcW w:type="dxa" w:w="2600"/>
            <w:tcMar>
              <w:top w:type="dxa" w:w="80"/>
              <w:left w:type="dxa" w:w="100"/>
              <w:bottom w:type="dxa" w:w="80"/>
              <w:right w:type="dxa" w:w="100"/>
            </w:tcMar>
            <w:vAlign w:val="center"/>
          </w:tcPr>
          <w:p>
            <w:r>
              <w:rPr>
                <w:b/>
                <w:bCs/>
                <w:i w:val="false"/>
                <w:iCs w:val="false"/>
                <w:sz w:val="18"/>
                <w:szCs w:val="18"/>
              </w:rPr>
              <w:t xml:space="preserve">Predator–Prey Interactions III: Model Refinements and Evidence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Rosenzweig–MacArthur model; the paradox of enrichment; stable limit cycles; the lynx–hare population cycle as a long-term case study; laboratory tests (Gause, Huffaker)</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35</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Nov 17</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Predator–Prey Interactions IV: Applied Contexts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Biological control programs; predator–prey theory in fisheries and pest management; risk effects and the “ecology of fear”; synthesis of predator–prey theory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Nov 19</w:t>
            </w:r>
          </w:p>
        </w:tc>
        <w:tc>
          <w:tcPr>
            <w:tcW w:type="dxa" w:w="2600"/>
            <w:tcMar>
              <w:top w:type="dxa" w:w="80"/>
              <w:left w:type="dxa" w:w="100"/>
              <w:bottom w:type="dxa" w:w="80"/>
              <w:right w:type="dxa" w:w="100"/>
            </w:tcMar>
            <w:vAlign w:val="center"/>
          </w:tcPr>
          <w:p>
            <w:r>
              <w:rPr>
                <w:b/>
                <w:bCs/>
                <w:i w:val="false"/>
                <w:iCs w:val="false"/>
                <w:sz w:val="18"/>
                <w:szCs w:val="18"/>
              </w:rPr>
              <w:t xml:space="preserve">Plant–Herbivore Interactions I: Models and Mechanisms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Herbivore impact on plant fitness; plant defense theory (physical, chemical, constitutive, induced); tolerance vs. resistance strategies; modeling plant–herbivore dynamics</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37</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Nov 21</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Plant–Herbivore Interactions II: Case Studies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Compensatory and overcompensatory growth; top-down vs. bottom-up control of herbivore populations; outbreak dynamics (e.g., forest defoliators); applied plant–herbivore management</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Nov 24</w:t>
            </w:r>
          </w:p>
        </w:tc>
        <w:tc>
          <w:tcPr>
            <w:tcW w:type="dxa" w:w="2600"/>
            <w:tcMar>
              <w:top w:type="dxa" w:w="80"/>
              <w:left w:type="dxa" w:w="100"/>
              <w:bottom w:type="dxa" w:w="80"/>
              <w:right w:type="dxa" w:w="100"/>
            </w:tcMar>
            <w:vAlign w:val="center"/>
          </w:tcPr>
          <w:p>
            <w:r>
              <w:rPr>
                <w:b/>
                <w:bCs/>
                <w:i w:val="false"/>
                <w:iCs w:val="false"/>
                <w:sz w:val="18"/>
                <w:szCs w:val="18"/>
              </w:rPr>
              <w:t xml:space="preserve">Multi-Trophic Interactions I: Trophic Cascades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Three-species interaction modules; trophic cascades; the sea otter–urchin–kelp system; direct vs. indirect effects in multi-species systems</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Wed Nov 26</w:t>
            </w:r>
          </w:p>
        </w:tc>
        <w:tc>
          <w:tcPr>
            <w:tcW w:type="dxa" w:w="2600"/>
            <w:shd w:fill="EDEDED" w:val="clear"/>
            <w:tcMar>
              <w:top w:type="dxa" w:w="80"/>
              <w:left w:type="dxa" w:w="100"/>
              <w:bottom w:type="dxa" w:w="80"/>
              <w:right w:type="dxa" w:w="100"/>
            </w:tcMar>
            <w:vAlign w:val="center"/>
          </w:tcPr>
          <w:p>
            <w:r>
              <w:rPr>
                <w:b/>
                <w:bCs/>
                <w:i/>
                <w:iCs/>
                <w:sz w:val="18"/>
                <w:szCs w:val="18"/>
              </w:rPr>
              <w:t xml:space="preserve">No Class — Thanksgiving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Fri Nov 28</w:t>
            </w:r>
          </w:p>
        </w:tc>
        <w:tc>
          <w:tcPr>
            <w:tcW w:type="dxa" w:w="2600"/>
            <w:shd w:fill="EDEDED" w:val="clear"/>
            <w:tcMar>
              <w:top w:type="dxa" w:w="80"/>
              <w:left w:type="dxa" w:w="100"/>
              <w:bottom w:type="dxa" w:w="80"/>
              <w:right w:type="dxa" w:w="100"/>
            </w:tcMar>
            <w:vAlign w:val="center"/>
          </w:tcPr>
          <w:p>
            <w:r>
              <w:rPr>
                <w:b/>
                <w:bCs/>
                <w:i/>
                <w:iCs/>
                <w:sz w:val="18"/>
                <w:szCs w:val="18"/>
              </w:rPr>
              <w:t xml:space="preserve">No Class — Thanksgiving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39</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Dec 1</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Multi-Trophic Interactions II: Indirect Effects</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Apparent competition via shared predators or parasites; intraguild predation; keystone predation; omnivory and its stabilizing/destabilizing effects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Dec 3</w:t>
            </w:r>
          </w:p>
        </w:tc>
        <w:tc>
          <w:tcPr>
            <w:tcW w:type="dxa" w:w="2600"/>
            <w:tcMar>
              <w:top w:type="dxa" w:w="80"/>
              <w:left w:type="dxa" w:w="100"/>
              <w:bottom w:type="dxa" w:w="80"/>
              <w:right w:type="dxa" w:w="100"/>
            </w:tcMar>
            <w:vAlign w:val="center"/>
          </w:tcPr>
          <w:p>
            <w:r>
              <w:rPr>
                <w:b/>
                <w:bCs/>
                <w:i w:val="false"/>
                <w:iCs w:val="false"/>
                <w:sz w:val="18"/>
                <w:szCs w:val="18"/>
              </w:rPr>
              <w:t xml:space="preserve">Multi-Trophic Interactions III: Complexity and Stability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May’s complexity–stability analysis; food web modules as building blocks of whole webs; empirical tests of multi-trophic theory; synthesis of interspecific interactions (Part 2)</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41</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Fri Dec 5</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Applied Population Ecology I: Harvesting Theory</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Ch. 2–3 applications</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Maximum sustainable yield (MSY); surplus production models; fisheries collapses as case studies; density-dependent compensation and harvesting policy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Dec 8</w:t>
            </w:r>
          </w:p>
        </w:tc>
        <w:tc>
          <w:tcPr>
            <w:tcW w:type="dxa" w:w="2600"/>
            <w:tcMar>
              <w:top w:type="dxa" w:w="80"/>
              <w:left w:type="dxa" w:w="100"/>
              <w:bottom w:type="dxa" w:w="80"/>
              <w:right w:type="dxa" w:w="100"/>
            </w:tcMar>
            <w:vAlign w:val="center"/>
          </w:tcPr>
          <w:p>
            <w:r>
              <w:rPr>
                <w:b/>
                <w:bCs/>
                <w:i w:val="false"/>
                <w:iCs w:val="false"/>
                <w:sz w:val="18"/>
                <w:szCs w:val="18"/>
              </w:rPr>
              <w:t xml:space="preserve">Applied Population Ecology II: Conservation Applications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4–5 applications</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Minimum viable population size; PVA revisited with real datasets; captive breeding and reintroduction; genetic considerations in small populations; IUCN Red List criteria</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43</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Wed Dec 10</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Student Presentations I</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Student oral presentations applying population models to real datasets or case studies (Group A)</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Dec 12</w:t>
            </w:r>
          </w:p>
        </w:tc>
        <w:tc>
          <w:tcPr>
            <w:tcW w:type="dxa" w:w="2600"/>
            <w:tcMar>
              <w:top w:type="dxa" w:w="80"/>
              <w:left w:type="dxa" w:w="100"/>
              <w:bottom w:type="dxa" w:w="80"/>
              <w:right w:type="dxa" w:w="100"/>
            </w:tcMar>
            <w:vAlign w:val="center"/>
          </w:tcPr>
          <w:p>
            <w:r>
              <w:rPr>
                <w:b/>
                <w:bCs/>
                <w:i w:val="false"/>
                <w:iCs w:val="false"/>
                <w:sz w:val="18"/>
                <w:szCs w:val="18"/>
              </w:rPr>
              <w:t xml:space="preserve">Student Presentations II</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Student oral presentations applying population models to real datasets or case studies (Group B)</w:t>
            </w:r>
          </w:p>
        </w:tc>
      </w:tr>
      <w:tr>
        <w:tc>
          <w:tcPr>
            <w:tcW w:type="dxa" w:w="560"/>
            <w:shd w:fill="F7F9F5" w:val="clear"/>
            <w:tcMar>
              <w:top w:type="dxa" w:w="80"/>
              <w:left w:type="dxa" w:w="100"/>
              <w:bottom w:type="dxa" w:w="80"/>
              <w:right w:type="dxa" w:w="100"/>
            </w:tcMar>
            <w:vAlign w:val="center"/>
          </w:tcPr>
          <w:p>
            <w:r>
              <w:rPr>
                <w:b w:val="false"/>
                <w:bCs w:val="false"/>
                <w:i w:val="false"/>
                <w:iCs w:val="false"/>
                <w:sz w:val="18"/>
                <w:szCs w:val="18"/>
              </w:rPr>
              <w:t xml:space="preserve">45</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Mon Dec 15</w:t>
            </w:r>
          </w:p>
        </w:tc>
        <w:tc>
          <w:tcPr>
            <w:tcW w:type="dxa" w:w="2600"/>
            <w:shd w:fill="F7F9F5" w:val="clear"/>
            <w:tcMar>
              <w:top w:type="dxa" w:w="80"/>
              <w:left w:type="dxa" w:w="100"/>
              <w:bottom w:type="dxa" w:w="80"/>
              <w:right w:type="dxa" w:w="100"/>
            </w:tcMar>
            <w:vAlign w:val="center"/>
          </w:tcPr>
          <w:p>
            <w:r>
              <w:rPr>
                <w:b/>
                <w:bCs/>
                <w:i w:val="false"/>
                <w:iCs w:val="false"/>
                <w:sz w:val="18"/>
                <w:szCs w:val="18"/>
              </w:rPr>
              <w:t xml:space="preserve">Course Synthesis and Review</w:t>
            </w:r>
          </w:p>
        </w:tc>
        <w:tc>
          <w:tcPr>
            <w:tcW w:type="dxa" w:w="1300"/>
            <w:shd w:fill="F7F9F5" w:val="clear"/>
            <w:tcMar>
              <w:top w:type="dxa" w:w="80"/>
              <w:left w:type="dxa" w:w="100"/>
              <w:bottom w:type="dxa" w:w="80"/>
              <w:right w:type="dxa" w:w="100"/>
            </w:tcMar>
            <w:vAlign w:val="center"/>
          </w:tcPr>
          <w:p>
            <w:r>
              <w:rPr>
                <w:b w:val="false"/>
                <w:bCs w:val="false"/>
                <w:i w:val="false"/>
                <w:iCs w:val="false"/>
                <w:sz w:val="18"/>
                <w:szCs w:val="18"/>
              </w:rPr>
              <w:t xml:space="preserve">All Ch.</w:t>
            </w:r>
          </w:p>
        </w:tc>
        <w:tc>
          <w:tcPr>
            <w:tcW w:type="dxa" w:w="3900"/>
            <w:shd w:fill="F7F9F5" w:val="clear"/>
            <w:tcMar>
              <w:top w:type="dxa" w:w="80"/>
              <w:left w:type="dxa" w:w="100"/>
              <w:bottom w:type="dxa" w:w="80"/>
              <w:right w:type="dxa" w:w="100"/>
            </w:tcMar>
            <w:vAlign w:val="center"/>
          </w:tcPr>
          <w:p>
            <w:r>
              <w:rPr>
                <w:b w:val="false"/>
                <w:bCs w:val="false"/>
                <w:i w:val="false"/>
                <w:iCs w:val="false"/>
                <w:sz w:val="18"/>
                <w:szCs w:val="18"/>
              </w:rPr>
              <w:t xml:space="preserve">Synthesis across single-species and multi-species population models; unifying mathematical themes (equilibria, stability analysis, isoclines); unresolved questions in population ecology; connections back to Principles of Ecology; final exam review and Q&amp;A</w:t>
            </w:r>
          </w:p>
        </w:tc>
      </w:tr>
      <w:tr>
        <w:tc>
          <w:tcPr>
            <w:tcW w:type="dxa" w:w="560"/>
            <w:shd w:fill="E3D9B8" w:val="clear"/>
            <w:tcMar>
              <w:top w:type="dxa" w:w="80"/>
              <w:left w:type="dxa" w:w="100"/>
              <w:bottom w:type="dxa" w:w="80"/>
              <w:right w:type="dxa" w:w="100"/>
            </w:tcMar>
            <w:vAlign w:val="center"/>
          </w:tcPr>
          <w:p>
            <w:r>
              <w:rPr>
                <w:b/>
                <w:bCs/>
                <w:i/>
                <w:iCs/>
                <w:sz w:val="18"/>
                <w:szCs w:val="18"/>
              </w:rPr>
              <w:t xml:space="preserve">—</w:t>
            </w:r>
          </w:p>
        </w:tc>
        <w:tc>
          <w:tcPr>
            <w:tcW w:type="dxa" w:w="1300"/>
            <w:shd w:fill="E3D9B8" w:val="clear"/>
            <w:tcMar>
              <w:top w:type="dxa" w:w="80"/>
              <w:left w:type="dxa" w:w="100"/>
              <w:bottom w:type="dxa" w:w="80"/>
              <w:right w:type="dxa" w:w="100"/>
            </w:tcMar>
            <w:vAlign w:val="center"/>
          </w:tcPr>
          <w:p>
            <w:r>
              <w:rPr>
                <w:b/>
                <w:bCs/>
                <w:i/>
                <w:iCs/>
                <w:sz w:val="18"/>
                <w:szCs w:val="18"/>
              </w:rPr>
              <w:t xml:space="preserve">Finals Week</w:t>
            </w:r>
          </w:p>
        </w:tc>
        <w:tc>
          <w:tcPr>
            <w:tcW w:type="dxa" w:w="2600"/>
            <w:shd w:fill="E3D9B8" w:val="clear"/>
            <w:tcMar>
              <w:top w:type="dxa" w:w="80"/>
              <w:left w:type="dxa" w:w="100"/>
              <w:bottom w:type="dxa" w:w="80"/>
              <w:right w:type="dxa" w:w="100"/>
            </w:tcMar>
            <w:vAlign w:val="center"/>
          </w:tcPr>
          <w:p>
            <w:r>
              <w:rPr>
                <w:b/>
                <w:bCs/>
                <w:i/>
                <w:iCs/>
                <w:sz w:val="18"/>
                <w:szCs w:val="18"/>
              </w:rPr>
              <w:t xml:space="preserve">FINAL EXAM (comprehensive)</w:t>
            </w:r>
          </w:p>
        </w:tc>
        <w:tc>
          <w:tcPr>
            <w:tcW w:type="dxa" w:w="1300"/>
            <w:shd w:fill="E3D9B8" w:val="clear"/>
            <w:tcMar>
              <w:top w:type="dxa" w:w="80"/>
              <w:left w:type="dxa" w:w="100"/>
              <w:bottom w:type="dxa" w:w="80"/>
              <w:right w:type="dxa" w:w="100"/>
            </w:tcMar>
            <w:vAlign w:val="center"/>
          </w:tcPr>
          <w:p>
            <w:r>
              <w:rPr>
                <w:b w:val="false"/>
                <w:bCs w:val="false"/>
                <w:i/>
                <w:iCs/>
                <w:sz w:val="18"/>
                <w:szCs w:val="18"/>
              </w:rPr>
              <w:t xml:space="preserve">All Ch.</w:t>
            </w:r>
          </w:p>
        </w:tc>
        <w:tc>
          <w:tcPr>
            <w:tcW w:type="dxa" w:w="3900"/>
            <w:shd w:fill="E3D9B8" w:val="clear"/>
            <w:tcMar>
              <w:top w:type="dxa" w:w="80"/>
              <w:left w:type="dxa" w:w="100"/>
              <w:bottom w:type="dxa" w:w="80"/>
              <w:right w:type="dxa" w:w="100"/>
            </w:tcMar>
            <w:vAlign w:val="center"/>
          </w:tcPr>
          <w:p>
            <w:r>
              <w:rPr>
                <w:b w:val="false"/>
                <w:bCs w:val="false"/>
                <w:i/>
                <w:iCs/>
                <w:sz w:val="18"/>
                <w:szCs w:val="18"/>
              </w:rPr>
              <w:t xml:space="preserve">Date and room assigned by Registrar. Covers all 12 chapters and Lectures 1–45</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2026-07-18T14:24:18.635Z</dcterms:created>
  <dcterms:modified xsi:type="dcterms:W3CDTF">2026-07-18T14:24:18.647Z</dcterms:modified>
</cp:coreProperties>
</file>

<file path=docProps/custom.xml><?xml version="1.0" encoding="utf-8"?>
<Properties xmlns="http://schemas.openxmlformats.org/officeDocument/2006/custom-properties" xmlns:vt="http://schemas.openxmlformats.org/officeDocument/2006/docPropsVTypes"/>
</file>