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5422"/>
        <w:gridCol w:w="3934"/>
        <w:gridCol w:w="2164"/>
      </w:tblGrid>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center"/>
              <w:rPr>
                <w:rFonts w:ascii="Calibri" w:hAnsi="Calibri" w:eastAsia="Calibri"/>
              </w:rPr>
            </w:pPr>
            <w:r>
              <w:rPr>
                <w:rFonts w:eastAsia="Calibri" w:cs=""/>
                <w:color w:val="00B0F0"/>
                <w:kern w:val="0"/>
                <w:sz w:val="40"/>
                <w:szCs w:val="40"/>
                <w:lang w:val="en-US" w:eastAsia="en-US" w:bidi="ar-SA"/>
              </w:rPr>
              <w:t>Wentao Song</w:t>
            </w:r>
          </w:p>
        </w:tc>
      </w:tr>
      <w:tr>
        <w:trPr/>
        <w:tc>
          <w:tcPr>
            <w:tcW w:w="11520" w:type="dxa"/>
            <w:gridSpan w:val="3"/>
            <w:tcBorders>
              <w:top w:val="nil"/>
              <w:left w:val="nil"/>
              <w:bottom w:val="nil"/>
              <w:right w:val="nil"/>
            </w:tcBorders>
            <w:shd w:color="auto" w:fill="auto" w:val="clear"/>
          </w:tcPr>
          <w:p>
            <w:pPr>
              <w:pStyle w:val="Normal"/>
              <w:widowControl w:val="false"/>
              <w:suppressAutoHyphens w:val="true"/>
              <w:spacing w:lineRule="auto" w:line="240" w:before="0" w:after="0"/>
              <w:jc w:val="center"/>
              <w:rPr>
                <w:rFonts w:ascii="Calibri" w:hAnsi="Calibri" w:eastAsia="Calibri"/>
                <w:color w:themeColor="background1" w:val="FFFFFF"/>
              </w:rPr>
            </w:pPr>
            <w:r>
              <w:rPr>
                <w:rFonts w:eastAsia="Calibri" w:cs=""/>
                <w:color w:themeColor="background1" w:val="FFFFFF"/>
                <w:kern w:val="0"/>
                <w:sz w:val="22"/>
                <w:szCs w:val="22"/>
                <w:lang w:val="en-US" w:eastAsia="en-US" w:bidi="ar-SA"/>
              </w:rPr>
              <w:t>PhD Candidate</w:t>
            </w:r>
          </w:p>
          <w:p>
            <w:pPr>
              <w:pStyle w:val="Normal"/>
              <w:widowControl w:val="false"/>
              <w:suppressAutoHyphens w:val="true"/>
              <w:spacing w:lineRule="auto" w:line="240" w:before="0" w:after="0"/>
              <w:jc w:val="center"/>
              <w:rPr>
                <w:rFonts w:ascii="Calibri" w:hAnsi="Calibri" w:eastAsia="Calibri"/>
              </w:rPr>
            </w:pPr>
            <w:r>
              <w:rPr>
                <w:rFonts w:eastAsia="Calibri" w:cs=""/>
                <w:color w:themeColor="background1" w:val="FFFFFF"/>
                <w:kern w:val="0"/>
                <w:sz w:val="22"/>
                <w:szCs w:val="22"/>
                <w:lang w:val="en-US" w:eastAsia="en-US" w:bidi="ar-SA"/>
              </w:rPr>
              <w:t>Mississippi State University, US</w:t>
            </w:r>
          </w:p>
        </w:tc>
      </w:tr>
      <w:tr>
        <w:trPr>
          <w:trHeight w:val="490"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center"/>
              <w:rPr>
                <w:rFonts w:ascii="Calibri" w:hAnsi="Calibri" w:eastAsia="Calibri"/>
              </w:rPr>
            </w:pPr>
            <w:r>
              <w:rPr/>
              <w:drawing>
                <wp:inline distT="0" distB="0" distL="0" distR="0">
                  <wp:extent cx="182880" cy="182880"/>
                  <wp:effectExtent l="0" t="0" r="0" b="0"/>
                  <wp:docPr id="1"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4" descr=""/>
                          <pic:cNvPicPr>
                            <a:picLocks noChangeAspect="1" noChangeArrowheads="1"/>
                          </pic:cNvPicPr>
                        </pic:nvPicPr>
                        <pic:blipFill>
                          <a:blip r:embed="rId2"/>
                          <a:stretch>
                            <a:fillRect/>
                          </a:stretch>
                        </pic:blipFill>
                        <pic:spPr bwMode="auto">
                          <a:xfrm>
                            <a:off x="0" y="0"/>
                            <a:ext cx="182880" cy="182880"/>
                          </a:xfrm>
                          <a:prstGeom prst="rect">
                            <a:avLst/>
                          </a:prstGeom>
                        </pic:spPr>
                      </pic:pic>
                    </a:graphicData>
                  </a:graphic>
                </wp:inline>
              </w:drawing>
            </w:r>
            <w:r>
              <w:rPr>
                <w:rFonts w:eastAsia="Calibri" w:cs=""/>
                <w:kern w:val="0"/>
                <w:sz w:val="22"/>
                <w:szCs w:val="22"/>
                <w:lang w:val="en-US" w:eastAsia="en-US" w:bidi="ar-SA"/>
              </w:rPr>
              <w:t xml:space="preserve">song.wentao@outlook.com          </w:t>
            </w:r>
            <w:r>
              <w:rPr/>
              <w:drawing>
                <wp:inline distT="0" distB="0" distL="0" distR="0">
                  <wp:extent cx="182880" cy="182880"/>
                  <wp:effectExtent l="0" t="0" r="0" b="0"/>
                  <wp:docPr id="2" name="Graphic 2" descr="Tele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descr="Telephone with solid fill"/>
                          <pic:cNvPicPr>
                            <a:picLocks noChangeAspect="1" noChangeArrowheads="1"/>
                          </pic:cNvPicPr>
                        </pic:nvPicPr>
                        <pic:blipFill>
                          <a:blip r:embed="rId3"/>
                          <a:stretch>
                            <a:fillRect/>
                          </a:stretch>
                        </pic:blipFill>
                        <pic:spPr bwMode="auto">
                          <a:xfrm>
                            <a:off x="0" y="0"/>
                            <a:ext cx="182880" cy="182880"/>
                          </a:xfrm>
                          <a:prstGeom prst="rect">
                            <a:avLst/>
                          </a:prstGeom>
                        </pic:spPr>
                      </pic:pic>
                    </a:graphicData>
                  </a:graphic>
                </wp:inline>
              </w:drawing>
            </w:r>
            <w:r>
              <w:rPr>
                <w:rFonts w:eastAsia="Calibri" w:cs=""/>
                <w:kern w:val="0"/>
                <w:sz w:val="22"/>
                <w:szCs w:val="22"/>
                <w:lang w:val="en-US" w:eastAsia="en-US" w:bidi="ar-SA"/>
              </w:rPr>
              <w:t xml:space="preserve">+1 (662) 341-0010          </w:t>
            </w:r>
            <w:r>
              <w:rPr/>
              <w:drawing>
                <wp:inline distT="0" distB="0" distL="0" distR="0">
                  <wp:extent cx="182880" cy="182880"/>
                  <wp:effectExtent l="0" t="0" r="0" b="0"/>
                  <wp:docPr id="3" name="Graphic 3" descr="Wirele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Wireless with solid fill"/>
                          <pic:cNvPicPr>
                            <a:picLocks noChangeAspect="1" noChangeArrowheads="1"/>
                          </pic:cNvPicPr>
                        </pic:nvPicPr>
                        <pic:blipFill>
                          <a:blip r:embed="rId4"/>
                          <a:stretch>
                            <a:fillRect/>
                          </a:stretch>
                        </pic:blipFill>
                        <pic:spPr bwMode="auto">
                          <a:xfrm>
                            <a:off x="0" y="0"/>
                            <a:ext cx="182880" cy="182880"/>
                          </a:xfrm>
                          <a:prstGeom prst="rect">
                            <a:avLst/>
                          </a:prstGeom>
                        </pic:spPr>
                      </pic:pic>
                    </a:graphicData>
                  </a:graphic>
                </wp:inline>
              </w:drawing>
            </w:r>
            <w:r>
              <w:rPr>
                <w:rFonts w:eastAsia="Calibri" w:cs=""/>
                <w:kern w:val="0"/>
                <w:sz w:val="22"/>
                <w:szCs w:val="22"/>
                <w:lang w:val="en-US" w:eastAsia="en-US" w:bidi="ar-SA"/>
              </w:rPr>
              <w:t>song-wentao.github.io</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center"/>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both"/>
              <w:rPr>
                <w:rFonts w:ascii="Calibri" w:hAnsi="Calibri" w:eastAsia="Calibri"/>
              </w:rPr>
            </w:pPr>
            <w:r>
              <w:rPr>
                <w:rFonts w:eastAsia="Calibri" w:cs=""/>
                <w:kern w:val="0"/>
                <w:sz w:val="22"/>
                <w:szCs w:val="22"/>
                <w:lang w:val="en-US" w:eastAsia="en-US" w:bidi="ar-SA"/>
              </w:rPr>
              <w:t>I am a wildlife ecologist and applied statistician with comprehensive training in biology and ecology for wildlife management. My doctoral research focuses on modeling the spatiotemporal dynamics of North American breeding bird populations. I have contributed to a range of projects involving birds, rodents, deer, and primates. My interest is in applying statistical models and machine learning methods to analyze and predict population dynamics, with the goal of supporting wildlife management and conservation.</w:t>
            </w:r>
          </w:p>
        </w:tc>
      </w:tr>
      <w:tr>
        <w:trPr/>
        <w:tc>
          <w:tcPr>
            <w:tcW w:w="5422"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color w:val="00B0F0"/>
                <w:kern w:val="0"/>
                <w:sz w:val="28"/>
                <w:szCs w:val="28"/>
                <w:lang w:val="en-US" w:eastAsia="en-US" w:bidi="ar-SA"/>
              </w:rPr>
              <w:t>EDUCATION</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Mississippi State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PhD. Natural Resources, Wildlife concentration</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Ad</w:t>
            </w:r>
            <w:r>
              <w:rPr>
                <w:rFonts w:eastAsia="Calibri" w:cs=""/>
                <w:kern w:val="0"/>
                <w:sz w:val="22"/>
                <w:szCs w:val="22"/>
                <w:lang w:val="en-US" w:eastAsia="en-US" w:bidi="ar-SA"/>
              </w:rPr>
              <w:t>visor: Dr. Guiming Wang</w:t>
            </w:r>
          </w:p>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Mississippi, US</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2019 - 2024</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Capital Normal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MSc. Zoology</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Ad</w:t>
            </w:r>
            <w:r>
              <w:rPr>
                <w:rFonts w:eastAsia="Calibri" w:cs=""/>
                <w:kern w:val="0"/>
                <w:sz w:val="22"/>
                <w:szCs w:val="22"/>
                <w:lang w:val="en-US" w:eastAsia="en-US" w:bidi="ar-SA"/>
              </w:rPr>
              <w:t>visor: Dr. Zihui Zhang</w:t>
            </w:r>
          </w:p>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Beijing, China</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2015 - 2018</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Institute of Zoology, Chinese Academy of Sciences</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Joint Master Program. Population ecology of small mammals</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Ad</w:t>
            </w:r>
            <w:r>
              <w:rPr>
                <w:rFonts w:eastAsia="Calibri" w:cs=""/>
                <w:kern w:val="0"/>
                <w:sz w:val="22"/>
                <w:szCs w:val="22"/>
                <w:lang w:val="en-US" w:eastAsia="en-US" w:bidi="ar-SA"/>
              </w:rPr>
              <w:t>visor: Dr. Xinrong Wan</w:t>
            </w:r>
          </w:p>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Beijing, China</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2015 - 2018</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China Agricultural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BSc(Agr.) Aquaculture</w:t>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Beijing, China</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2011 - 2015</w:t>
            </w:r>
          </w:p>
        </w:tc>
      </w:tr>
      <w:tr>
        <w:trPr/>
        <w:tc>
          <w:tcPr>
            <w:tcW w:w="5422"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color w:val="00B0F0"/>
                <w:sz w:val="28"/>
                <w:szCs w:val="28"/>
              </w:rPr>
            </w:pPr>
            <w:r>
              <w:rPr>
                <w:rFonts w:eastAsia="Calibri" w:cs=""/>
                <w:color w:val="00B0F0"/>
                <w:kern w:val="0"/>
                <w:sz w:val="28"/>
                <w:szCs w:val="28"/>
                <w:lang w:val="en-US" w:eastAsia="en-US" w:bidi="ar-SA"/>
              </w:rPr>
              <w:t>EMPLOYMENT EXPERIENCE</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Mississippi State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Teaching assistant</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Assisted instructors in preparing lectures and labs for undergraduate students.</w:t>
            </w:r>
          </w:p>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eastAsia="Calibri"/>
              </w:rPr>
            </w:pPr>
            <w:r>
              <w:rPr>
                <w:rFonts w:eastAsia="Calibri" w:cs=""/>
                <w:kern w:val="0"/>
                <w:sz w:val="22"/>
                <w:szCs w:val="22"/>
                <w:lang w:val="en-US" w:eastAsia="en-US" w:bidi="ar-SA"/>
              </w:rPr>
              <w:t>Mississippi, US</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2019.08-2024.12</w:t>
            </w:r>
          </w:p>
        </w:tc>
      </w:tr>
      <w:tr>
        <w:trPr/>
        <w:tc>
          <w:tcPr>
            <w:tcW w:w="5422"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color w:val="00B0F0"/>
                <w:kern w:val="0"/>
                <w:sz w:val="28"/>
                <w:szCs w:val="28"/>
                <w:lang w:val="en-US" w:eastAsia="en-US" w:bidi="ar-SA"/>
              </w:rPr>
              <w:t>SKILLS</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QUANTITATIVE SKILLS</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Time series analysis</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Spatial modeling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Bayesian hierarchical modeling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Structured decision making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Coding with R, Python, Julia, and SAS</w:t>
            </w:r>
          </w:p>
          <w:p>
            <w:pPr>
              <w:pStyle w:val="Normal"/>
              <w:widowControl w:val="false"/>
              <w:suppressAutoHyphens w:val="true"/>
              <w:spacing w:lineRule="auto" w:line="240" w:before="0" w:after="0"/>
              <w:ind w:left="720"/>
              <w:jc w:val="left"/>
              <w:rPr>
                <w:rFonts w:eastAsia="Calibri"/>
              </w:rPr>
            </w:pPr>
            <w:r>
              <w:rPr>
                <w:rFonts w:eastAsia="Calibri" w:cs=""/>
                <w:kern w:val="0"/>
                <w:sz w:val="22"/>
                <w:szCs w:val="22"/>
                <w:lang w:val="en-US" w:eastAsia="en-US" w:bidi="ar-SA"/>
              </w:rPr>
              <w:t>Bayesian analysis with PyMC3, WinBUGS, JAGS, and Stan</w:t>
            </w:r>
          </w:p>
          <w:p>
            <w:pPr>
              <w:pStyle w:val="Normal"/>
              <w:widowControl w:val="false"/>
              <w:suppressAutoHyphens w:val="true"/>
              <w:spacing w:lineRule="auto" w:line="240" w:before="0" w:after="0"/>
              <w:ind w:left="720"/>
              <w:jc w:val="left"/>
              <w:rPr>
                <w:rFonts w:eastAsia="Calibri"/>
              </w:rPr>
            </w:pPr>
            <w:r>
              <w:rPr>
                <w:rFonts w:eastAsia="Calibri"/>
              </w:rPr>
            </w:r>
          </w:p>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TEACHING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High school teaching certification (biology and physics) in China</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Ecology, Population Ecology, and Community Ecology</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Ornithology and Mammalogy</w:t>
            </w:r>
          </w:p>
          <w:p>
            <w:pPr>
              <w:pStyle w:val="Normal"/>
              <w:widowControl w:val="false"/>
              <w:suppressAutoHyphens w:val="true"/>
              <w:spacing w:lineRule="auto" w:line="240" w:before="0" w:after="0"/>
              <w:ind w:left="720"/>
              <w:jc w:val="left"/>
              <w:rPr>
                <w:rFonts w:eastAsia="Calibri"/>
              </w:rPr>
            </w:pPr>
            <w:r>
              <w:rPr>
                <w:rFonts w:eastAsia="Calibri" w:cs=""/>
                <w:kern w:val="0"/>
                <w:sz w:val="22"/>
                <w:szCs w:val="22"/>
                <w:lang w:val="en-US" w:eastAsia="en-US" w:bidi="ar-SA"/>
              </w:rPr>
              <w:t>Ecological Modeling</w:t>
            </w:r>
          </w:p>
          <w:p>
            <w:pPr>
              <w:pStyle w:val="Normal"/>
              <w:widowControl w:val="false"/>
              <w:suppressAutoHyphens w:val="true"/>
              <w:spacing w:lineRule="auto" w:line="240" w:before="0" w:after="0"/>
              <w:ind w:left="720"/>
              <w:jc w:val="left"/>
              <w:rPr>
                <w:rFonts w:ascii="Calibri" w:hAnsi="Calibri" w:eastAsia="Calibri"/>
              </w:rPr>
            </w:pPr>
            <w:r>
              <w:rPr>
                <w:rFonts w:eastAsia="Calibri"/>
              </w:rPr>
            </w:r>
          </w:p>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FIELDWORK &amp; LABWORK</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Small mammal trapping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Primate movement tracking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Deer spotlight survey and distance sampling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Bird banding</w:t>
            </w:r>
          </w:p>
          <w:p>
            <w:pPr>
              <w:pStyle w:val="Normal"/>
              <w:widowControl w:val="false"/>
              <w:suppressAutoHyphens w:val="true"/>
              <w:spacing w:lineRule="auto" w:line="240" w:before="0" w:after="0"/>
              <w:ind w:left="720"/>
              <w:jc w:val="left"/>
              <w:rPr>
                <w:rFonts w:eastAsia="Calibri"/>
              </w:rPr>
            </w:pPr>
            <w:r>
              <w:rPr>
                <w:rFonts w:eastAsia="Calibri" w:cs=""/>
                <w:kern w:val="0"/>
                <w:sz w:val="22"/>
                <w:szCs w:val="22"/>
                <w:lang w:val="en-US" w:eastAsia="en-US" w:bidi="ar-SA"/>
              </w:rPr>
              <w:t>Polymerase Chain Reaction and Electrophoresis</w:t>
            </w:r>
          </w:p>
          <w:p>
            <w:pPr>
              <w:pStyle w:val="Normal"/>
              <w:widowControl w:val="false"/>
              <w:suppressAutoHyphens w:val="true"/>
              <w:spacing w:lineRule="auto" w:line="240" w:before="0" w:after="0"/>
              <w:ind w:left="720"/>
              <w:jc w:val="left"/>
              <w:rPr>
                <w:rFonts w:ascii="Calibri" w:hAnsi="Calibri" w:eastAsia="Calibri"/>
              </w:rPr>
            </w:pPr>
            <w:r>
              <w:rPr>
                <w:rFonts w:eastAsia="Calibri"/>
              </w:rPr>
            </w:r>
          </w:p>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LANGUAGES</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Advanced speaker of Mandarin and English</w:t>
            </w:r>
          </w:p>
          <w:p>
            <w:pPr>
              <w:pStyle w:val="Normal"/>
              <w:widowControl w:val="false"/>
              <w:suppressAutoHyphens w:val="true"/>
              <w:spacing w:lineRule="auto" w:line="240" w:before="0" w:after="0"/>
              <w:ind w:left="720"/>
              <w:jc w:val="left"/>
              <w:rPr>
                <w:sz w:val="28"/>
                <w:szCs w:val="28"/>
              </w:rPr>
            </w:pPr>
            <w:r>
              <w:rPr>
                <w:rFonts w:eastAsia="Calibri" w:cs=""/>
                <w:kern w:val="0"/>
                <w:sz w:val="22"/>
                <w:szCs w:val="22"/>
                <w:lang w:val="en-US" w:eastAsia="en-US" w:bidi="ar-SA"/>
              </w:rPr>
              <w:t>Pre-i</w:t>
            </w:r>
            <w:r>
              <w:rPr>
                <w:rFonts w:eastAsia="Calibri" w:cs=""/>
                <w:kern w:val="0"/>
                <w:sz w:val="22"/>
                <w:szCs w:val="22"/>
                <w:lang w:val="en-US" w:eastAsia="en-US" w:bidi="ar-SA"/>
              </w:rPr>
              <w:t>ntermediate speaker of Japanese and French</w:t>
            </w:r>
          </w:p>
        </w:tc>
      </w:tr>
      <w:tr>
        <w:trPr/>
        <w:tc>
          <w:tcPr>
            <w:tcW w:w="5422"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color w:val="00B0F0"/>
                <w:sz w:val="28"/>
                <w:szCs w:val="28"/>
              </w:rPr>
            </w:pPr>
            <w:r>
              <w:rPr>
                <w:rFonts w:eastAsia="Calibri" w:cs=""/>
                <w:color w:val="00B0F0"/>
                <w:kern w:val="0"/>
                <w:sz w:val="28"/>
                <w:szCs w:val="28"/>
                <w:lang w:val="en-US" w:eastAsia="en-US" w:bidi="ar-SA"/>
              </w:rPr>
              <w:t>COURSES ASSISTED</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color w:val="000000"/>
              </w:rPr>
            </w:pPr>
            <w:r>
              <w:rPr>
                <w:rFonts w:eastAsia="Calibri" w:cs=""/>
                <w:color w:val="000000"/>
                <w:kern w:val="0"/>
                <w:sz w:val="22"/>
                <w:szCs w:val="22"/>
                <w:lang w:val="en-US" w:eastAsia="en-US" w:bidi="ar-SA"/>
              </w:rPr>
              <w:t>Applied Aquatic and Terrestrial Ecology (WFA3133, Dr. Sandra Correa). Fall 2023.</w:t>
            </w:r>
          </w:p>
          <w:p>
            <w:pPr>
              <w:pStyle w:val="Normal"/>
              <w:widowControl w:val="false"/>
              <w:suppressAutoHyphens w:val="true"/>
              <w:spacing w:lineRule="auto" w:line="240" w:before="0" w:after="0"/>
              <w:jc w:val="left"/>
              <w:rPr>
                <w:rFonts w:ascii="Calibri" w:hAnsi="Calibri" w:eastAsia="Calibri"/>
                <w:color w:val="000000"/>
              </w:rPr>
            </w:pPr>
            <w:r>
              <w:rPr>
                <w:rFonts w:eastAsia="Calibri" w:cs=""/>
                <w:color w:val="000000"/>
                <w:kern w:val="0"/>
                <w:sz w:val="22"/>
                <w:szCs w:val="22"/>
                <w:lang w:val="en-US" w:eastAsia="en-US" w:bidi="ar-SA"/>
              </w:rPr>
              <w:t>Mammalogy (WFA 4433, Dr. Christopher Ayers). Fall 2022.</w:t>
            </w:r>
          </w:p>
          <w:p>
            <w:pPr>
              <w:pStyle w:val="Normal"/>
              <w:widowControl w:val="false"/>
              <w:suppressAutoHyphens w:val="true"/>
              <w:spacing w:lineRule="auto" w:line="240" w:before="0" w:after="0"/>
              <w:jc w:val="left"/>
              <w:rPr>
                <w:rFonts w:ascii="Calibri" w:hAnsi="Calibri" w:eastAsia="Calibri"/>
                <w:color w:val="000000"/>
              </w:rPr>
            </w:pPr>
            <w:r>
              <w:rPr>
                <w:rFonts w:eastAsia="Calibri" w:cs=""/>
                <w:color w:val="000000"/>
                <w:kern w:val="0"/>
                <w:sz w:val="22"/>
                <w:szCs w:val="22"/>
                <w:lang w:val="en-US" w:eastAsia="en-US" w:bidi="ar-SA"/>
              </w:rPr>
              <w:t>Ornithology (WFA 4443, Dr. Christopher Ayers). Spring 2021.</w:t>
            </w:r>
          </w:p>
          <w:p>
            <w:pPr>
              <w:pStyle w:val="Normal"/>
              <w:widowControl w:val="false"/>
              <w:suppressAutoHyphens w:val="true"/>
              <w:spacing w:lineRule="auto" w:line="240" w:before="0" w:after="0"/>
              <w:jc w:val="left"/>
              <w:rPr>
                <w:rFonts w:ascii="Calibri" w:hAnsi="Calibri" w:eastAsia="Calibri"/>
                <w:color w:val="000000"/>
              </w:rPr>
            </w:pPr>
            <w:r>
              <w:rPr>
                <w:rFonts w:eastAsia="Calibri" w:cs=""/>
                <w:color w:val="000000"/>
                <w:kern w:val="0"/>
                <w:sz w:val="22"/>
                <w:szCs w:val="22"/>
                <w:lang w:val="en-US" w:eastAsia="en-US" w:bidi="ar-SA"/>
              </w:rPr>
              <w:t>Wildlife and Fishery Practice (WFA4473, Dr. John Davis). Spring 2020.</w:t>
            </w:r>
          </w:p>
        </w:tc>
      </w:tr>
      <w:tr>
        <w:trPr/>
        <w:tc>
          <w:tcPr>
            <w:tcW w:w="5422"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color w:val="00B0F0"/>
                <w:sz w:val="28"/>
                <w:szCs w:val="28"/>
              </w:rPr>
            </w:pPr>
            <w:r>
              <w:rPr>
                <w:rFonts w:eastAsia="Calibri" w:cs=""/>
                <w:color w:val="00B0F0"/>
                <w:kern w:val="0"/>
                <w:sz w:val="28"/>
                <w:szCs w:val="28"/>
                <w:lang w:val="en-US" w:eastAsia="en-US" w:bidi="ar-SA"/>
              </w:rPr>
              <w:t>INVITED LECTURES</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Responses of bird populations to climatic changes. Applied Ecology. MSU, Fall 2023.</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Series Lectures of Conservation Biology:</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(1)The IUCN red list of threatened species: How it’s being used.</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(2)Habitat destruction: Death by a thousand cuts.</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(3)Reintroduction and rewilding as conservation strategies.</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(4)Climate change: Implications for biodiversity.</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Current Topics in Conservation Biology. MSU, Fall 2021.</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Clustering Methods. Quantitative and Statistical Ecology. MSU, Spring 2021.</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Plotting with Matplotlib. Python Club. MSU, Fall 2020.</w:t>
            </w:r>
          </w:p>
        </w:tc>
      </w:tr>
      <w:tr>
        <w:trPr/>
        <w:tc>
          <w:tcPr>
            <w:tcW w:w="5422"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color w:val="00B0F0"/>
                <w:kern w:val="0"/>
                <w:sz w:val="28"/>
                <w:szCs w:val="28"/>
                <w:lang w:val="en-US" w:eastAsia="en-US" w:bidi="ar-SA"/>
              </w:rPr>
              <w:t>CONFERENCE PRESENTATIONS</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Variations in the responses of North American breeding bird populations to climatic changes. The Wildlife Society’s 30th Annual Conference, Louisville, KY, 2023.</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Variations in the responses of North American breeding bird populations to climatic changes. The Wildlife Society Mississippi Chapter Annual Meeting, Jackson, MS, 2023.</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Population dynamic patterns of North American breeding birds under global changes. The Wildlife Society’s 29th Annual Conference, Spokane, WA, 2022.</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Machine Learning for Identifying Population Dynamic Patterns of North American Breeding Birds. The Wildlife Society Mississippi Chapter Annual Meeting (online), 2022.</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The wave: a dispersal hypothesis about space dynamics of Brandt's vole. The 8th International Symposium of Integrative Zoology. Xilinhaote, China, 2016.</w:t>
            </w:r>
          </w:p>
        </w:tc>
      </w:tr>
      <w:tr>
        <w:trPr/>
        <w:tc>
          <w:tcPr>
            <w:tcW w:w="5422" w:type="dxa"/>
            <w:tcBorders>
              <w:top w:val="nil"/>
              <w:left w:val="nil"/>
              <w:bottom w:val="nil"/>
              <w:right w:val="nil"/>
            </w:tcBorders>
          </w:tcPr>
          <w:p>
            <w:pPr>
              <w:pStyle w:val="Normal"/>
              <w:widowControl w:val="false"/>
              <w:suppressAutoHyphens w:val="true"/>
              <w:spacing w:lineRule="auto" w:line="240" w:before="0" w:after="0"/>
              <w:jc w:val="left"/>
              <w:rPr>
                <w:sz w:val="28"/>
                <w:szCs w:val="28"/>
              </w:rPr>
            </w:pPr>
            <w:r>
              <w:rPr>
                <w:sz w:val="28"/>
                <w:szCs w:val="28"/>
              </w:rPr>
            </w:r>
          </w:p>
        </w:tc>
        <w:tc>
          <w:tcPr>
            <w:tcW w:w="393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sz w:val="28"/>
                <w:szCs w:val="28"/>
              </w:rPr>
            </w:pPr>
            <w:r>
              <w:rPr>
                <w:rFonts w:eastAsia="Calibri" w:cs=""/>
                <w:color w:val="00B0F0"/>
                <w:kern w:val="0"/>
                <w:sz w:val="28"/>
                <w:szCs w:val="28"/>
                <w:lang w:val="en-US" w:eastAsia="en-US" w:bidi="ar-SA"/>
              </w:rPr>
              <w:t>Publications</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ind w:hanging="720" w:left="720"/>
              <w:jc w:val="left"/>
              <w:rPr>
                <w:rFonts w:eastAsia="Calibri"/>
              </w:rPr>
            </w:pPr>
            <w:r>
              <w:rPr>
                <w:rFonts w:eastAsia="Calibri" w:cs=""/>
                <w:b/>
                <w:bCs/>
                <w:kern w:val="0"/>
                <w:sz w:val="22"/>
                <w:szCs w:val="22"/>
                <w:lang w:val="en-US" w:eastAsia="en-US" w:bidi="ar-SA"/>
              </w:rPr>
              <w:t>Song, W.</w:t>
            </w:r>
            <w:r>
              <w:rPr>
                <w:rFonts w:eastAsia="Calibri" w:cs=""/>
                <w:kern w:val="0"/>
                <w:sz w:val="22"/>
                <w:szCs w:val="22"/>
                <w:lang w:val="en-US" w:eastAsia="en-US" w:bidi="ar-SA"/>
              </w:rPr>
              <w:t>, Kouba, A.J., Burger, L.M., Burger, L.W., Colvin, M.E., Wang, G. Interactions of life history traits, density dependence and responses to climate changes on long-term dynamic patterns of North American breeding bird populations. (In prep for Global Change Biology)</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 xml:space="preserve">Shan, X., </w:t>
            </w:r>
            <w:r>
              <w:rPr>
                <w:rFonts w:eastAsia="Calibri" w:cs=""/>
                <w:b/>
                <w:bCs/>
                <w:kern w:val="0"/>
                <w:sz w:val="22"/>
                <w:szCs w:val="22"/>
                <w:lang w:val="en-US" w:eastAsia="en-US" w:bidi="ar-SA"/>
              </w:rPr>
              <w:t>Song, W.</w:t>
            </w:r>
            <w:r>
              <w:rPr>
                <w:rFonts w:eastAsia="Calibri" w:cs=""/>
                <w:kern w:val="0"/>
                <w:sz w:val="22"/>
                <w:szCs w:val="22"/>
                <w:lang w:val="en-US" w:eastAsia="en-US" w:bidi="ar-SA"/>
              </w:rPr>
              <w:t>, Strickland, B., Demarais, S., Beightol, C.V., Nelson, L., Wang, G. Fine-scale spatial genetic structure of white-tailed deer in a national park in the southeastern United States. (In prep)</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 xml:space="preserve">Yang, H., Li, S., Hou, R., </w:t>
            </w:r>
            <w:r>
              <w:rPr>
                <w:rFonts w:eastAsia="Calibri" w:cs=""/>
                <w:b/>
                <w:bCs/>
                <w:kern w:val="0"/>
                <w:sz w:val="22"/>
                <w:szCs w:val="22"/>
                <w:lang w:val="en-US" w:eastAsia="en-US" w:bidi="ar-SA"/>
              </w:rPr>
              <w:t>Song, W.</w:t>
            </w:r>
            <w:r>
              <w:rPr>
                <w:rFonts w:eastAsia="Calibri" w:cs=""/>
                <w:kern w:val="0"/>
                <w:sz w:val="22"/>
                <w:szCs w:val="22"/>
                <w:lang w:val="en-US" w:eastAsia="en-US" w:bidi="ar-SA"/>
              </w:rPr>
              <w:t>, Fu, Y., Li, Y., ... &amp; Li, B. (2023). Three-dimensional assessment of movement patterns of Sichuan snub-nosed monkeys affected by habitat structure in temperate forests. Zoological Research, 44(2), 361.</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b/>
                <w:bCs/>
                <w:kern w:val="0"/>
                <w:sz w:val="22"/>
                <w:szCs w:val="22"/>
                <w:lang w:val="en-US" w:eastAsia="en-US" w:bidi="ar-SA"/>
              </w:rPr>
              <w:t>Song, W.</w:t>
            </w:r>
            <w:r>
              <w:rPr>
                <w:rFonts w:eastAsia="Calibri" w:cs=""/>
                <w:kern w:val="0"/>
                <w:sz w:val="22"/>
                <w:szCs w:val="22"/>
                <w:lang w:val="en-US" w:eastAsia="en-US" w:bidi="ar-SA"/>
              </w:rPr>
              <w:t>, Wang, Y., Zhang, X., Zhang, W., … &amp; Wan, X. (2017). Influence of Group Size and Foraging Distance on Vigilance Frequency of Brandt′s Vole (</w:t>
            </w:r>
            <w:r>
              <w:rPr>
                <w:rFonts w:eastAsia="Calibri" w:cs=""/>
                <w:i/>
                <w:iCs/>
                <w:kern w:val="0"/>
                <w:sz w:val="22"/>
                <w:szCs w:val="22"/>
                <w:lang w:val="en-US" w:eastAsia="en-US" w:bidi="ar-SA"/>
              </w:rPr>
              <w:t>Lasiopodomys brandtii</w:t>
            </w:r>
            <w:r>
              <w:rPr>
                <w:rFonts w:eastAsia="Calibri" w:cs=""/>
                <w:kern w:val="0"/>
                <w:sz w:val="22"/>
                <w:szCs w:val="22"/>
                <w:lang w:val="en-US" w:eastAsia="en-US" w:bidi="ar-SA"/>
              </w:rPr>
              <w:t>) in Food Storing Period. Chinese Journal of Zoology, 52(5): 754-760.</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b/>
                <w:bCs/>
                <w:kern w:val="0"/>
                <w:sz w:val="22"/>
                <w:szCs w:val="22"/>
                <w:lang w:val="en-US" w:eastAsia="en-US" w:bidi="ar-SA"/>
              </w:rPr>
              <w:t>Song, W.</w:t>
            </w:r>
            <w:r>
              <w:rPr>
                <w:rFonts w:eastAsia="Calibri" w:cs=""/>
                <w:kern w:val="0"/>
                <w:sz w:val="22"/>
                <w:szCs w:val="22"/>
                <w:lang w:val="en-US" w:eastAsia="en-US" w:bidi="ar-SA"/>
              </w:rPr>
              <w:t>, Wang, Y., Sai, N., … &amp; Zhang, Z. (2016). Numerical Response of Hawks Density to the Rodents Density in Typical Steppe. Chinese Journal of Zoology, 51(4): 529-535.</w:t>
            </w:r>
          </w:p>
        </w:tc>
      </w:tr>
      <w:tr>
        <w:trPr/>
        <w:tc>
          <w:tcPr>
            <w:tcW w:w="5422" w:type="dxa"/>
            <w:tcBorders>
              <w:top w:val="nil"/>
              <w:left w:val="nil"/>
              <w:bottom w:val="nil"/>
              <w:right w:val="nil"/>
            </w:tcBorders>
          </w:tcPr>
          <w:p>
            <w:pPr>
              <w:pStyle w:val="Normal"/>
              <w:widowControl w:val="false"/>
              <w:suppressAutoHyphens w:val="true"/>
              <w:spacing w:lineRule="auto" w:line="240" w:before="0" w:after="0"/>
              <w:jc w:val="left"/>
              <w:rPr>
                <w:sz w:val="28"/>
                <w:szCs w:val="28"/>
              </w:rPr>
            </w:pPr>
            <w:r>
              <w:rPr>
                <w:sz w:val="28"/>
                <w:szCs w:val="28"/>
              </w:rPr>
            </w:r>
          </w:p>
        </w:tc>
        <w:tc>
          <w:tcPr>
            <w:tcW w:w="393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sz w:val="28"/>
                <w:szCs w:val="28"/>
              </w:rPr>
            </w:pPr>
            <w:r>
              <w:rPr>
                <w:rFonts w:eastAsia="Calibri" w:cs=""/>
                <w:color w:val="00B0F0"/>
                <w:kern w:val="0"/>
                <w:sz w:val="28"/>
                <w:szCs w:val="28"/>
                <w:lang w:val="en-US" w:eastAsia="en-US" w:bidi="ar-SA"/>
              </w:rPr>
              <w:t>REFEREES</w:t>
            </w:r>
          </w:p>
        </w:tc>
      </w:tr>
      <w:tr>
        <w:trPr>
          <w:trHeight w:val="816"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Dr. Guiming Wang</w:t>
            </w:r>
            <w:r>
              <w:rPr>
                <w:rFonts w:eastAsia="Calibri" w:cs=""/>
                <w:kern w:val="0"/>
                <w:sz w:val="22"/>
                <w:szCs w:val="22"/>
                <w:lang w:val="en-US" w:eastAsia="en-US" w:bidi="ar-SA"/>
              </w:rPr>
              <w:t xml:space="preserve"> (PhD advisor)</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Professor, Mississippi State University</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guiming.wang@msstate.edu</w:t>
            </w:r>
          </w:p>
          <w:p>
            <w:pPr>
              <w:pStyle w:val="Normal"/>
              <w:widowControl w:val="false"/>
              <w:suppressAutoHyphens w:val="true"/>
              <w:spacing w:lineRule="auto" w:line="240" w:before="0" w:after="0"/>
              <w:jc w:val="left"/>
              <w:rPr>
                <w:rFonts w:ascii="Calibri" w:hAnsi="Calibri" w:eastAsia="Calibri"/>
              </w:rPr>
            </w:pPr>
            <w:r>
              <w:rPr>
                <w:rFonts w:eastAsia="Calibri"/>
              </w:rPr>
            </w:r>
          </w:p>
        </w:tc>
      </w:tr>
      <w:tr>
        <w:trPr>
          <w:trHeight w:val="816"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 xml:space="preserve">Dr. Xueyan Shan </w:t>
            </w:r>
            <w:r>
              <w:rPr>
                <w:rFonts w:eastAsia="Calibri" w:cs=""/>
                <w:kern w:val="0"/>
                <w:sz w:val="22"/>
                <w:szCs w:val="22"/>
                <w:lang w:val="en-US" w:eastAsia="en-US" w:bidi="ar-SA"/>
              </w:rPr>
              <w:t>(Project advisor)</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Associate Research Professor, Mississippi State University</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xshan@bch.msstate.edu</w:t>
            </w:r>
          </w:p>
          <w:p>
            <w:pPr>
              <w:pStyle w:val="Normal"/>
              <w:widowControl w:val="false"/>
              <w:suppressAutoHyphens w:val="true"/>
              <w:spacing w:lineRule="auto" w:line="240" w:before="0" w:after="0"/>
              <w:jc w:val="left"/>
              <w:rPr>
                <w:rFonts w:eastAsia="Calibri"/>
                <w:b/>
                <w:bCs/>
              </w:rPr>
            </w:pPr>
            <w:r>
              <w:rPr>
                <w:rFonts w:eastAsia="Calibri"/>
                <w:b/>
                <w:bCs/>
              </w:rPr>
            </w:r>
          </w:p>
        </w:tc>
      </w:tr>
      <w:tr>
        <w:trPr>
          <w:trHeight w:val="816"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 xml:space="preserve">Dr. Sandra Correa </w:t>
            </w:r>
            <w:r>
              <w:rPr>
                <w:rFonts w:eastAsia="Calibri" w:cs=""/>
                <w:kern w:val="0"/>
                <w:sz w:val="22"/>
                <w:szCs w:val="22"/>
                <w:lang w:val="en-US" w:eastAsia="en-US" w:bidi="ar-SA"/>
              </w:rPr>
              <w:t>(TA advisor)</w:t>
            </w:r>
          </w:p>
          <w:p>
            <w:pPr>
              <w:pStyle w:val="Normal"/>
              <w:widowControl w:val="false"/>
              <w:suppressAutoHyphens w:val="true"/>
              <w:spacing w:lineRule="auto" w:line="240" w:before="0" w:after="0"/>
              <w:jc w:val="left"/>
              <w:rPr>
                <w:rFonts w:ascii="Calibri" w:hAnsi="Calibri" w:eastAsia="Calibri"/>
              </w:rPr>
            </w:pPr>
            <w:r>
              <w:rPr>
                <w:rFonts w:cs=""/>
                <w:kern w:val="0"/>
                <w:sz w:val="22"/>
                <w:szCs w:val="22"/>
                <w:lang w:val="en-US" w:eastAsia="en-US" w:bidi="ar-SA"/>
              </w:rPr>
              <w:t>Associate Professor, Mississippi State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sbc257@msstate.edu</w:t>
            </w:r>
          </w:p>
          <w:p>
            <w:pPr>
              <w:pStyle w:val="Normal"/>
              <w:widowControl w:val="false"/>
              <w:suppressAutoHyphens w:val="true"/>
              <w:spacing w:lineRule="auto" w:line="240" w:before="0" w:after="0"/>
              <w:jc w:val="left"/>
              <w:rPr>
                <w:rFonts w:ascii="Calibri" w:hAnsi="Calibri" w:eastAsia="Calibri"/>
              </w:rPr>
            </w:pPr>
            <w:r>
              <w:rPr/>
            </w:r>
          </w:p>
        </w:tc>
      </w:tr>
      <w:tr>
        <w:trPr>
          <w:trHeight w:val="816"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 xml:space="preserve">Dr. Xinrong Wan </w:t>
            </w:r>
            <w:r>
              <w:rPr>
                <w:rFonts w:eastAsia="Calibri" w:cs=""/>
                <w:kern w:val="0"/>
                <w:sz w:val="22"/>
                <w:szCs w:val="22"/>
                <w:lang w:val="en-US" w:eastAsia="en-US" w:bidi="ar-SA"/>
              </w:rPr>
              <w:t>(Master’s advisor)</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Associate Professor, Institute of Zoology, Chinese Academy of Sciences</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wanxr@ioz.ac.cn</w:t>
            </w:r>
          </w:p>
        </w:tc>
      </w:tr>
    </w:tbl>
    <w:p>
      <w:pPr>
        <w:pStyle w:val="Normal"/>
        <w:widowControl/>
        <w:suppressAutoHyphens w:val="true"/>
        <w:bidi w:val="0"/>
        <w:spacing w:lineRule="auto" w:line="259" w:before="0" w:after="160"/>
        <w:jc w:val="left"/>
        <w:rPr/>
      </w:pPr>
      <w:r>
        <w:rPr/>
      </w:r>
    </w:p>
    <w:sectPr>
      <w:headerReference w:type="even" r:id="rId5"/>
      <w:headerReference w:type="default" r:id="rId6"/>
      <w:headerReference w:type="first" r:id="rId7"/>
      <w:type w:val="nextPage"/>
      <w:pgSz w:w="12240" w:h="15840"/>
      <w:pgMar w:left="360" w:right="360" w:gutter="0" w:header="360" w:top="1080" w:footer="0" w:bottom="36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color w:themeColor="background1" w:themeShade="bf" w:val="BFBFBF"/>
      </w:rPr>
    </w:pPr>
    <w:r>
      <w:rPr>
        <w:color w:themeColor="background1" w:themeShade="bf" w:val="BFBFBF"/>
      </w:rPr>
      <w:t xml:space="preserve">Wentao Song                                                                                                                                                                Aug 2025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color w:themeColor="background1" w:themeShade="bf" w:val="BFBFBF"/>
      </w:rPr>
    </w:pPr>
    <w:r>
      <w:rPr>
        <w:color w:themeColor="background1" w:themeShade="bf" w:val="BFBFBF"/>
      </w:rPr>
      <w:t xml:space="preserve">Wentao Song                                                                                                                                                                Aug 2025                                                                                                                                                                        </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b771bf"/>
    <w:rPr/>
  </w:style>
  <w:style w:type="character" w:styleId="FooterChar" w:customStyle="1">
    <w:name w:val="Footer Char"/>
    <w:basedOn w:val="DefaultParagraphFont"/>
    <w:link w:val="Footer"/>
    <w:uiPriority w:val="99"/>
    <w:qFormat/>
    <w:rsid w:val="00b771bf"/>
    <w:rPr/>
  </w:style>
  <w:style w:type="character" w:styleId="Hyperlink">
    <w:name w:val="Hyperlink"/>
    <w:basedOn w:val="DefaultParagraphFont"/>
    <w:uiPriority w:val="99"/>
    <w:unhideWhenUsed/>
    <w:rsid w:val="00953bea"/>
    <w:rPr>
      <w:color w:themeColor="hyperlink" w:val="0563C1"/>
      <w:u w:val="single"/>
    </w:rPr>
  </w:style>
  <w:style w:type="character" w:styleId="UnresolvedMention">
    <w:name w:val="Unresolved Mention"/>
    <w:basedOn w:val="DefaultParagraphFont"/>
    <w:uiPriority w:val="99"/>
    <w:semiHidden/>
    <w:unhideWhenUsed/>
    <w:qFormat/>
    <w:rsid w:val="00953bea"/>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b771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b771bf"/>
    <w:pPr>
      <w:tabs>
        <w:tab w:val="clear" w:pos="720"/>
        <w:tab w:val="center" w:pos="4680" w:leader="none"/>
        <w:tab w:val="right" w:pos="9360" w:leader="none"/>
      </w:tabs>
      <w:spacing w:lineRule="auto" w:line="240" w:before="0" w:after="0"/>
    </w:pPr>
    <w:rPr/>
  </w:style>
  <w:style w:type="paragraph" w:styleId="ListParagraph">
    <w:name w:val="List Paragraph"/>
    <w:basedOn w:val="Normal"/>
    <w:uiPriority w:val="34"/>
    <w:qFormat/>
    <w:rsid w:val="00f54bdb"/>
    <w:pPr>
      <w:spacing w:before="0" w:after="160"/>
      <w:ind w:left="720"/>
      <w:contextualSpacing/>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771b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320</TotalTime>
  <Application>LibreOffice/24.2.7.2$Linux_X86_64 LibreOffice_project/420$Build-2</Application>
  <AppVersion>15.0000</AppVersion>
  <Pages>3</Pages>
  <Words>712</Words>
  <Characters>4529</Characters>
  <CharactersWithSpaces>5838</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2023-08-09T03:33:00Z</dcterms:created>
  <dc:creator>Song, Wentao</dc:creator>
  <dc:description/>
  <dc:language>en-US</dc:language>
  <cp:lastModifiedBy/>
  <cp:lastPrinted>2025-08-22T00:47:07Z</cp:lastPrinted>
  <dcterms:modified xsi:type="dcterms:W3CDTF">2025-09-13T05:20:31Z</dcterms:modified>
  <cp:revision>174</cp:revision>
  <dc:subject/>
  <dc:title/>
</cp:coreProperties>
</file>

<file path=docProps/custom.xml><?xml version="1.0" encoding="utf-8"?>
<Properties xmlns="http://schemas.openxmlformats.org/officeDocument/2006/custom-properties" xmlns:vt="http://schemas.openxmlformats.org/officeDocument/2006/docPropsVTypes"/>
</file>